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0938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乐清市国有土地使用权出让收支</w:t>
      </w:r>
    </w:p>
    <w:p w14:paraId="5B97C232">
      <w:pPr>
        <w:spacing w:line="600" w:lineRule="exact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管理办法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（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eastAsia="zh-CN"/>
        </w:rPr>
        <w:t>征求意见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稿）》的</w:t>
      </w:r>
    </w:p>
    <w:p w14:paraId="5757CAF5">
      <w:pPr>
        <w:spacing w:line="600" w:lineRule="exact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起草说明</w:t>
      </w:r>
    </w:p>
    <w:p w14:paraId="089F9AC0">
      <w:pPr>
        <w:spacing w:line="560" w:lineRule="exact"/>
        <w:ind w:firstLine="640" w:firstLineChars="200"/>
      </w:pPr>
    </w:p>
    <w:p w14:paraId="1595A2F7">
      <w:pPr>
        <w:spacing w:line="560" w:lineRule="exact"/>
        <w:ind w:firstLine="640" w:firstLineChars="200"/>
        <w:jc w:val="both"/>
        <w:rPr>
          <w:color w:val="000000"/>
          <w:kern w:val="0"/>
        </w:rPr>
      </w:pPr>
      <w:r>
        <w:rPr>
          <w:color w:val="000000"/>
          <w:kern w:val="0"/>
        </w:rPr>
        <w:t>现就报送审查的《</w:t>
      </w:r>
      <w:r>
        <w:rPr>
          <w:rFonts w:hint="eastAsia"/>
          <w:color w:val="000000"/>
          <w:kern w:val="0"/>
        </w:rPr>
        <w:t>乐清市国有土地使用权出让收支管理办法</w:t>
      </w:r>
      <w:r>
        <w:rPr>
          <w:color w:val="000000"/>
          <w:kern w:val="0"/>
        </w:rPr>
        <w:t>（</w:t>
      </w:r>
      <w:r>
        <w:rPr>
          <w:rFonts w:hint="eastAsia"/>
          <w:color w:val="000000"/>
          <w:kern w:val="0"/>
          <w:lang w:eastAsia="zh-CN"/>
        </w:rPr>
        <w:t>征求意见</w:t>
      </w:r>
      <w:bookmarkStart w:id="0" w:name="_GoBack"/>
      <w:bookmarkEnd w:id="0"/>
      <w:r>
        <w:rPr>
          <w:color w:val="000000"/>
          <w:kern w:val="0"/>
        </w:rPr>
        <w:t>稿）》有关情况说明如下：</w:t>
      </w:r>
    </w:p>
    <w:p w14:paraId="52D978EF"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一</w:t>
      </w:r>
      <w:r>
        <w:rPr>
          <w:rFonts w:hint="eastAsia" w:ascii="黑体" w:hAnsi="黑体" w:eastAsia="黑体"/>
          <w:kern w:val="0"/>
        </w:rPr>
        <w:t>、</w:t>
      </w:r>
      <w:r>
        <w:rPr>
          <w:rFonts w:ascii="黑体" w:hAnsi="黑体" w:eastAsia="黑体"/>
          <w:kern w:val="0"/>
        </w:rPr>
        <w:t>文件制定背景</w:t>
      </w:r>
    </w:p>
    <w:p w14:paraId="64B4764F">
      <w:pPr>
        <w:spacing w:line="560" w:lineRule="exact"/>
        <w:ind w:firstLine="640" w:firstLineChars="200"/>
        <w:rPr>
          <w:kern w:val="0"/>
        </w:rPr>
      </w:pPr>
      <w:r>
        <w:rPr>
          <w:rFonts w:hint="eastAsia"/>
          <w:color w:val="000000"/>
          <w:kern w:val="0"/>
          <w:lang w:eastAsia="zh-CN"/>
        </w:rPr>
        <w:t>为规范我市国有土地使用权出让收支管理，原《办法》已实施七年，部分内容已不适应现行要求，需要重新修订以保持政策合规性。</w:t>
      </w:r>
    </w:p>
    <w:p w14:paraId="2249FDC1"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二、文件涉法内容说明（制定依据）</w:t>
      </w:r>
    </w:p>
    <w:p w14:paraId="6BF4DEEA">
      <w:pPr>
        <w:spacing w:line="560" w:lineRule="exact"/>
        <w:ind w:firstLine="640" w:firstLineChars="200"/>
        <w:rPr>
          <w:kern w:val="0"/>
        </w:rPr>
      </w:pPr>
      <w:r>
        <w:rPr>
          <w:kern w:val="0"/>
        </w:rPr>
        <w:t>该文件依据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 《中华人民共和国土地管理法》《国务院办公厅关于规范国有土地使用权出让收支管理的通知》（国办发〔2006〕100 号）、《财政部、国土资源部、中国人民银行关于印发国有土地使用权出让收支管理办法的通知》（财综〔2006〕68 号）和《浙江省财政厅、国土资源厅、中国人民银行杭州中心支行转发财政部 国土资源部 中国人民银行关于印发国有土地使用权出让收支管理办法的通知（浙财综字〔2007〕23号）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浙江省人民政府办公厅关于调整耕地开垦费等有关政策的通知》（浙政办函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〔2025〕2号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等有关规定</w:t>
      </w:r>
      <w:r>
        <w:rPr>
          <w:kern w:val="0"/>
        </w:rPr>
        <w:t>。</w:t>
      </w:r>
    </w:p>
    <w:p w14:paraId="229A3ABD"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三、文件制定过程</w:t>
      </w:r>
    </w:p>
    <w:p w14:paraId="71A874EC">
      <w:pPr>
        <w:spacing w:line="560" w:lineRule="exact"/>
        <w:ind w:firstLine="640" w:firstLineChars="200"/>
        <w:rPr>
          <w:rFonts w:hint="default" w:eastAsia="仿宋_GB2312"/>
          <w:kern w:val="0"/>
          <w:lang w:val="en-US" w:eastAsia="zh-CN"/>
        </w:rPr>
      </w:pPr>
      <w:r>
        <w:rPr>
          <w:kern w:val="0"/>
        </w:rPr>
        <w:t>该文件</w:t>
      </w:r>
      <w:r>
        <w:rPr>
          <w:rFonts w:hint="eastAsia"/>
          <w:kern w:val="0"/>
          <w:lang w:val="en-US" w:eastAsia="zh-CN"/>
        </w:rPr>
        <w:t>2025</w:t>
      </w:r>
      <w:r>
        <w:rPr>
          <w:kern w:val="0"/>
        </w:rPr>
        <w:t>年</w:t>
      </w:r>
      <w:r>
        <w:rPr>
          <w:rFonts w:hint="eastAsia"/>
          <w:kern w:val="0"/>
          <w:lang w:val="en-US" w:eastAsia="zh-CN"/>
        </w:rPr>
        <w:t>3</w:t>
      </w:r>
      <w:r>
        <w:rPr>
          <w:kern w:val="0"/>
        </w:rPr>
        <w:t>月开始</w:t>
      </w:r>
      <w:r>
        <w:rPr>
          <w:rFonts w:hint="eastAsia"/>
          <w:kern w:val="0"/>
          <w:lang w:eastAsia="zh-CN"/>
        </w:rPr>
        <w:t>，征求市发改、市司法、市资规、市税务等相关部门意见，经多次讨论初步形成征求意见稿，</w:t>
      </w:r>
      <w:r>
        <w:rPr>
          <w:rFonts w:hint="eastAsia"/>
          <w:kern w:val="0"/>
          <w:lang w:val="en-US" w:eastAsia="zh-CN"/>
        </w:rPr>
        <w:t>2025年7月经有关部门联签后，经市政府批示同意，完成立项。</w:t>
      </w:r>
    </w:p>
    <w:p w14:paraId="67167DD7"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四、文件主要内容</w:t>
      </w:r>
    </w:p>
    <w:p w14:paraId="07BD4287">
      <w:pPr>
        <w:spacing w:line="560" w:lineRule="exact"/>
        <w:ind w:firstLine="640" w:firstLineChars="200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本《办法》共包含八章二十九条，主要内容包括：</w:t>
      </w:r>
    </w:p>
    <w:p w14:paraId="5AF0B296">
      <w:pPr>
        <w:spacing w:line="560" w:lineRule="exact"/>
        <w:ind w:firstLine="640" w:firstLineChars="200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第一章“总则”，明确了国有土地使用权出让收支内容，相关部门责任分工。</w:t>
      </w:r>
    </w:p>
    <w:p w14:paraId="21563FCB">
      <w:pPr>
        <w:spacing w:line="560" w:lineRule="exact"/>
        <w:ind w:firstLine="640" w:firstLineChars="200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第二章“征收管理”，明确市资规、财政、税务等相关部门征收管理相关事项。</w:t>
      </w:r>
    </w:p>
    <w:p w14:paraId="54829FDB">
      <w:pPr>
        <w:spacing w:line="560" w:lineRule="exact"/>
        <w:ind w:firstLine="640" w:firstLineChars="200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第三章“使用管理”，明确国有土地使用权取得的收入安排支出的使用内容。</w:t>
      </w:r>
    </w:p>
    <w:p w14:paraId="342A317B">
      <w:pPr>
        <w:spacing w:line="560" w:lineRule="exact"/>
        <w:ind w:firstLine="640" w:firstLineChars="200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第四章“土地出让收入的计提和分配”，明确国有土地使用权收入的计提和分配款项。</w:t>
      </w:r>
    </w:p>
    <w:p w14:paraId="651605C3">
      <w:pPr>
        <w:spacing w:line="560" w:lineRule="exact"/>
        <w:ind w:firstLine="640" w:firstLineChars="200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第五章“国有土地使用权划拨价款收取规定”，明确了国有土地划拨收入价款的收取标准和组成。</w:t>
      </w:r>
    </w:p>
    <w:p w14:paraId="7624D3E2">
      <w:pPr>
        <w:spacing w:line="560" w:lineRule="exact"/>
        <w:ind w:firstLine="640" w:firstLineChars="200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第六章“预决算管理”，明确了国有土地使用权收入纳入政府性基金预决算管理机制。</w:t>
      </w:r>
    </w:p>
    <w:p w14:paraId="3C14A635">
      <w:pPr>
        <w:spacing w:line="560" w:lineRule="exact"/>
        <w:ind w:firstLine="640" w:firstLineChars="200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第七章“监督检查”，明确了市资规、财政、税务等相关部门对国有土地使用权收入监督检查。</w:t>
      </w:r>
    </w:p>
    <w:p w14:paraId="609C987B">
      <w:pPr>
        <w:spacing w:line="560" w:lineRule="exact"/>
        <w:ind w:firstLine="640" w:firstLineChars="200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第八章“附则”</w:t>
      </w:r>
    </w:p>
    <w:p w14:paraId="2F214D03">
      <w:pPr>
        <w:spacing w:line="560" w:lineRule="exact"/>
        <w:ind w:firstLine="640" w:firstLineChars="200"/>
        <w:rPr>
          <w:kern w:val="0"/>
        </w:rPr>
      </w:pPr>
      <w:r>
        <w:rPr>
          <w:rFonts w:hint="eastAsia"/>
          <w:kern w:val="0"/>
          <w:lang w:eastAsia="zh-CN"/>
        </w:rPr>
        <w:t>另有附表四张。</w:t>
      </w:r>
    </w:p>
    <w:p w14:paraId="4FE93B34"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五、文件施行日期及有效期说明</w:t>
      </w:r>
    </w:p>
    <w:p w14:paraId="48562E4B">
      <w:pPr>
        <w:spacing w:line="560" w:lineRule="exact"/>
        <w:ind w:firstLine="640" w:firstLineChars="200"/>
        <w:rPr>
          <w:color w:val="000000"/>
          <w:kern w:val="0"/>
        </w:rPr>
      </w:pPr>
      <w:r>
        <w:rPr>
          <w:kern w:val="0"/>
        </w:rPr>
        <w:t>该文件</w:t>
      </w:r>
      <w:r>
        <w:rPr>
          <w:rFonts w:hint="eastAsia"/>
          <w:kern w:val="0"/>
          <w:lang w:eastAsia="zh-CN"/>
        </w:rPr>
        <w:t>自</w:t>
      </w:r>
      <w:r>
        <w:rPr>
          <w:color w:val="000000"/>
          <w:kern w:val="0"/>
        </w:rPr>
        <w:t>××</w:t>
      </w:r>
      <w:r>
        <w:rPr>
          <w:rFonts w:hint="eastAsia"/>
          <w:color w:val="000000"/>
          <w:kern w:val="0"/>
          <w:lang w:eastAsia="zh-CN"/>
        </w:rPr>
        <w:t>起开始施行</w:t>
      </w:r>
      <w:r>
        <w:rPr>
          <w:color w:val="000000"/>
          <w:kern w:val="0"/>
        </w:rPr>
        <w:t>（行政规范性文件应当自公布之日起30日后施行，但因保障国家安全、重大公共利益的需要，或者发布后不立即施行将有碍法律、法规、规章和上级行政规范性文件执行的除外）。该文件因为××的原因，自发布之日起施行（针对未满30日施行的）</w:t>
      </w:r>
      <w:r>
        <w:rPr>
          <w:rFonts w:hint="eastAsia"/>
          <w:color w:val="000000"/>
          <w:kern w:val="0"/>
        </w:rPr>
        <w:t>。</w:t>
      </w:r>
      <w:r>
        <w:rPr>
          <w:color w:val="000000"/>
          <w:kern w:val="0"/>
        </w:rPr>
        <w:t>有效期为×年。</w:t>
      </w:r>
    </w:p>
    <w:p w14:paraId="06995A73"/>
    <w:p w14:paraId="2D1F4B30"/>
    <w:p w14:paraId="5D4D29F3"/>
    <w:p w14:paraId="6A44B4AB"/>
    <w:p w14:paraId="47A0786B"/>
    <w:p w14:paraId="36EB3EDE"/>
    <w:p w14:paraId="268BDB7E"/>
    <w:p w14:paraId="515AEC3F"/>
    <w:p w14:paraId="28717319"/>
    <w:p w14:paraId="44355E96"/>
    <w:p w14:paraId="2F8CC74B"/>
    <w:p w14:paraId="594F7744"/>
    <w:p w14:paraId="3CA1984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496"/>
    <w:rsid w:val="00155D36"/>
    <w:rsid w:val="00174453"/>
    <w:rsid w:val="0019749F"/>
    <w:rsid w:val="001E08DD"/>
    <w:rsid w:val="00341B8D"/>
    <w:rsid w:val="006473D6"/>
    <w:rsid w:val="006E3CE4"/>
    <w:rsid w:val="00956393"/>
    <w:rsid w:val="00C44EC1"/>
    <w:rsid w:val="00EA0B3A"/>
    <w:rsid w:val="00F65496"/>
    <w:rsid w:val="00FE3631"/>
    <w:rsid w:val="566D7803"/>
    <w:rsid w:val="5DEF2676"/>
    <w:rsid w:val="76AC0B7E"/>
    <w:rsid w:val="7FB70602"/>
    <w:rsid w:val="7FFB21F7"/>
    <w:rsid w:val="95DFA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160</Words>
  <Characters>913</Characters>
  <Lines>7</Lines>
  <Paragraphs>2</Paragraphs>
  <TotalTime>3</TotalTime>
  <ScaleCrop>false</ScaleCrop>
  <LinksUpToDate>false</LinksUpToDate>
  <CharactersWithSpaces>1071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2020-08-20T07:56:00Z</dcterms:created>
  <dc:creator>User</dc:creator>
  <cp:lastModifiedBy>薛怡婧</cp:lastModifiedBy>
  <dcterms:modified xsi:type="dcterms:W3CDTF">2025-07-28T15:14:57Z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854813202C104131BA0B927231D7D9AA</vt:lpwstr>
  </property>
</Properties>
</file>