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11279">
      <w:pPr>
        <w:keepNext w:val="0"/>
        <w:keepLines w:val="0"/>
        <w:pageBreakBefore w:val="0"/>
        <w:widowControl w:val="0"/>
        <w:kinsoku/>
        <w:wordWrap/>
        <w:overflowPunct w:val="0"/>
        <w:topLinePunct w:val="0"/>
        <w:autoSpaceDE w:val="0"/>
        <w:autoSpaceDN w:val="0"/>
        <w:bidi w:val="0"/>
        <w:adjustRightInd w:val="0"/>
        <w:snapToGrid w:val="0"/>
        <w:spacing w:line="240" w:lineRule="auto"/>
        <w:ind w:left="6"/>
        <w:jc w:val="center"/>
        <w:textAlignment w:val="baseline"/>
        <w:rPr>
          <w:rFonts w:hint="eastAsia" w:ascii="楷体_GB2312" w:hAnsi="楷体_GB2312" w:eastAsia="楷体_GB2312" w:cs="楷体_GB2312"/>
          <w:b w:val="0"/>
          <w:bCs w:val="0"/>
          <w:sz w:val="32"/>
          <w:szCs w:val="32"/>
          <w:lang w:val="en-US" w:eastAsia="zh-CN"/>
        </w:rPr>
      </w:pPr>
      <w:bookmarkStart w:id="0" w:name="_GoBack"/>
      <w:bookmarkEnd w:id="0"/>
      <w:r>
        <w:rPr>
          <w:rFonts w:hint="eastAsia" w:ascii="方正小标宋简体" w:hAnsi="方正小标宋简体" w:eastAsia="方正小标宋简体" w:cs="方正小标宋简体"/>
          <w:b w:val="0"/>
          <w:bCs w:val="0"/>
          <w:sz w:val="42"/>
          <w:szCs w:val="42"/>
        </w:rPr>
        <w:t>温岭市财政专户资金竞争性存放管理实施办法</w:t>
      </w:r>
      <w:r>
        <w:rPr>
          <w:rFonts w:hint="eastAsia" w:ascii="楷体_GB2312" w:hAnsi="楷体_GB2312" w:eastAsia="楷体_GB2312" w:cs="楷体_GB2312"/>
          <w:b w:val="0"/>
          <w:bCs w:val="0"/>
          <w:sz w:val="32"/>
          <w:szCs w:val="32"/>
          <w:lang w:eastAsia="zh-CN"/>
        </w:rPr>
        <w:t>（征求意见稿）</w:t>
      </w:r>
    </w:p>
    <w:p w14:paraId="3E30D647">
      <w:pPr>
        <w:pStyle w:val="2"/>
        <w:keepNext w:val="0"/>
        <w:keepLines w:val="0"/>
        <w:pageBreakBefore w:val="0"/>
        <w:widowControl w:val="0"/>
        <w:kinsoku/>
        <w:wordWrap/>
        <w:overflowPunct w:val="0"/>
        <w:topLinePunct w:val="0"/>
        <w:bidi w:val="0"/>
        <w:spacing w:line="590" w:lineRule="exact"/>
      </w:pPr>
    </w:p>
    <w:p w14:paraId="08E1525E">
      <w:pPr>
        <w:keepNext w:val="0"/>
        <w:keepLines w:val="0"/>
        <w:pageBreakBefore w:val="0"/>
        <w:widowControl w:val="0"/>
        <w:kinsoku/>
        <w:wordWrap/>
        <w:overflowPunct w:val="0"/>
        <w:topLinePunct w:val="0"/>
        <w:bidi w:val="0"/>
        <w:spacing w:line="590" w:lineRule="exact"/>
        <w:ind w:left="3494"/>
        <w:jc w:val="both"/>
        <w:rPr>
          <w:rFonts w:hint="eastAsia" w:ascii="黑体" w:hAnsi="黑体" w:eastAsia="黑体" w:cs="黑体"/>
          <w:b w:val="0"/>
          <w:bCs w:val="0"/>
          <w:spacing w:val="0"/>
          <w:position w:val="0"/>
          <w:sz w:val="32"/>
          <w:szCs w:val="32"/>
        </w:rPr>
      </w:pPr>
    </w:p>
    <w:p w14:paraId="31BFA92D">
      <w:pPr>
        <w:keepNext w:val="0"/>
        <w:keepLines w:val="0"/>
        <w:pageBreakBefore w:val="0"/>
        <w:widowControl w:val="0"/>
        <w:kinsoku/>
        <w:wordWrap/>
        <w:overflowPunct w:val="0"/>
        <w:topLinePunct w:val="0"/>
        <w:bidi w:val="0"/>
        <w:spacing w:line="590" w:lineRule="exact"/>
        <w:ind w:left="3494"/>
        <w:jc w:val="both"/>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第一章  总则</w:t>
      </w:r>
    </w:p>
    <w:p w14:paraId="3C219584">
      <w:pPr>
        <w:keepNext w:val="0"/>
        <w:keepLines w:val="0"/>
        <w:pageBreakBefore w:val="0"/>
        <w:widowControl w:val="0"/>
        <w:tabs>
          <w:tab w:val="left" w:pos="158"/>
        </w:tabs>
        <w:kinsoku/>
        <w:wordWrap/>
        <w:overflowPunct w:val="0"/>
        <w:topLinePunct w:val="0"/>
        <w:autoSpaceDE w:val="0"/>
        <w:autoSpaceDN w:val="0"/>
        <w:bidi w:val="0"/>
        <w:adjustRightInd w:val="0"/>
        <w:snapToGrid w:val="0"/>
        <w:spacing w:line="590" w:lineRule="exact"/>
        <w:ind w:right="108" w:firstLine="635"/>
        <w:jc w:val="both"/>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第一条</w:t>
      </w:r>
      <w:r>
        <w:rPr>
          <w:rFonts w:hint="eastAsia" w:ascii="仿宋_GB2312" w:hAnsi="仿宋_GB2312" w:eastAsia="仿宋_GB2312" w:cs="仿宋_GB2312"/>
          <w:spacing w:val="0"/>
          <w:position w:val="0"/>
          <w:sz w:val="32"/>
          <w:szCs w:val="32"/>
        </w:rPr>
        <w:t xml:space="preserve">  为建立健全科学规范、公正透明的财政专户资金存放管理机制，防范资金存放安全风险和廉政风险，发挥财政间歇资金支持经济发展的重要作用，提高资金存放综合效益，根据《中华人民共和国预算法》、《财政部关于进一步加强财政部门和预算单位资金存放管理的指导意见》(财库〔20</w:t>
      </w:r>
      <w:r>
        <w:rPr>
          <w:rFonts w:hint="eastAsia" w:ascii="仿宋_GB2312" w:hAnsi="仿宋_GB2312" w:eastAsia="仿宋_GB2312" w:cs="仿宋_GB2312"/>
          <w:color w:val="auto"/>
          <w:spacing w:val="0"/>
          <w:position w:val="0"/>
          <w:sz w:val="32"/>
          <w:szCs w:val="32"/>
        </w:rPr>
        <w:t>17〕76号)、</w:t>
      </w:r>
      <w:r>
        <w:rPr>
          <w:rFonts w:hint="eastAsia" w:ascii="仿宋_GB2312" w:hAnsi="仿宋_GB2312" w:eastAsia="仿宋_GB2312" w:cs="仿宋_GB2312"/>
          <w:color w:val="auto"/>
          <w:spacing w:val="0"/>
          <w:position w:val="0"/>
          <w:sz w:val="32"/>
          <w:szCs w:val="32"/>
          <w:lang w:eastAsia="zh-CN"/>
        </w:rPr>
        <w:t>《财政专户管理办法》（财库[2013]46号）、</w:t>
      </w:r>
      <w:r>
        <w:rPr>
          <w:rFonts w:hint="eastAsia" w:ascii="仿宋_GB2312" w:hAnsi="仿宋_GB2312" w:eastAsia="仿宋_GB2312" w:cs="仿宋_GB2312"/>
          <w:color w:val="auto"/>
          <w:spacing w:val="0"/>
          <w:position w:val="0"/>
          <w:sz w:val="32"/>
          <w:szCs w:val="32"/>
          <w:highlight w:val="none"/>
        </w:rPr>
        <w:t>《浙江省财政厅关于印发浙江省财政专户资金存放管理实施办法的通知》(浙财预执〔2017)86号〕</w:t>
      </w:r>
      <w:r>
        <w:rPr>
          <w:rFonts w:hint="eastAsia" w:ascii="仿宋_GB2312" w:hAnsi="仿宋_GB2312" w:eastAsia="仿宋_GB2312" w:cs="仿宋_GB2312"/>
          <w:color w:val="auto"/>
          <w:spacing w:val="0"/>
          <w:position w:val="0"/>
          <w:sz w:val="32"/>
          <w:szCs w:val="32"/>
          <w:highlight w:val="none"/>
          <w:lang w:eastAsia="zh-CN"/>
        </w:rPr>
        <w:t>等有关规定，参照</w:t>
      </w:r>
      <w:r>
        <w:rPr>
          <w:rFonts w:hint="eastAsia" w:ascii="仿宋_GB2312" w:hAnsi="仿宋_GB2312" w:eastAsia="仿宋_GB2312" w:cs="仿宋_GB2312"/>
          <w:color w:val="auto"/>
          <w:spacing w:val="0"/>
          <w:position w:val="0"/>
          <w:sz w:val="32"/>
          <w:szCs w:val="32"/>
        </w:rPr>
        <w:t>《台州市人民政府办公室关于印发台州市市本级财政专户资金</w:t>
      </w:r>
      <w:r>
        <w:rPr>
          <w:rFonts w:hint="eastAsia" w:ascii="仿宋_GB2312" w:hAnsi="仿宋_GB2312" w:eastAsia="仿宋_GB2312" w:cs="仿宋_GB2312"/>
          <w:spacing w:val="0"/>
          <w:position w:val="0"/>
          <w:sz w:val="32"/>
          <w:szCs w:val="32"/>
        </w:rPr>
        <w:t>竞争性存放管理实施办法和台州市市本级行政事业单位公款竞争性存放管理办法的通知》(台政办发〔2018〕63号)，制定本办法。</w:t>
      </w:r>
    </w:p>
    <w:p w14:paraId="434B7937">
      <w:pPr>
        <w:keepNext w:val="0"/>
        <w:keepLines w:val="0"/>
        <w:pageBreakBefore w:val="0"/>
        <w:widowControl w:val="0"/>
        <w:kinsoku/>
        <w:wordWrap/>
        <w:overflowPunct w:val="0"/>
        <w:topLinePunct w:val="0"/>
        <w:bidi w:val="0"/>
        <w:spacing w:line="590" w:lineRule="exact"/>
        <w:ind w:right="232" w:firstLine="63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第二条</w:t>
      </w:r>
      <w:r>
        <w:rPr>
          <w:rFonts w:hint="eastAsia" w:ascii="仿宋_GB2312" w:hAnsi="仿宋_GB2312" w:eastAsia="仿宋_GB2312" w:cs="仿宋_GB2312"/>
          <w:spacing w:val="0"/>
          <w:position w:val="0"/>
          <w:sz w:val="32"/>
          <w:szCs w:val="32"/>
        </w:rPr>
        <w:t xml:space="preserve"> 本办法所称财政专户资金，是指财政部门为履行公 共财政管理职能，按照规定可以开设财政专户进行存储的特定专用资金，包括社会保险基金、国际金融组织和外国政府贷款及赠款资金、财政代管资金、事业收入资金、偿债准备金、外币专户资金以及专项支出资金。</w:t>
      </w:r>
    </w:p>
    <w:p w14:paraId="20950915">
      <w:pPr>
        <w:keepNext w:val="0"/>
        <w:keepLines w:val="0"/>
        <w:pageBreakBefore w:val="0"/>
        <w:widowControl w:val="0"/>
        <w:kinsoku/>
        <w:wordWrap/>
        <w:overflowPunct w:val="0"/>
        <w:topLinePunct w:val="0"/>
        <w:bidi w:val="0"/>
        <w:spacing w:line="590" w:lineRule="exact"/>
        <w:ind w:left="63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第三条</w:t>
      </w:r>
      <w:r>
        <w:rPr>
          <w:rFonts w:hint="eastAsia" w:ascii="仿宋_GB2312" w:hAnsi="仿宋_GB2312" w:eastAsia="仿宋_GB2312" w:cs="仿宋_GB2312"/>
          <w:spacing w:val="0"/>
          <w:position w:val="0"/>
          <w:sz w:val="32"/>
          <w:szCs w:val="32"/>
        </w:rPr>
        <w:t xml:space="preserve"> 财政专户资金竞争性存放是指在确保资金安全、正</w:t>
      </w:r>
    </w:p>
    <w:p w14:paraId="15AFA511">
      <w:pPr>
        <w:keepNext w:val="0"/>
        <w:keepLines w:val="0"/>
        <w:pageBreakBefore w:val="0"/>
        <w:widowControl w:val="0"/>
        <w:kinsoku/>
        <w:wordWrap/>
        <w:overflowPunct w:val="0"/>
        <w:topLinePunct w:val="0"/>
        <w:bidi w:val="0"/>
        <w:spacing w:line="590" w:lineRule="exact"/>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常支付需要的前提下，按照“公开、公平、公正、竟争、效益”的要求，建立以公开招投标为主要方式的财政专户资金竞争性存放机制，以商业银行定期存款为主要操作方式，盘活沉淀资金、提高财政专户资金使用效益、防止资金存放方面的利益冲突和利益输送的财政专户资金管理活动。</w:t>
      </w:r>
    </w:p>
    <w:p w14:paraId="4EBFF703">
      <w:pPr>
        <w:keepNext w:val="0"/>
        <w:keepLines w:val="0"/>
        <w:pageBreakBefore w:val="0"/>
        <w:widowControl w:val="0"/>
        <w:kinsoku/>
        <w:wordWrap/>
        <w:overflowPunct w:val="0"/>
        <w:topLinePunct w:val="0"/>
        <w:bidi w:val="0"/>
        <w:spacing w:line="590" w:lineRule="exact"/>
        <w:ind w:right="21" w:firstLine="64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第四条</w:t>
      </w:r>
      <w:r>
        <w:rPr>
          <w:rFonts w:hint="eastAsia" w:ascii="仿宋_GB2312" w:hAnsi="仿宋_GB2312" w:eastAsia="仿宋_GB2312" w:cs="仿宋_GB2312"/>
          <w:spacing w:val="0"/>
          <w:position w:val="0"/>
          <w:sz w:val="32"/>
          <w:szCs w:val="32"/>
        </w:rPr>
        <w:t xml:space="preserve"> 财政专户资金存放坚持安全性、流动性、收益性相 统一原则和公开、公平、公正原则。安全性、流动性、收益性相统一原则是指在确保财政专户资金安全和支付流动性需求基础上，实现资金保值增值。公开、公平、公正原则是指财政专户资金招投标及存放过程公开、程序透明、结果公正。</w:t>
      </w:r>
    </w:p>
    <w:p w14:paraId="660494B5">
      <w:pPr>
        <w:keepNext w:val="0"/>
        <w:keepLines w:val="0"/>
        <w:pageBreakBefore w:val="0"/>
        <w:widowControl w:val="0"/>
        <w:kinsoku/>
        <w:wordWrap/>
        <w:overflowPunct w:val="0"/>
        <w:topLinePunct w:val="0"/>
        <w:bidi w:val="0"/>
        <w:spacing w:line="590" w:lineRule="exact"/>
        <w:ind w:right="51" w:firstLine="64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val="en-US" w:eastAsia="zh-CN"/>
        </w:rPr>
        <w:t>五</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除国家政策已明确存放银行和涉密等有特殊存放管理要求的资金外，新开设财政专户或变更财政专户开户银行，应当按照规定采取竞争性方式选择确定。</w:t>
      </w:r>
    </w:p>
    <w:p w14:paraId="6FCFE050">
      <w:pPr>
        <w:keepNext w:val="0"/>
        <w:keepLines w:val="0"/>
        <w:pageBreakBefore w:val="0"/>
        <w:widowControl w:val="0"/>
        <w:kinsoku/>
        <w:wordWrap/>
        <w:overflowPunct w:val="0"/>
        <w:topLinePunct w:val="0"/>
        <w:bidi w:val="0"/>
        <w:spacing w:line="590" w:lineRule="exact"/>
        <w:ind w:right="69" w:firstLine="64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eastAsia="zh-CN"/>
        </w:rPr>
        <w:t>六</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财政专户资金一般在财政专户开户银行办理定期 存款、协定存款、通知存款，不得采取购买理财产品的方式存放财政专户资金；除粮食风险基金等国务院批准保留的专项支出类财政专户资金和待缴国库非税收入资金、外国政府和国际金融组织贷款和赠款资金外，社会保险基金等大额财政专户资金，可以转出开户银行进行定期存款。财政专户资金转出开户银行进行定期存款的，应当采取竞争性方式。</w:t>
      </w:r>
    </w:p>
    <w:p w14:paraId="3A07780E">
      <w:pPr>
        <w:keepNext w:val="0"/>
        <w:keepLines w:val="0"/>
        <w:pageBreakBefore w:val="0"/>
        <w:widowControl w:val="0"/>
        <w:kinsoku/>
        <w:wordWrap/>
        <w:overflowPunct w:val="0"/>
        <w:topLinePunct w:val="0"/>
        <w:bidi w:val="0"/>
        <w:spacing w:line="590" w:lineRule="exact"/>
        <w:ind w:right="243" w:firstLine="65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eastAsia="zh-CN"/>
        </w:rPr>
        <w:t>七</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竞争性方式是指财政部门在确保资金安全和资金支付需要前提下，通过招投标等方式公开邀请银行报名参与竞争，择优选择资金存放银行。</w:t>
      </w:r>
    </w:p>
    <w:p w14:paraId="2025A261">
      <w:pPr>
        <w:keepNext w:val="0"/>
        <w:keepLines w:val="0"/>
        <w:pageBreakBefore w:val="0"/>
        <w:widowControl w:val="0"/>
        <w:kinsoku/>
        <w:wordWrap/>
        <w:overflowPunct w:val="0"/>
        <w:topLinePunct w:val="0"/>
        <w:bidi w:val="0"/>
        <w:spacing w:line="590" w:lineRule="exact"/>
        <w:ind w:right="41" w:firstLine="654"/>
        <w:jc w:val="both"/>
        <w:rPr>
          <w:rFonts w:hint="eastAsia" w:ascii="仿宋_GB2312" w:hAnsi="仿宋_GB2312" w:eastAsia="仿宋_GB2312" w:cs="仿宋_GB2312"/>
          <w:spacing w:val="0"/>
          <w:position w:val="0"/>
          <w:sz w:val="32"/>
          <w:szCs w:val="32"/>
          <w:highlight w:val="none"/>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eastAsia="zh-CN"/>
        </w:rPr>
        <w:t>八</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除社会保险基金等按照国家规定开展保值增值管 理的资金外，</w:t>
      </w:r>
      <w:r>
        <w:rPr>
          <w:rFonts w:hint="eastAsia" w:ascii="仿宋_GB2312" w:hAnsi="仿宋_GB2312" w:eastAsia="仿宋_GB2312" w:cs="仿宋_GB2312"/>
          <w:spacing w:val="0"/>
          <w:position w:val="0"/>
          <w:sz w:val="32"/>
          <w:szCs w:val="32"/>
          <w:highlight w:val="none"/>
        </w:rPr>
        <w:t>财政专户资金定期存款期限一般控制在1年以内(含1年)。</w:t>
      </w:r>
    </w:p>
    <w:p w14:paraId="638C2552">
      <w:pPr>
        <w:keepNext w:val="0"/>
        <w:keepLines w:val="0"/>
        <w:pageBreakBefore w:val="0"/>
        <w:widowControl w:val="0"/>
        <w:kinsoku/>
        <w:wordWrap/>
        <w:overflowPunct w:val="0"/>
        <w:topLinePunct w:val="0"/>
        <w:bidi w:val="0"/>
        <w:spacing w:line="590" w:lineRule="exact"/>
        <w:jc w:val="center"/>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第二章  商业银行定期存款操作</w:t>
      </w:r>
    </w:p>
    <w:p w14:paraId="7A4C513D">
      <w:pPr>
        <w:keepNext w:val="0"/>
        <w:keepLines w:val="0"/>
        <w:pageBreakBefore w:val="0"/>
        <w:widowControl w:val="0"/>
        <w:kinsoku/>
        <w:wordWrap/>
        <w:overflowPunct w:val="0"/>
        <w:topLinePunct w:val="0"/>
        <w:bidi w:val="0"/>
        <w:spacing w:line="590" w:lineRule="exact"/>
        <w:ind w:right="74" w:firstLine="640" w:firstLineChars="200"/>
        <w:jc w:val="both"/>
        <w:rPr>
          <w:rFonts w:hint="eastAsia" w:ascii="仿宋_GB2312" w:hAnsi="仿宋_GB2312" w:eastAsia="仿宋_GB2312" w:cs="仿宋_GB2312"/>
          <w:color w:val="auto"/>
          <w:spacing w:val="0"/>
          <w:position w:val="0"/>
          <w:sz w:val="32"/>
          <w:szCs w:val="32"/>
          <w:lang w:eastAsia="zh-CN"/>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eastAsia="zh-CN"/>
        </w:rPr>
        <w:t>九</w:t>
      </w:r>
      <w:r>
        <w:rPr>
          <w:rFonts w:hint="eastAsia" w:ascii="黑体" w:hAnsi="黑体" w:eastAsia="黑体" w:cs="黑体"/>
          <w:b w:val="0"/>
          <w:bCs w:val="0"/>
          <w:spacing w:val="0"/>
          <w:position w:val="0"/>
          <w:sz w:val="32"/>
          <w:szCs w:val="32"/>
        </w:rPr>
        <w:t xml:space="preserve">条 </w:t>
      </w:r>
      <w:r>
        <w:rPr>
          <w:rFonts w:hint="eastAsia" w:ascii="仿宋_GB2312" w:hAnsi="仿宋_GB2312" w:eastAsia="仿宋_GB2312" w:cs="仿宋_GB2312"/>
          <w:spacing w:val="0"/>
          <w:position w:val="0"/>
          <w:sz w:val="32"/>
          <w:szCs w:val="32"/>
        </w:rPr>
        <w:t>参与财政专户资金存放的银行是指在中华人民共和国境内依法设立的国有商业银行、股份制商业</w:t>
      </w:r>
      <w:r>
        <w:rPr>
          <w:rFonts w:hint="eastAsia" w:ascii="仿宋_GB2312" w:hAnsi="仿宋_GB2312" w:eastAsia="仿宋_GB2312" w:cs="仿宋_GB2312"/>
          <w:color w:val="auto"/>
          <w:spacing w:val="0"/>
          <w:position w:val="0"/>
          <w:sz w:val="32"/>
          <w:szCs w:val="32"/>
        </w:rPr>
        <w:t>银行、邮政储蓄银行、城市商业银行、农村商业银行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政策性银行。银行参与投标应</w:t>
      </w:r>
      <w:r>
        <w:rPr>
          <w:rFonts w:hint="eastAsia" w:ascii="仿宋_GB2312" w:hAnsi="仿宋_GB2312" w:eastAsia="仿宋_GB2312" w:cs="仿宋_GB2312"/>
          <w:color w:val="auto"/>
          <w:spacing w:val="0"/>
          <w:position w:val="0"/>
          <w:sz w:val="32"/>
          <w:szCs w:val="32"/>
          <w:lang w:eastAsia="zh-CN"/>
        </w:rPr>
        <w:t>符合以下条件：</w:t>
      </w:r>
    </w:p>
    <w:p w14:paraId="06132D05">
      <w:pPr>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pacing w:val="0"/>
          <w:position w:val="0"/>
          <w:sz w:val="32"/>
          <w:szCs w:val="32"/>
          <w:lang w:eastAsia="zh-CN"/>
        </w:rPr>
        <w:t>（一）</w:t>
      </w:r>
      <w:r>
        <w:rPr>
          <w:rFonts w:hint="eastAsia" w:ascii="仿宋_GB2312" w:hAnsi="仿宋_GB2312" w:eastAsia="仿宋_GB2312" w:cs="仿宋_GB2312"/>
          <w:spacing w:val="0"/>
          <w:position w:val="0"/>
          <w:sz w:val="32"/>
          <w:szCs w:val="32"/>
        </w:rPr>
        <w:t>依法开展经营活动，</w:t>
      </w:r>
      <w:r>
        <w:rPr>
          <w:rFonts w:hint="eastAsia" w:ascii="仿宋_GB2312" w:hAnsi="仿宋_GB2312" w:eastAsia="仿宋_GB2312" w:cs="仿宋_GB2312"/>
          <w:sz w:val="32"/>
          <w:szCs w:val="32"/>
        </w:rPr>
        <w:t>近3年内在经营活动中无重大违法违规记录及重大违约事件</w:t>
      </w:r>
      <w:r>
        <w:rPr>
          <w:rFonts w:hint="eastAsia" w:ascii="仿宋_GB2312" w:hAnsi="仿宋_GB2312" w:eastAsia="仿宋_GB2312" w:cs="仿宋_GB2312"/>
          <w:sz w:val="32"/>
          <w:szCs w:val="32"/>
          <w:lang w:eastAsia="zh-CN"/>
        </w:rPr>
        <w:t>；</w:t>
      </w:r>
    </w:p>
    <w:p w14:paraId="45CA7FFA">
      <w:pPr>
        <w:keepNext w:val="0"/>
        <w:keepLines w:val="0"/>
        <w:pageBreakBefore w:val="0"/>
        <w:widowControl w:val="0"/>
        <w:kinsoku/>
        <w:wordWrap/>
        <w:overflowPunct w:val="0"/>
        <w:topLinePunct w:val="0"/>
        <w:bidi w:val="0"/>
        <w:spacing w:line="590" w:lineRule="exact"/>
        <w:ind w:right="74" w:firstLine="640" w:firstLineChars="200"/>
        <w:jc w:val="both"/>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eastAsia="zh-CN"/>
        </w:rPr>
        <w:t>（二）人民银行上年度综合评价应达到</w:t>
      </w:r>
      <w:r>
        <w:rPr>
          <w:rFonts w:hint="eastAsia" w:ascii="仿宋_GB2312" w:hAnsi="仿宋_GB2312" w:eastAsia="仿宋_GB2312" w:cs="仿宋_GB2312"/>
          <w:spacing w:val="0"/>
          <w:position w:val="0"/>
          <w:sz w:val="32"/>
          <w:szCs w:val="32"/>
          <w:lang w:val="en-US" w:eastAsia="zh-CN"/>
        </w:rPr>
        <w:t>B级及以上，但是不纳入人民银行评级范围的银行不受此限制。</w:t>
      </w:r>
    </w:p>
    <w:p w14:paraId="7B961B81">
      <w:pPr>
        <w:keepNext w:val="0"/>
        <w:keepLines w:val="0"/>
        <w:pageBreakBefore w:val="0"/>
        <w:widowControl w:val="0"/>
        <w:kinsoku/>
        <w:wordWrap/>
        <w:overflowPunct w:val="0"/>
        <w:topLinePunct w:val="0"/>
        <w:bidi w:val="0"/>
        <w:spacing w:line="590" w:lineRule="exact"/>
        <w:ind w:right="84" w:firstLine="65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 xml:space="preserve">第十条 </w:t>
      </w:r>
      <w:r>
        <w:rPr>
          <w:rFonts w:hint="eastAsia" w:ascii="仿宋_GB2312" w:hAnsi="仿宋_GB2312" w:eastAsia="仿宋_GB2312" w:cs="仿宋_GB2312"/>
          <w:spacing w:val="0"/>
          <w:position w:val="0"/>
          <w:sz w:val="32"/>
          <w:szCs w:val="32"/>
        </w:rPr>
        <w:t>财政部门应当科学预测资金流量，在确保资金正常支付需要的前提下，根据资金量制定财政专户资金定期存款竞争性存放计划。</w:t>
      </w:r>
    </w:p>
    <w:p w14:paraId="01A842EA">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napToGrid/>
          <w:color w:val="auto"/>
          <w:spacing w:val="0"/>
          <w:kern w:val="2"/>
          <w:position w:val="0"/>
          <w:sz w:val="32"/>
          <w:szCs w:val="32"/>
          <w:lang w:eastAsia="zh-CN"/>
        </w:rPr>
      </w:pPr>
      <w:r>
        <w:rPr>
          <w:rFonts w:hint="eastAsia" w:ascii="黑体" w:hAnsi="黑体" w:eastAsia="黑体" w:cs="黑体"/>
          <w:b w:val="0"/>
          <w:bCs w:val="0"/>
          <w:spacing w:val="0"/>
          <w:position w:val="0"/>
          <w:sz w:val="32"/>
          <w:szCs w:val="32"/>
        </w:rPr>
        <w:t>第十</w:t>
      </w:r>
      <w:r>
        <w:rPr>
          <w:rFonts w:hint="eastAsia" w:ascii="黑体" w:hAnsi="黑体" w:eastAsia="黑体" w:cs="黑体"/>
          <w:b w:val="0"/>
          <w:bCs w:val="0"/>
          <w:spacing w:val="0"/>
          <w:position w:val="0"/>
          <w:sz w:val="32"/>
          <w:szCs w:val="32"/>
          <w:lang w:eastAsia="zh-CN"/>
        </w:rPr>
        <w:t>一</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color w:val="auto"/>
          <w:spacing w:val="0"/>
          <w:position w:val="0"/>
          <w:sz w:val="32"/>
          <w:szCs w:val="32"/>
          <w:lang w:eastAsia="zh-CN"/>
        </w:rPr>
        <w:t>单次招标金额在5000万元以上的，每家参与银行投标总额不得超过当期财政资金竞争性存放招标总额的35%。</w:t>
      </w:r>
    </w:p>
    <w:p w14:paraId="51B17952">
      <w:pPr>
        <w:keepNext w:val="0"/>
        <w:keepLines w:val="0"/>
        <w:pageBreakBefore w:val="0"/>
        <w:widowControl w:val="0"/>
        <w:kinsoku/>
        <w:wordWrap/>
        <w:overflowPunct w:val="0"/>
        <w:topLinePunct w:val="0"/>
        <w:bidi w:val="0"/>
        <w:spacing w:line="590" w:lineRule="exact"/>
        <w:ind w:firstLine="640" w:firstLineChars="200"/>
        <w:jc w:val="both"/>
        <w:rPr>
          <w:rFonts w:hint="eastAsia" w:ascii="仿宋_GB2312" w:hAnsi="仿宋_GB2312" w:eastAsia="仿宋_GB2312" w:cs="仿宋_GB2312"/>
          <w:color w:val="auto"/>
          <w:spacing w:val="0"/>
          <w:position w:val="0"/>
          <w:sz w:val="32"/>
          <w:szCs w:val="32"/>
        </w:rPr>
      </w:pPr>
      <w:r>
        <w:rPr>
          <w:rFonts w:hint="eastAsia" w:ascii="黑体" w:hAnsi="黑体" w:eastAsia="黑体" w:cs="黑体"/>
          <w:b w:val="0"/>
          <w:bCs w:val="0"/>
          <w:spacing w:val="0"/>
          <w:position w:val="0"/>
          <w:sz w:val="32"/>
          <w:szCs w:val="32"/>
        </w:rPr>
        <w:t>第十</w:t>
      </w:r>
      <w:r>
        <w:rPr>
          <w:rFonts w:hint="eastAsia" w:ascii="黑体" w:hAnsi="黑体" w:eastAsia="黑体" w:cs="黑体"/>
          <w:b w:val="0"/>
          <w:bCs w:val="0"/>
          <w:spacing w:val="0"/>
          <w:position w:val="0"/>
          <w:sz w:val="32"/>
          <w:szCs w:val="32"/>
          <w:lang w:eastAsia="zh-CN"/>
        </w:rPr>
        <w:t>二</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定期存款中标银行在接受财政专户资金存款时， 应按规定及时、足额提供质押品。质押品为可流通的国债或</w:t>
      </w:r>
      <w:r>
        <w:rPr>
          <w:rFonts w:hint="eastAsia" w:ascii="仿宋_GB2312" w:hAnsi="仿宋_GB2312" w:eastAsia="仿宋_GB2312" w:cs="仿宋_GB2312"/>
          <w:spacing w:val="0"/>
          <w:position w:val="0"/>
          <w:sz w:val="32"/>
          <w:szCs w:val="32"/>
          <w:highlight w:val="none"/>
        </w:rPr>
        <w:t>地方 政府债券</w:t>
      </w:r>
      <w:r>
        <w:rPr>
          <w:rFonts w:hint="eastAsia" w:ascii="仿宋_GB2312" w:hAnsi="仿宋_GB2312" w:eastAsia="仿宋_GB2312" w:cs="仿宋_GB2312"/>
          <w:spacing w:val="0"/>
          <w:position w:val="0"/>
          <w:sz w:val="32"/>
          <w:szCs w:val="32"/>
        </w:rPr>
        <w:t>，质押的国债或</w:t>
      </w:r>
      <w:r>
        <w:rPr>
          <w:rFonts w:hint="eastAsia" w:ascii="仿宋_GB2312" w:hAnsi="仿宋_GB2312" w:eastAsia="仿宋_GB2312" w:cs="仿宋_GB2312"/>
          <w:spacing w:val="0"/>
          <w:position w:val="0"/>
          <w:sz w:val="32"/>
          <w:szCs w:val="32"/>
          <w:highlight w:val="none"/>
        </w:rPr>
        <w:t>地方政府债券</w:t>
      </w:r>
      <w:r>
        <w:rPr>
          <w:rFonts w:hint="eastAsia" w:ascii="仿宋_GB2312" w:hAnsi="仿宋_GB2312" w:eastAsia="仿宋_GB2312" w:cs="仿宋_GB2312"/>
          <w:spacing w:val="0"/>
          <w:position w:val="0"/>
          <w:sz w:val="32"/>
          <w:szCs w:val="32"/>
        </w:rPr>
        <w:t>面值数额分别为存款金额的105%、115%。</w:t>
      </w:r>
      <w:r>
        <w:rPr>
          <w:rFonts w:hint="eastAsia" w:ascii="仿宋_GB2312" w:hAnsi="仿宋_GB2312" w:eastAsia="仿宋_GB2312" w:cs="仿宋_GB2312"/>
          <w:color w:val="auto"/>
          <w:spacing w:val="0"/>
          <w:position w:val="0"/>
          <w:sz w:val="32"/>
          <w:szCs w:val="32"/>
          <w:highlight w:val="none"/>
          <w:u w:val="none"/>
          <w:lang w:val="en-US" w:eastAsia="zh-CN"/>
        </w:rPr>
        <w:t>若市政府另有规定的从其规定。</w:t>
      </w:r>
      <w:r>
        <w:rPr>
          <w:rFonts w:hint="eastAsia" w:ascii="仿宋_GB2312" w:hAnsi="仿宋_GB2312" w:eastAsia="仿宋_GB2312" w:cs="仿宋_GB2312"/>
          <w:color w:val="auto"/>
          <w:spacing w:val="0"/>
          <w:position w:val="0"/>
          <w:sz w:val="32"/>
          <w:szCs w:val="32"/>
        </w:rPr>
        <w:t>未提供质押品的竞标银行，则须按规定出具存放资金的担保函，其中国有商业银行、邮政储蓄银行、及政策性银行由上级行出具担保函；股份制银行由省分行出具担保函；城市商业银行、农村商业银行等地方性银行</w:t>
      </w:r>
      <w:r>
        <w:rPr>
          <w:rFonts w:hint="eastAsia" w:ascii="仿宋_GB2312" w:hAnsi="仿宋_GB2312" w:eastAsia="仿宋_GB2312" w:cs="仿宋_GB2312"/>
          <w:color w:val="auto"/>
          <w:spacing w:val="0"/>
          <w:position w:val="0"/>
          <w:sz w:val="32"/>
          <w:szCs w:val="32"/>
          <w:highlight w:val="none"/>
        </w:rPr>
        <w:t>由他</w:t>
      </w:r>
      <w:r>
        <w:rPr>
          <w:rFonts w:hint="eastAsia" w:ascii="仿宋_GB2312" w:hAnsi="仿宋_GB2312" w:eastAsia="仿宋_GB2312" w:cs="仿宋_GB2312"/>
          <w:color w:val="auto"/>
          <w:spacing w:val="0"/>
          <w:position w:val="0"/>
          <w:sz w:val="32"/>
          <w:szCs w:val="32"/>
        </w:rPr>
        <w:t>行出具担保函。担保额度为存放金额的120%。不能提供规定额度质押品或担保函的，取消中标资格。</w:t>
      </w:r>
    </w:p>
    <w:p w14:paraId="24802AA3">
      <w:pPr>
        <w:keepNext w:val="0"/>
        <w:keepLines w:val="0"/>
        <w:pageBreakBefore w:val="0"/>
        <w:widowControl w:val="0"/>
        <w:kinsoku/>
        <w:wordWrap/>
        <w:overflowPunct w:val="0"/>
        <w:topLinePunct w:val="0"/>
        <w:bidi w:val="0"/>
        <w:spacing w:line="590" w:lineRule="exact"/>
        <w:ind w:right="104" w:firstLine="62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w:t>
      </w:r>
      <w:r>
        <w:rPr>
          <w:rFonts w:hint="eastAsia" w:ascii="黑体" w:hAnsi="黑体" w:eastAsia="黑体" w:cs="黑体"/>
          <w:b w:val="0"/>
          <w:bCs w:val="0"/>
          <w:spacing w:val="0"/>
          <w:position w:val="0"/>
          <w:sz w:val="32"/>
          <w:szCs w:val="32"/>
          <w:lang w:eastAsia="zh-CN"/>
        </w:rPr>
        <w:t>三</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财政部门应确保竞争性存放参与银行充足的响应准备时间，至少于每次操作</w:t>
      </w:r>
      <w:r>
        <w:rPr>
          <w:rFonts w:hint="eastAsia" w:ascii="仿宋_GB2312" w:hAnsi="仿宋_GB2312" w:eastAsia="仿宋_GB2312" w:cs="仿宋_GB2312"/>
          <w:spacing w:val="0"/>
          <w:position w:val="0"/>
          <w:sz w:val="32"/>
          <w:szCs w:val="32"/>
          <w:highlight w:val="none"/>
        </w:rPr>
        <w:t>前</w:t>
      </w:r>
      <w:r>
        <w:rPr>
          <w:rFonts w:hint="eastAsia" w:ascii="仿宋_GB2312" w:hAnsi="仿宋_GB2312" w:eastAsia="仿宋_GB2312" w:cs="仿宋_GB2312"/>
          <w:color w:val="auto"/>
          <w:spacing w:val="0"/>
          <w:position w:val="0"/>
          <w:sz w:val="32"/>
          <w:szCs w:val="32"/>
          <w:highlight w:val="none"/>
          <w:lang w:val="en-US" w:eastAsia="zh-CN"/>
        </w:rPr>
        <w:t>5</w:t>
      </w:r>
      <w:r>
        <w:rPr>
          <w:rFonts w:hint="eastAsia" w:ascii="仿宋_GB2312" w:hAnsi="仿宋_GB2312" w:eastAsia="仿宋_GB2312" w:cs="仿宋_GB2312"/>
          <w:color w:val="auto"/>
          <w:spacing w:val="0"/>
          <w:position w:val="0"/>
          <w:sz w:val="32"/>
          <w:szCs w:val="32"/>
          <w:highlight w:val="none"/>
        </w:rPr>
        <w:t>个</w:t>
      </w:r>
      <w:r>
        <w:rPr>
          <w:rFonts w:hint="eastAsia" w:ascii="仿宋_GB2312" w:hAnsi="仿宋_GB2312" w:eastAsia="仿宋_GB2312" w:cs="仿宋_GB2312"/>
          <w:spacing w:val="0"/>
          <w:position w:val="0"/>
          <w:sz w:val="32"/>
          <w:szCs w:val="32"/>
        </w:rPr>
        <w:t>工作日，通过“浙江政府采购网”网站(以下简称指定网站)发布邀请银行参与财政专户资金竞争性存放的公告。</w:t>
      </w:r>
    </w:p>
    <w:p w14:paraId="0DD8F8EF">
      <w:pPr>
        <w:keepNext w:val="0"/>
        <w:keepLines w:val="0"/>
        <w:pageBreakBefore w:val="0"/>
        <w:widowControl w:val="0"/>
        <w:kinsoku/>
        <w:wordWrap/>
        <w:overflowPunct w:val="0"/>
        <w:topLinePunct w:val="0"/>
        <w:bidi w:val="0"/>
        <w:spacing w:line="590" w:lineRule="exact"/>
        <w:ind w:firstLine="640" w:firstLineChars="200"/>
        <w:jc w:val="both"/>
        <w:rPr>
          <w:rFonts w:hint="eastAsia" w:ascii="仿宋_GB2312" w:hAnsi="仿宋_GB2312" w:eastAsia="仿宋_GB2312" w:cs="仿宋_GB2312"/>
          <w:color w:val="auto"/>
          <w:spacing w:val="0"/>
          <w:position w:val="0"/>
          <w:sz w:val="32"/>
          <w:szCs w:val="32"/>
          <w:highlight w:val="none"/>
          <w:u w:val="none"/>
          <w:lang w:val="en-US" w:eastAsia="zh-CN"/>
        </w:rPr>
      </w:pPr>
      <w:r>
        <w:rPr>
          <w:rFonts w:hint="eastAsia" w:ascii="黑体" w:hAnsi="黑体" w:eastAsia="黑体" w:cs="黑体"/>
          <w:b w:val="0"/>
          <w:bCs w:val="0"/>
          <w:spacing w:val="0"/>
          <w:position w:val="0"/>
          <w:sz w:val="32"/>
          <w:szCs w:val="32"/>
        </w:rPr>
        <w:t>第十</w:t>
      </w:r>
      <w:r>
        <w:rPr>
          <w:rFonts w:hint="eastAsia" w:ascii="黑体" w:hAnsi="黑体" w:eastAsia="黑体" w:cs="黑体"/>
          <w:b w:val="0"/>
          <w:bCs w:val="0"/>
          <w:spacing w:val="0"/>
          <w:position w:val="0"/>
          <w:sz w:val="32"/>
          <w:szCs w:val="32"/>
          <w:lang w:eastAsia="zh-CN"/>
        </w:rPr>
        <w:t>四</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财政专户资金竞争性存放采用综合评分法进行评 分。评分指标和评分标准遵循客观、公正、科学的原则设置，原 则上包</w:t>
      </w:r>
      <w:r>
        <w:rPr>
          <w:rFonts w:hint="eastAsia" w:ascii="仿宋_GB2312" w:hAnsi="仿宋_GB2312" w:eastAsia="仿宋_GB2312" w:cs="仿宋_GB2312"/>
          <w:color w:val="auto"/>
          <w:spacing w:val="0"/>
          <w:position w:val="0"/>
          <w:sz w:val="32"/>
          <w:szCs w:val="32"/>
          <w:highlight w:val="none"/>
        </w:rPr>
        <w:t>括</w:t>
      </w:r>
      <w:r>
        <w:rPr>
          <w:rFonts w:hint="eastAsia" w:ascii="仿宋_GB2312" w:hAnsi="仿宋_GB2312" w:eastAsia="仿宋_GB2312" w:cs="仿宋_GB2312"/>
          <w:color w:val="auto"/>
          <w:spacing w:val="0"/>
          <w:position w:val="0"/>
          <w:sz w:val="32"/>
          <w:szCs w:val="32"/>
          <w:highlight w:val="none"/>
          <w:u w:val="none"/>
          <w:lang w:val="en-US" w:eastAsia="zh-CN"/>
        </w:rPr>
        <w:t>定期存款年收益率、贡献度、经营状况、加分项</w:t>
      </w:r>
      <w:r>
        <w:rPr>
          <w:rFonts w:hint="eastAsia" w:ascii="仿宋_GB2312" w:hAnsi="仿宋_GB2312" w:eastAsia="仿宋_GB2312" w:cs="仿宋_GB2312"/>
          <w:color w:val="auto"/>
          <w:spacing w:val="0"/>
          <w:position w:val="0"/>
          <w:sz w:val="32"/>
          <w:szCs w:val="32"/>
          <w:highlight w:val="none"/>
        </w:rPr>
        <w:t>等方面指标。具体指标、分值由市财政局制定的财政资金竞争性存放商业银行定期存款业务操作规程</w:t>
      </w:r>
      <w:r>
        <w:rPr>
          <w:rFonts w:hint="eastAsia" w:ascii="仿宋_GB2312" w:hAnsi="仿宋_GB2312" w:eastAsia="仿宋_GB2312" w:cs="仿宋_GB2312"/>
          <w:color w:val="auto"/>
          <w:spacing w:val="0"/>
          <w:position w:val="0"/>
          <w:sz w:val="32"/>
          <w:szCs w:val="32"/>
          <w:highlight w:val="none"/>
          <w:lang w:eastAsia="zh-CN"/>
        </w:rPr>
        <w:t>和有关事项</w:t>
      </w:r>
      <w:r>
        <w:rPr>
          <w:rFonts w:hint="eastAsia" w:ascii="仿宋_GB2312" w:hAnsi="仿宋_GB2312" w:eastAsia="仿宋_GB2312" w:cs="仿宋_GB2312"/>
          <w:color w:val="auto"/>
          <w:spacing w:val="0"/>
          <w:position w:val="0"/>
          <w:sz w:val="32"/>
          <w:szCs w:val="32"/>
          <w:highlight w:val="none"/>
        </w:rPr>
        <w:t>予</w:t>
      </w:r>
      <w:r>
        <w:rPr>
          <w:rFonts w:hint="eastAsia" w:ascii="仿宋_GB2312" w:hAnsi="仿宋_GB2312" w:eastAsia="仿宋_GB2312" w:cs="仿宋_GB2312"/>
          <w:spacing w:val="0"/>
          <w:position w:val="0"/>
          <w:sz w:val="32"/>
          <w:szCs w:val="32"/>
        </w:rPr>
        <w:t>以明确，评分指标数据由市级各职能部门按要求提供，</w:t>
      </w:r>
      <w:r>
        <w:rPr>
          <w:rFonts w:hint="eastAsia" w:ascii="仿宋_GB2312" w:hAnsi="仿宋_GB2312" w:eastAsia="仿宋_GB2312" w:cs="仿宋_GB2312"/>
          <w:color w:val="auto"/>
          <w:spacing w:val="0"/>
          <w:position w:val="0"/>
          <w:sz w:val="32"/>
          <w:szCs w:val="32"/>
          <w:highlight w:val="none"/>
        </w:rPr>
        <w:t>评分</w:t>
      </w:r>
      <w:r>
        <w:rPr>
          <w:rFonts w:hint="eastAsia" w:ascii="仿宋_GB2312" w:hAnsi="仿宋_GB2312" w:eastAsia="仿宋_GB2312" w:cs="仿宋_GB2312"/>
          <w:color w:val="auto"/>
          <w:spacing w:val="0"/>
          <w:position w:val="0"/>
          <w:sz w:val="32"/>
          <w:szCs w:val="32"/>
          <w:highlight w:val="none"/>
          <w:lang w:eastAsia="zh-CN"/>
        </w:rPr>
        <w:t>标准由市财政局</w:t>
      </w:r>
      <w:r>
        <w:rPr>
          <w:rFonts w:hint="eastAsia" w:ascii="仿宋_GB2312" w:hAnsi="仿宋_GB2312" w:eastAsia="仿宋_GB2312" w:cs="仿宋_GB2312"/>
          <w:color w:val="auto"/>
          <w:spacing w:val="0"/>
          <w:position w:val="0"/>
          <w:sz w:val="32"/>
          <w:szCs w:val="32"/>
          <w:highlight w:val="none"/>
        </w:rPr>
        <w:t>根据</w:t>
      </w:r>
      <w:r>
        <w:rPr>
          <w:rFonts w:hint="eastAsia" w:ascii="仿宋_GB2312" w:hAnsi="仿宋_GB2312" w:eastAsia="仿宋_GB2312" w:cs="仿宋_GB2312"/>
          <w:color w:val="auto"/>
          <w:spacing w:val="0"/>
          <w:position w:val="0"/>
          <w:sz w:val="32"/>
          <w:szCs w:val="32"/>
          <w:highlight w:val="none"/>
          <w:u w:val="none"/>
          <w:lang w:val="en-US" w:eastAsia="zh-CN"/>
        </w:rPr>
        <w:t>上级部门及市政府有关规定定期进行调整，</w:t>
      </w:r>
      <w:r>
        <w:rPr>
          <w:rFonts w:hint="eastAsia" w:ascii="仿宋_GB2312" w:hAnsi="仿宋_GB2312" w:eastAsia="仿宋_GB2312" w:cs="仿宋_GB2312"/>
          <w:color w:val="auto"/>
          <w:spacing w:val="0"/>
          <w:position w:val="0"/>
          <w:sz w:val="32"/>
          <w:szCs w:val="32"/>
          <w:highlight w:val="none"/>
          <w:lang w:eastAsia="zh-CN"/>
        </w:rPr>
        <w:t>原则上</w:t>
      </w:r>
      <w:r>
        <w:rPr>
          <w:rFonts w:hint="eastAsia" w:ascii="仿宋_GB2312" w:hAnsi="仿宋_GB2312" w:eastAsia="仿宋_GB2312" w:cs="仿宋_GB2312"/>
          <w:color w:val="auto"/>
          <w:spacing w:val="0"/>
          <w:position w:val="0"/>
          <w:sz w:val="32"/>
          <w:szCs w:val="32"/>
          <w:highlight w:val="none"/>
        </w:rPr>
        <w:t>每年调整一次</w:t>
      </w:r>
      <w:r>
        <w:rPr>
          <w:rFonts w:hint="eastAsia" w:ascii="仿宋_GB2312" w:hAnsi="仿宋_GB2312" w:eastAsia="仿宋_GB2312" w:cs="仿宋_GB2312"/>
          <w:color w:val="auto"/>
          <w:spacing w:val="0"/>
          <w:position w:val="0"/>
          <w:sz w:val="32"/>
          <w:szCs w:val="32"/>
          <w:highlight w:val="none"/>
          <w:u w:val="none"/>
          <w:lang w:val="en-US" w:eastAsia="zh-CN"/>
        </w:rPr>
        <w:t>，原标准自新标准发布之日起废止。</w:t>
      </w:r>
    </w:p>
    <w:p w14:paraId="60967412">
      <w:pPr>
        <w:keepNext w:val="0"/>
        <w:keepLines w:val="0"/>
        <w:pageBreakBefore w:val="0"/>
        <w:widowControl w:val="0"/>
        <w:kinsoku/>
        <w:wordWrap/>
        <w:overflowPunct w:val="0"/>
        <w:topLinePunct w:val="0"/>
        <w:bidi w:val="0"/>
        <w:spacing w:line="590" w:lineRule="exact"/>
        <w:ind w:right="105" w:firstLine="62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w:t>
      </w:r>
      <w:r>
        <w:rPr>
          <w:rFonts w:hint="eastAsia" w:ascii="黑体" w:hAnsi="黑体" w:eastAsia="黑体" w:cs="黑体"/>
          <w:b w:val="0"/>
          <w:bCs w:val="0"/>
          <w:spacing w:val="0"/>
          <w:position w:val="0"/>
          <w:sz w:val="32"/>
          <w:szCs w:val="32"/>
          <w:lang w:eastAsia="zh-CN"/>
        </w:rPr>
        <w:t>五</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每次开展竞争性存放操作前，应按规定建立</w:t>
      </w:r>
      <w:r>
        <w:rPr>
          <w:rFonts w:hint="eastAsia" w:ascii="仿宋_GB2312" w:hAnsi="仿宋_GB2312" w:eastAsia="仿宋_GB2312" w:cs="仿宋_GB2312"/>
          <w:spacing w:val="0"/>
          <w:position w:val="0"/>
          <w:sz w:val="32"/>
          <w:szCs w:val="32"/>
          <w:lang w:val="en-US" w:eastAsia="zh-CN"/>
        </w:rPr>
        <w:t>5人及以上单数人员组成的</w:t>
      </w:r>
      <w:r>
        <w:rPr>
          <w:rFonts w:hint="eastAsia" w:ascii="仿宋_GB2312" w:hAnsi="仿宋_GB2312" w:eastAsia="仿宋_GB2312" w:cs="仿宋_GB2312"/>
          <w:spacing w:val="0"/>
          <w:position w:val="0"/>
          <w:sz w:val="32"/>
          <w:szCs w:val="32"/>
        </w:rPr>
        <w:t>评选委员会。评选委员会成员应严格执行利益回避的相关规定，成员名单在竞争性选择结果确定之前应当保密。</w:t>
      </w:r>
    </w:p>
    <w:p w14:paraId="755E4709">
      <w:pPr>
        <w:keepNext w:val="0"/>
        <w:keepLines w:val="0"/>
        <w:pageBreakBefore w:val="0"/>
        <w:widowControl w:val="0"/>
        <w:kinsoku/>
        <w:wordWrap/>
        <w:overflowPunct w:val="0"/>
        <w:topLinePunct w:val="0"/>
        <w:bidi w:val="0"/>
        <w:spacing w:line="590" w:lineRule="exact"/>
        <w:ind w:left="62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财政部门应根据评选委员会评分结果择优确定资金存放银</w:t>
      </w:r>
    </w:p>
    <w:p w14:paraId="156CBDD5">
      <w:pPr>
        <w:keepNext w:val="0"/>
        <w:keepLines w:val="0"/>
        <w:pageBreakBefore w:val="0"/>
        <w:widowControl w:val="0"/>
        <w:kinsoku/>
        <w:wordWrap/>
        <w:overflowPunct w:val="0"/>
        <w:topLinePunct w:val="0"/>
        <w:bidi w:val="0"/>
        <w:spacing w:line="590" w:lineRule="exact"/>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行，并于当日通过指定网站对外公告。</w:t>
      </w:r>
    </w:p>
    <w:p w14:paraId="550E8A17">
      <w:pPr>
        <w:keepNext w:val="0"/>
        <w:keepLines w:val="0"/>
        <w:pageBreakBefore w:val="0"/>
        <w:widowControl w:val="0"/>
        <w:kinsoku/>
        <w:wordWrap/>
        <w:overflowPunct w:val="0"/>
        <w:topLinePunct w:val="0"/>
        <w:bidi w:val="0"/>
        <w:spacing w:line="590" w:lineRule="exact"/>
        <w:jc w:val="center"/>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第三章  管理监督与相关责任</w:t>
      </w:r>
    </w:p>
    <w:p w14:paraId="2A7DF32F">
      <w:pPr>
        <w:keepNext w:val="0"/>
        <w:keepLines w:val="0"/>
        <w:pageBreakBefore w:val="0"/>
        <w:widowControl w:val="0"/>
        <w:kinsoku/>
        <w:wordWrap/>
        <w:overflowPunct w:val="0"/>
        <w:topLinePunct w:val="0"/>
        <w:bidi w:val="0"/>
        <w:spacing w:line="590" w:lineRule="exact"/>
        <w:ind w:left="64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eastAsia="zh-CN"/>
        </w:rPr>
        <w:t>十六</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财政部门对银行参与财政专户资金存放活动</w:t>
      </w:r>
    </w:p>
    <w:p w14:paraId="47EE1F44">
      <w:pPr>
        <w:keepNext w:val="0"/>
        <w:keepLines w:val="0"/>
        <w:pageBreakBefore w:val="0"/>
        <w:widowControl w:val="0"/>
        <w:kinsoku/>
        <w:wordWrap/>
        <w:overflowPunct w:val="0"/>
        <w:topLinePunct w:val="0"/>
        <w:bidi w:val="0"/>
        <w:spacing w:line="590" w:lineRule="exact"/>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进行监督管理。</w:t>
      </w:r>
    </w:p>
    <w:p w14:paraId="2D1089BC">
      <w:pPr>
        <w:keepNext w:val="0"/>
        <w:keepLines w:val="0"/>
        <w:pageBreakBefore w:val="0"/>
        <w:widowControl w:val="0"/>
        <w:kinsoku/>
        <w:wordWrap/>
        <w:overflowPunct w:val="0"/>
        <w:topLinePunct w:val="0"/>
        <w:bidi w:val="0"/>
        <w:spacing w:line="590" w:lineRule="exact"/>
        <w:ind w:right="78" w:firstLine="64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eastAsia="zh-CN"/>
        </w:rPr>
        <w:t>十七</w:t>
      </w:r>
      <w:r>
        <w:rPr>
          <w:rFonts w:hint="eastAsia" w:ascii="黑体" w:hAnsi="黑体" w:eastAsia="黑体" w:cs="黑体"/>
          <w:b w:val="0"/>
          <w:bCs w:val="0"/>
          <w:spacing w:val="0"/>
          <w:position w:val="0"/>
          <w:sz w:val="32"/>
          <w:szCs w:val="32"/>
        </w:rPr>
        <w:t xml:space="preserve">条 </w:t>
      </w:r>
      <w:r>
        <w:rPr>
          <w:rFonts w:hint="eastAsia" w:ascii="仿宋_GB2312" w:hAnsi="仿宋_GB2312" w:eastAsia="仿宋_GB2312" w:cs="仿宋_GB2312"/>
          <w:spacing w:val="0"/>
          <w:position w:val="0"/>
          <w:sz w:val="32"/>
          <w:szCs w:val="32"/>
        </w:rPr>
        <w:t xml:space="preserve"> 财政部门新选择财政专户资金存放银行时，应当要求资金存放银行出具廉政承诺书，承诺不得向财政部门相关负责人员输送任何利益，承诺不得将资金存放与财政部门相关负责人员在本行亲属的业绩、收入挂钩。</w:t>
      </w:r>
    </w:p>
    <w:p w14:paraId="5D1D2EF4">
      <w:pPr>
        <w:keepNext w:val="0"/>
        <w:keepLines w:val="0"/>
        <w:pageBreakBefore w:val="0"/>
        <w:widowControl w:val="0"/>
        <w:kinsoku/>
        <w:wordWrap/>
        <w:overflowPunct w:val="0"/>
        <w:topLinePunct w:val="0"/>
        <w:bidi w:val="0"/>
        <w:spacing w:line="590" w:lineRule="exact"/>
        <w:ind w:right="59" w:firstLine="64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eastAsia="zh-CN"/>
        </w:rPr>
        <w:t>十八</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财政专户资金存放涉及开立银行账户的，应当严格执行财政专户管理制度有关规定，财政部门不得以资金转出开户银行进行定期存款为由，在定期存款银行新开立财政专户。</w:t>
      </w:r>
    </w:p>
    <w:p w14:paraId="76A3D3F3">
      <w:pPr>
        <w:keepNext w:val="0"/>
        <w:keepLines w:val="0"/>
        <w:pageBreakBefore w:val="0"/>
        <w:widowControl w:val="0"/>
        <w:kinsoku/>
        <w:wordWrap/>
        <w:overflowPunct w:val="0"/>
        <w:topLinePunct w:val="0"/>
        <w:bidi w:val="0"/>
        <w:spacing w:line="590" w:lineRule="exact"/>
        <w:ind w:right="65" w:firstLine="644"/>
        <w:jc w:val="both"/>
        <w:rPr>
          <w:rFonts w:hint="eastAsia" w:ascii="仿宋_GB2312" w:hAnsi="仿宋_GB2312" w:eastAsia="仿宋_GB2312" w:cs="仿宋_GB2312"/>
          <w:color w:val="auto"/>
          <w:spacing w:val="0"/>
          <w:position w:val="0"/>
          <w:sz w:val="32"/>
          <w:szCs w:val="32"/>
          <w:highlight w:val="none"/>
        </w:rPr>
      </w:pPr>
      <w:r>
        <w:rPr>
          <w:rFonts w:hint="eastAsia" w:ascii="黑体" w:hAnsi="黑体" w:eastAsia="黑体" w:cs="黑体"/>
          <w:b w:val="0"/>
          <w:bCs w:val="0"/>
          <w:spacing w:val="0"/>
          <w:position w:val="0"/>
          <w:sz w:val="32"/>
          <w:szCs w:val="32"/>
        </w:rPr>
        <w:t>第</w:t>
      </w:r>
      <w:r>
        <w:rPr>
          <w:rFonts w:hint="eastAsia" w:ascii="黑体" w:hAnsi="黑体" w:eastAsia="黑体" w:cs="黑体"/>
          <w:b w:val="0"/>
          <w:bCs w:val="0"/>
          <w:spacing w:val="0"/>
          <w:position w:val="0"/>
          <w:sz w:val="32"/>
          <w:szCs w:val="32"/>
          <w:lang w:eastAsia="zh-CN"/>
        </w:rPr>
        <w:t>十九</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资金存放银行出现以下行为或情形之一的，财政部门应视情节轻重，通知该银行划回存放资金</w:t>
      </w:r>
      <w:r>
        <w:rPr>
          <w:rFonts w:hint="eastAsia" w:ascii="仿宋_GB2312" w:hAnsi="仿宋_GB2312" w:eastAsia="仿宋_GB2312" w:cs="仿宋_GB2312"/>
          <w:color w:val="FF0000"/>
          <w:spacing w:val="0"/>
          <w:position w:val="0"/>
          <w:sz w:val="32"/>
          <w:szCs w:val="32"/>
          <w:lang w:eastAsia="zh-CN"/>
        </w:rPr>
        <w:t>，</w:t>
      </w:r>
      <w:r>
        <w:rPr>
          <w:rFonts w:hint="eastAsia" w:ascii="仿宋_GB2312" w:hAnsi="仿宋_GB2312" w:eastAsia="仿宋_GB2312" w:cs="仿宋_GB2312"/>
          <w:spacing w:val="0"/>
          <w:position w:val="0"/>
          <w:sz w:val="32"/>
          <w:szCs w:val="32"/>
        </w:rPr>
        <w:t>并</w:t>
      </w:r>
      <w:r>
        <w:rPr>
          <w:rFonts w:hint="eastAsia" w:ascii="仿宋_GB2312" w:hAnsi="仿宋_GB2312" w:eastAsia="仿宋_GB2312" w:cs="仿宋_GB2312"/>
          <w:spacing w:val="0"/>
          <w:position w:val="0"/>
          <w:sz w:val="32"/>
          <w:szCs w:val="32"/>
          <w:lang w:eastAsia="zh-CN"/>
        </w:rPr>
        <w:t>有权拒绝其在以后</w:t>
      </w:r>
      <w:r>
        <w:rPr>
          <w:rFonts w:hint="eastAsia" w:ascii="仿宋_GB2312" w:hAnsi="仿宋_GB2312" w:eastAsia="仿宋_GB2312" w:cs="仿宋_GB2312"/>
          <w:color w:val="auto"/>
          <w:spacing w:val="0"/>
          <w:position w:val="0"/>
          <w:sz w:val="32"/>
          <w:szCs w:val="32"/>
          <w:highlight w:val="none"/>
          <w:u w:val="none"/>
          <w:lang w:val="en-US" w:eastAsia="zh-CN"/>
        </w:rPr>
        <w:t>1年内</w:t>
      </w:r>
      <w:r>
        <w:rPr>
          <w:rFonts w:hint="eastAsia" w:ascii="仿宋_GB2312" w:hAnsi="仿宋_GB2312" w:eastAsia="仿宋_GB2312" w:cs="仿宋_GB2312"/>
          <w:color w:val="auto"/>
          <w:spacing w:val="0"/>
          <w:position w:val="0"/>
          <w:sz w:val="32"/>
          <w:szCs w:val="32"/>
          <w:highlight w:val="none"/>
        </w:rPr>
        <w:t>参与财政专户资金竞争性存放</w:t>
      </w:r>
      <w:r>
        <w:rPr>
          <w:rFonts w:hint="eastAsia" w:ascii="仿宋_GB2312" w:hAnsi="仿宋_GB2312" w:eastAsia="仿宋_GB2312" w:cs="仿宋_GB2312"/>
          <w:color w:val="auto"/>
          <w:spacing w:val="0"/>
          <w:position w:val="0"/>
          <w:sz w:val="32"/>
          <w:szCs w:val="32"/>
          <w:highlight w:val="none"/>
          <w:lang w:eastAsia="zh-CN"/>
        </w:rPr>
        <w:t>：</w:t>
      </w:r>
    </w:p>
    <w:p w14:paraId="11CB8F3B">
      <w:pPr>
        <w:keepNext w:val="0"/>
        <w:keepLines w:val="0"/>
        <w:pageBreakBefore w:val="0"/>
        <w:widowControl w:val="0"/>
        <w:kinsoku/>
        <w:wordWrap/>
        <w:overflowPunct w:val="0"/>
        <w:topLinePunct w:val="0"/>
        <w:bidi w:val="0"/>
        <w:spacing w:line="590" w:lineRule="exact"/>
        <w:ind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w:t>
      </w:r>
      <w:r>
        <w:rPr>
          <w:rFonts w:hint="eastAsia" w:ascii="仿宋_GB2312" w:hAnsi="仿宋_GB2312" w:eastAsia="仿宋_GB2312" w:cs="仿宋_GB2312"/>
          <w:spacing w:val="0"/>
          <w:position w:val="0"/>
          <w:sz w:val="32"/>
          <w:szCs w:val="32"/>
          <w:lang w:val="en-US" w:eastAsia="zh-CN"/>
        </w:rPr>
        <w:t>1</w:t>
      </w:r>
      <w:r>
        <w:rPr>
          <w:rFonts w:hint="eastAsia" w:ascii="仿宋_GB2312" w:hAnsi="仿宋_GB2312" w:eastAsia="仿宋_GB2312" w:cs="仿宋_GB2312"/>
          <w:spacing w:val="0"/>
          <w:position w:val="0"/>
          <w:sz w:val="32"/>
          <w:szCs w:val="32"/>
        </w:rPr>
        <w:t>年内未按规定及时足额质押或及时汇划到期本息违</w:t>
      </w:r>
    </w:p>
    <w:p w14:paraId="5245738C">
      <w:pPr>
        <w:keepNext w:val="0"/>
        <w:keepLines w:val="0"/>
        <w:pageBreakBefore w:val="0"/>
        <w:widowControl w:val="0"/>
        <w:kinsoku/>
        <w:wordWrap/>
        <w:overflowPunct w:val="0"/>
        <w:topLinePunct w:val="0"/>
        <w:bidi w:val="0"/>
        <w:spacing w:line="590" w:lineRule="exact"/>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约一次；</w:t>
      </w:r>
    </w:p>
    <w:p w14:paraId="2D3CF79F">
      <w:pPr>
        <w:keepNext w:val="0"/>
        <w:keepLines w:val="0"/>
        <w:pageBreakBefore w:val="0"/>
        <w:widowControl w:val="0"/>
        <w:kinsoku/>
        <w:wordWrap/>
        <w:overflowPunct w:val="0"/>
        <w:topLinePunct w:val="0"/>
        <w:bidi w:val="0"/>
        <w:spacing w:line="590" w:lineRule="exact"/>
        <w:ind w:right="82"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(二)出现资金安全事故、重大违法违规，导致财务恶化或</w:t>
      </w:r>
    </w:p>
    <w:p w14:paraId="6B6AC31B">
      <w:pPr>
        <w:keepNext w:val="0"/>
        <w:keepLines w:val="0"/>
        <w:pageBreakBefore w:val="0"/>
        <w:widowControl w:val="0"/>
        <w:kinsoku/>
        <w:wordWrap/>
        <w:overflowPunct w:val="0"/>
        <w:topLinePunct w:val="0"/>
        <w:bidi w:val="0"/>
        <w:spacing w:line="590" w:lineRule="exact"/>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引起信用危机的；</w:t>
      </w:r>
    </w:p>
    <w:p w14:paraId="59696302">
      <w:pPr>
        <w:keepNext w:val="0"/>
        <w:keepLines w:val="0"/>
        <w:pageBreakBefore w:val="0"/>
        <w:widowControl w:val="0"/>
        <w:kinsoku/>
        <w:wordWrap/>
        <w:overflowPunct w:val="0"/>
        <w:topLinePunct w:val="0"/>
        <w:bidi w:val="0"/>
        <w:spacing w:line="590" w:lineRule="exact"/>
        <w:ind w:right="29" w:firstLine="640" w:firstLineChars="200"/>
        <w:jc w:val="both"/>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rPr>
        <w:t>(三)</w:t>
      </w:r>
      <w:r>
        <w:rPr>
          <w:rFonts w:hint="eastAsia" w:ascii="仿宋_GB2312" w:hAnsi="仿宋_GB2312" w:eastAsia="仿宋_GB2312" w:cs="仿宋_GB2312"/>
          <w:spacing w:val="0"/>
          <w:position w:val="0"/>
          <w:sz w:val="32"/>
          <w:szCs w:val="32"/>
          <w:highlight w:val="none"/>
        </w:rPr>
        <w:t>监管部门认为存在较大运营风险的；</w:t>
      </w:r>
    </w:p>
    <w:p w14:paraId="679D190C">
      <w:pPr>
        <w:keepNext w:val="0"/>
        <w:keepLines w:val="0"/>
        <w:pageBreakBefore w:val="0"/>
        <w:widowControl w:val="0"/>
        <w:kinsoku/>
        <w:wordWrap/>
        <w:overflowPunct w:val="0"/>
        <w:topLinePunct w:val="0"/>
        <w:bidi w:val="0"/>
        <w:spacing w:line="590" w:lineRule="exact"/>
        <w:ind w:right="85" w:firstLine="640" w:firstLineChars="200"/>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(四)未遵守廉政承诺或者在资金存放中存在其他利益输送</w:t>
      </w:r>
    </w:p>
    <w:p w14:paraId="1A9B02C8">
      <w:pPr>
        <w:keepNext w:val="0"/>
        <w:keepLines w:val="0"/>
        <w:pageBreakBefore w:val="0"/>
        <w:widowControl w:val="0"/>
        <w:kinsoku/>
        <w:wordWrap/>
        <w:overflowPunct w:val="0"/>
        <w:topLinePunct w:val="0"/>
        <w:bidi w:val="0"/>
        <w:spacing w:line="590" w:lineRule="exact"/>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行为的；</w:t>
      </w:r>
    </w:p>
    <w:p w14:paraId="186C5E16">
      <w:pPr>
        <w:keepNext w:val="0"/>
        <w:keepLines w:val="0"/>
        <w:pageBreakBefore w:val="0"/>
        <w:widowControl w:val="0"/>
        <w:kinsoku/>
        <w:wordWrap/>
        <w:overflowPunct w:val="0"/>
        <w:topLinePunct w:val="0"/>
        <w:bidi w:val="0"/>
        <w:spacing w:line="590" w:lineRule="exact"/>
        <w:ind w:left="769"/>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(五)未按照存款协议履行相应的责任和义务的；</w:t>
      </w:r>
    </w:p>
    <w:p w14:paraId="0CD87B34">
      <w:pPr>
        <w:keepNext w:val="0"/>
        <w:keepLines w:val="0"/>
        <w:pageBreakBefore w:val="0"/>
        <w:widowControl w:val="0"/>
        <w:kinsoku/>
        <w:wordWrap/>
        <w:overflowPunct w:val="0"/>
        <w:topLinePunct w:val="0"/>
        <w:bidi w:val="0"/>
        <w:spacing w:line="590" w:lineRule="exact"/>
        <w:ind w:left="769"/>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(六)存在弄虚作假等严重不正当竞争行为的；</w:t>
      </w:r>
    </w:p>
    <w:p w14:paraId="5DC54A4D">
      <w:pPr>
        <w:keepNext w:val="0"/>
        <w:keepLines w:val="0"/>
        <w:pageBreakBefore w:val="0"/>
        <w:widowControl w:val="0"/>
        <w:kinsoku/>
        <w:wordWrap/>
        <w:overflowPunct w:val="0"/>
        <w:topLinePunct w:val="0"/>
        <w:bidi w:val="0"/>
        <w:spacing w:line="590" w:lineRule="exact"/>
        <w:ind w:left="769"/>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(七)可能危及财政专户资金安全的其他情况。</w:t>
      </w:r>
    </w:p>
    <w:p w14:paraId="3FF2ED31">
      <w:pPr>
        <w:keepNext w:val="0"/>
        <w:keepLines w:val="0"/>
        <w:pageBreakBefore w:val="0"/>
        <w:widowControl w:val="0"/>
        <w:kinsoku/>
        <w:wordWrap/>
        <w:overflowPunct w:val="0"/>
        <w:topLinePunct w:val="0"/>
        <w:bidi w:val="0"/>
        <w:spacing w:line="590" w:lineRule="exact"/>
        <w:ind w:right="66" w:firstLine="64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第二十条</w:t>
      </w:r>
      <w:r>
        <w:rPr>
          <w:rFonts w:hint="eastAsia" w:ascii="仿宋_GB2312" w:hAnsi="仿宋_GB2312" w:eastAsia="仿宋_GB2312" w:cs="仿宋_GB2312"/>
          <w:spacing w:val="0"/>
          <w:position w:val="0"/>
          <w:sz w:val="32"/>
          <w:szCs w:val="32"/>
        </w:rPr>
        <w:t xml:space="preserve">  资金存放银行应加强对财政专户资金运用管理，防范资金风险，不得将财政专户资金投向国家有关政策限制的领域，不得以财政专户资金赚取高风险收益。</w:t>
      </w:r>
    </w:p>
    <w:p w14:paraId="77790347">
      <w:pPr>
        <w:keepNext w:val="0"/>
        <w:keepLines w:val="0"/>
        <w:pageBreakBefore w:val="0"/>
        <w:widowControl w:val="0"/>
        <w:kinsoku/>
        <w:wordWrap/>
        <w:overflowPunct w:val="0"/>
        <w:topLinePunct w:val="0"/>
        <w:bidi w:val="0"/>
        <w:spacing w:line="590" w:lineRule="exact"/>
        <w:ind w:right="79" w:firstLine="640" w:firstLineChars="200"/>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第二十</w:t>
      </w:r>
      <w:r>
        <w:rPr>
          <w:rFonts w:hint="eastAsia" w:ascii="黑体" w:hAnsi="黑体" w:eastAsia="黑体" w:cs="黑体"/>
          <w:b w:val="0"/>
          <w:bCs w:val="0"/>
          <w:spacing w:val="0"/>
          <w:position w:val="0"/>
          <w:sz w:val="32"/>
          <w:szCs w:val="32"/>
          <w:lang w:eastAsia="zh-CN"/>
        </w:rPr>
        <w:t>一</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资金存放银行未按规定办理财政专户资金存</w:t>
      </w:r>
    </w:p>
    <w:p w14:paraId="531DE29F">
      <w:pPr>
        <w:keepNext w:val="0"/>
        <w:keepLines w:val="0"/>
        <w:pageBreakBefore w:val="0"/>
        <w:widowControl w:val="0"/>
        <w:kinsoku/>
        <w:wordWrap/>
        <w:overflowPunct w:val="0"/>
        <w:topLinePunct w:val="0"/>
        <w:bidi w:val="0"/>
        <w:spacing w:line="590" w:lineRule="exact"/>
        <w:jc w:val="both"/>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放业务，造成财政资金管理风险或损失的，承担相应法律责任。</w:t>
      </w:r>
    </w:p>
    <w:p w14:paraId="1723A7F7">
      <w:pPr>
        <w:keepNext w:val="0"/>
        <w:keepLines w:val="0"/>
        <w:pageBreakBefore w:val="0"/>
        <w:widowControl w:val="0"/>
        <w:kinsoku/>
        <w:wordWrap/>
        <w:overflowPunct w:val="0"/>
        <w:topLinePunct w:val="0"/>
        <w:bidi w:val="0"/>
        <w:spacing w:line="590" w:lineRule="exact"/>
        <w:ind w:right="52" w:firstLine="644"/>
        <w:jc w:val="both"/>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第二十</w:t>
      </w:r>
      <w:r>
        <w:rPr>
          <w:rFonts w:hint="eastAsia" w:ascii="黑体" w:hAnsi="黑体" w:eastAsia="黑体" w:cs="黑体"/>
          <w:b w:val="0"/>
          <w:bCs w:val="0"/>
          <w:spacing w:val="0"/>
          <w:position w:val="0"/>
          <w:sz w:val="32"/>
          <w:szCs w:val="32"/>
          <w:lang w:eastAsia="zh-CN"/>
        </w:rPr>
        <w:t>二</w:t>
      </w:r>
      <w:r>
        <w:rPr>
          <w:rFonts w:hint="eastAsia" w:ascii="黑体" w:hAnsi="黑体" w:eastAsia="黑体" w:cs="黑体"/>
          <w:b w:val="0"/>
          <w:bCs w:val="0"/>
          <w:spacing w:val="0"/>
          <w:position w:val="0"/>
          <w:sz w:val="32"/>
          <w:szCs w:val="32"/>
        </w:rPr>
        <w:t>条</w:t>
      </w:r>
      <w:r>
        <w:rPr>
          <w:rFonts w:hint="eastAsia" w:ascii="仿宋_GB2312" w:hAnsi="仿宋_GB2312" w:eastAsia="仿宋_GB2312" w:cs="仿宋_GB2312"/>
          <w:spacing w:val="0"/>
          <w:position w:val="0"/>
          <w:sz w:val="32"/>
          <w:szCs w:val="32"/>
        </w:rPr>
        <w:t xml:space="preserve">  财政部门应加强监督检查，发现有违反本办法规定行为的，及时纠正；发现银行存在利益输送行为的，通报同级银监部门和纪检监察机关；涉嫌违法违纪的，按规定及时移交有关部门查处和问责。</w:t>
      </w:r>
    </w:p>
    <w:p w14:paraId="527E3479">
      <w:pPr>
        <w:keepNext w:val="0"/>
        <w:keepLines w:val="0"/>
        <w:pageBreakBefore w:val="0"/>
        <w:widowControl w:val="0"/>
        <w:kinsoku/>
        <w:wordWrap/>
        <w:overflowPunct w:val="0"/>
        <w:topLinePunct w:val="0"/>
        <w:bidi w:val="0"/>
        <w:spacing w:line="590" w:lineRule="exact"/>
        <w:jc w:val="center"/>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第四章  附 则</w:t>
      </w:r>
    </w:p>
    <w:p w14:paraId="0B6E74A0">
      <w:pPr>
        <w:keepNext w:val="0"/>
        <w:keepLines w:val="0"/>
        <w:pageBreakBefore w:val="0"/>
        <w:widowControl w:val="0"/>
        <w:kinsoku/>
        <w:wordWrap/>
        <w:overflowPunct w:val="0"/>
        <w:topLinePunct w:val="0"/>
        <w:bidi w:val="0"/>
        <w:spacing w:line="590" w:lineRule="exact"/>
        <w:ind w:right="63" w:firstLine="644"/>
        <w:jc w:val="both"/>
        <w:rPr>
          <w:rFonts w:hint="eastAsia" w:ascii="仿宋_GB2312" w:hAnsi="仿宋_GB2312" w:eastAsia="仿宋_GB2312" w:cs="仿宋_GB2312"/>
          <w:color w:val="auto"/>
          <w:spacing w:val="0"/>
          <w:position w:val="0"/>
          <w:sz w:val="32"/>
          <w:szCs w:val="32"/>
          <w:highlight w:val="none"/>
        </w:rPr>
      </w:pPr>
      <w:r>
        <w:rPr>
          <w:rFonts w:hint="eastAsia" w:ascii="黑体" w:hAnsi="黑体" w:eastAsia="黑体" w:cs="黑体"/>
          <w:b w:val="0"/>
          <w:bCs w:val="0"/>
          <w:spacing w:val="0"/>
          <w:position w:val="0"/>
          <w:sz w:val="32"/>
          <w:szCs w:val="32"/>
        </w:rPr>
        <w:t>第二十</w:t>
      </w:r>
      <w:r>
        <w:rPr>
          <w:rFonts w:hint="eastAsia" w:ascii="黑体" w:hAnsi="黑体" w:eastAsia="黑体" w:cs="黑体"/>
          <w:b w:val="0"/>
          <w:bCs w:val="0"/>
          <w:spacing w:val="0"/>
          <w:position w:val="0"/>
          <w:sz w:val="32"/>
          <w:szCs w:val="32"/>
          <w:lang w:eastAsia="zh-CN"/>
        </w:rPr>
        <w:t>三</w:t>
      </w:r>
      <w:r>
        <w:rPr>
          <w:rFonts w:hint="eastAsia" w:ascii="黑体" w:hAnsi="黑体" w:eastAsia="黑体" w:cs="黑体"/>
          <w:b w:val="0"/>
          <w:bCs w:val="0"/>
          <w:spacing w:val="0"/>
          <w:position w:val="0"/>
          <w:sz w:val="32"/>
          <w:szCs w:val="32"/>
        </w:rPr>
        <w:t xml:space="preserve">条  </w:t>
      </w:r>
      <w:r>
        <w:rPr>
          <w:rFonts w:hint="eastAsia" w:ascii="仿宋_GB2312" w:hAnsi="仿宋_GB2312" w:eastAsia="仿宋_GB2312" w:cs="仿宋_GB2312"/>
          <w:spacing w:val="0"/>
          <w:position w:val="0"/>
          <w:sz w:val="32"/>
          <w:szCs w:val="32"/>
        </w:rPr>
        <w:t>本办法自发布之</w:t>
      </w:r>
      <w:r>
        <w:rPr>
          <w:rFonts w:hint="eastAsia" w:ascii="仿宋_GB2312" w:hAnsi="仿宋_GB2312" w:eastAsia="仿宋_GB2312" w:cs="仿宋_GB2312"/>
          <w:color w:val="auto"/>
          <w:spacing w:val="0"/>
          <w:position w:val="0"/>
          <w:sz w:val="32"/>
          <w:szCs w:val="32"/>
          <w:highlight w:val="none"/>
        </w:rPr>
        <w:t>日起施行。原《温岭市财政</w:t>
      </w:r>
      <w:r>
        <w:rPr>
          <w:rFonts w:hint="eastAsia" w:ascii="仿宋_GB2312" w:hAnsi="仿宋_GB2312" w:eastAsia="仿宋_GB2312" w:cs="仿宋_GB2312"/>
          <w:color w:val="auto"/>
          <w:spacing w:val="0"/>
          <w:position w:val="0"/>
          <w:sz w:val="32"/>
          <w:szCs w:val="32"/>
          <w:highlight w:val="none"/>
          <w:lang w:eastAsia="zh-CN"/>
        </w:rPr>
        <w:t>专户</w:t>
      </w:r>
      <w:r>
        <w:rPr>
          <w:rFonts w:hint="eastAsia" w:ascii="仿宋_GB2312" w:hAnsi="仿宋_GB2312" w:eastAsia="仿宋_GB2312" w:cs="仿宋_GB2312"/>
          <w:color w:val="auto"/>
          <w:spacing w:val="0"/>
          <w:position w:val="0"/>
          <w:sz w:val="32"/>
          <w:szCs w:val="32"/>
          <w:highlight w:val="none"/>
        </w:rPr>
        <w:t>资金竞争性存放管理</w:t>
      </w:r>
      <w:r>
        <w:rPr>
          <w:rFonts w:hint="eastAsia" w:ascii="仿宋_GB2312" w:hAnsi="仿宋_GB2312" w:eastAsia="仿宋_GB2312" w:cs="仿宋_GB2312"/>
          <w:color w:val="auto"/>
          <w:spacing w:val="0"/>
          <w:position w:val="0"/>
          <w:sz w:val="32"/>
          <w:szCs w:val="32"/>
          <w:highlight w:val="none"/>
          <w:lang w:eastAsia="zh-CN"/>
        </w:rPr>
        <w:t>实施</w:t>
      </w:r>
      <w:r>
        <w:rPr>
          <w:rFonts w:hint="eastAsia" w:ascii="仿宋_GB2312" w:hAnsi="仿宋_GB2312" w:eastAsia="仿宋_GB2312" w:cs="仿宋_GB2312"/>
          <w:color w:val="auto"/>
          <w:spacing w:val="0"/>
          <w:position w:val="0"/>
          <w:sz w:val="32"/>
          <w:szCs w:val="32"/>
          <w:highlight w:val="none"/>
        </w:rPr>
        <w:t>办法》(温政</w:t>
      </w:r>
      <w:r>
        <w:rPr>
          <w:rFonts w:hint="eastAsia" w:ascii="仿宋_GB2312" w:hAnsi="仿宋_GB2312" w:eastAsia="仿宋_GB2312" w:cs="仿宋_GB2312"/>
          <w:color w:val="auto"/>
          <w:spacing w:val="0"/>
          <w:position w:val="0"/>
          <w:sz w:val="32"/>
          <w:szCs w:val="32"/>
          <w:highlight w:val="none"/>
          <w:lang w:eastAsia="zh-CN"/>
        </w:rPr>
        <w:t>办</w:t>
      </w:r>
      <w:r>
        <w:rPr>
          <w:rFonts w:hint="eastAsia" w:ascii="仿宋_GB2312" w:hAnsi="仿宋_GB2312" w:eastAsia="仿宋_GB2312" w:cs="仿宋_GB2312"/>
          <w:color w:val="auto"/>
          <w:spacing w:val="0"/>
          <w:position w:val="0"/>
          <w:sz w:val="32"/>
          <w:szCs w:val="32"/>
          <w:highlight w:val="none"/>
        </w:rPr>
        <w:t>发〔201</w:t>
      </w:r>
      <w:r>
        <w:rPr>
          <w:rFonts w:hint="eastAsia" w:ascii="仿宋_GB2312" w:hAnsi="仿宋_GB2312" w:eastAsia="仿宋_GB2312" w:cs="仿宋_GB2312"/>
          <w:color w:val="auto"/>
          <w:spacing w:val="0"/>
          <w:position w:val="0"/>
          <w:sz w:val="32"/>
          <w:szCs w:val="32"/>
          <w:highlight w:val="none"/>
          <w:lang w:val="en-US" w:eastAsia="zh-CN"/>
        </w:rPr>
        <w:t>9</w:t>
      </w:r>
      <w:r>
        <w:rPr>
          <w:rFonts w:hint="eastAsia" w:ascii="仿宋_GB2312" w:hAnsi="仿宋_GB2312" w:eastAsia="仿宋_GB2312" w:cs="仿宋_GB2312"/>
          <w:color w:val="auto"/>
          <w:spacing w:val="0"/>
          <w:position w:val="0"/>
          <w:sz w:val="32"/>
          <w:szCs w:val="32"/>
          <w:highlight w:val="none"/>
        </w:rPr>
        <w:t>〕</w:t>
      </w:r>
      <w:r>
        <w:rPr>
          <w:rFonts w:hint="eastAsia" w:ascii="仿宋_GB2312" w:hAnsi="仿宋_GB2312" w:eastAsia="仿宋_GB2312" w:cs="仿宋_GB2312"/>
          <w:color w:val="auto"/>
          <w:spacing w:val="0"/>
          <w:position w:val="0"/>
          <w:sz w:val="32"/>
          <w:szCs w:val="32"/>
          <w:highlight w:val="none"/>
          <w:lang w:val="en-US" w:eastAsia="zh-CN"/>
        </w:rPr>
        <w:t>8</w:t>
      </w:r>
      <w:r>
        <w:rPr>
          <w:rFonts w:hint="eastAsia" w:ascii="仿宋_GB2312" w:hAnsi="仿宋_GB2312" w:eastAsia="仿宋_GB2312" w:cs="仿宋_GB2312"/>
          <w:color w:val="auto"/>
          <w:spacing w:val="0"/>
          <w:position w:val="0"/>
          <w:sz w:val="32"/>
          <w:szCs w:val="32"/>
          <w:highlight w:val="none"/>
        </w:rPr>
        <w:t>号)同时废止。</w:t>
      </w:r>
    </w:p>
    <w:p w14:paraId="4EFAF968">
      <w:pPr>
        <w:keepNext w:val="0"/>
        <w:keepLines w:val="0"/>
        <w:pageBreakBefore w:val="0"/>
        <w:widowControl w:val="0"/>
        <w:kinsoku/>
        <w:wordWrap/>
        <w:overflowPunct w:val="0"/>
        <w:topLinePunct w:val="0"/>
        <w:bidi w:val="0"/>
        <w:spacing w:line="590" w:lineRule="exact"/>
        <w:ind w:right="63" w:firstLine="644"/>
        <w:jc w:val="both"/>
        <w:rPr>
          <w:rFonts w:hint="eastAsia" w:ascii="仿宋_GB2312" w:hAnsi="仿宋_GB2312" w:eastAsia="仿宋_GB2312" w:cs="仿宋_GB2312"/>
          <w:spacing w:val="0"/>
          <w:position w:val="0"/>
          <w:sz w:val="32"/>
          <w:szCs w:val="32"/>
        </w:rPr>
      </w:pPr>
    </w:p>
    <w:p w14:paraId="1F3FDB1C">
      <w:pPr>
        <w:pStyle w:val="2"/>
        <w:keepNext w:val="0"/>
        <w:keepLines w:val="0"/>
        <w:pageBreakBefore w:val="0"/>
        <w:widowControl w:val="0"/>
        <w:kinsoku/>
        <w:wordWrap/>
        <w:overflowPunct w:val="0"/>
        <w:topLinePunct w:val="0"/>
        <w:bidi w:val="0"/>
        <w:spacing w:line="590" w:lineRule="exact"/>
        <w:ind w:firstLine="640" w:firstLineChars="200"/>
        <w:jc w:val="both"/>
      </w:pPr>
      <w:r>
        <w:rPr>
          <w:rFonts w:hint="eastAsia" w:ascii="仿宋_GB2312" w:hAnsi="仿宋_GB2312" w:eastAsia="仿宋_GB2312" w:cs="仿宋_GB2312"/>
          <w:spacing w:val="0"/>
          <w:position w:val="0"/>
          <w:sz w:val="32"/>
          <w:szCs w:val="32"/>
        </w:rPr>
        <w:t>附件：廉政承诺书</w:t>
      </w:r>
    </w:p>
    <w:p w14:paraId="56A4A440">
      <w:pPr>
        <w:keepNext w:val="0"/>
        <w:keepLines w:val="0"/>
        <w:pageBreakBefore w:val="0"/>
        <w:widowControl w:val="0"/>
        <w:kinsoku/>
        <w:wordWrap/>
        <w:overflowPunct w:val="0"/>
        <w:topLinePunct w:val="0"/>
        <w:bidi w:val="0"/>
      </w:pPr>
    </w:p>
    <w:p w14:paraId="018057B5">
      <w:pPr>
        <w:keepNext w:val="0"/>
        <w:keepLines w:val="0"/>
        <w:pageBreakBefore w:val="0"/>
        <w:widowControl w:val="0"/>
        <w:kinsoku/>
        <w:wordWrap/>
        <w:overflowPunct w:val="0"/>
        <w:topLinePunct w:val="0"/>
        <w:bidi w:val="0"/>
        <w:sectPr>
          <w:footerReference r:id="rId5" w:type="default"/>
          <w:pgSz w:w="11910" w:h="16840"/>
          <w:pgMar w:top="1928" w:right="1474" w:bottom="1701" w:left="1587" w:header="0" w:footer="1272" w:gutter="0"/>
          <w:pgNumType w:fmt="numberInDash"/>
          <w:cols w:equalWidth="0" w:num="1">
            <w:col w:w="8791"/>
          </w:cols>
        </w:sectPr>
      </w:pPr>
    </w:p>
    <w:p w14:paraId="6416984A">
      <w:pPr>
        <w:keepNext w:val="0"/>
        <w:keepLines w:val="0"/>
        <w:pageBreakBefore w:val="0"/>
        <w:widowControl w:val="0"/>
        <w:kinsoku/>
        <w:wordWrap/>
        <w:overflowPunct w:val="0"/>
        <w:topLinePunct w:val="0"/>
        <w:bidi w:val="0"/>
        <w:spacing w:before="84" w:line="224" w:lineRule="auto"/>
        <w:ind w:left="4"/>
        <w:rPr>
          <w:rFonts w:ascii="黑体" w:hAnsi="黑体" w:eastAsia="黑体" w:cs="黑体"/>
          <w:b/>
          <w:bCs/>
          <w:spacing w:val="30"/>
          <w:sz w:val="30"/>
          <w:szCs w:val="30"/>
        </w:rPr>
      </w:pPr>
    </w:p>
    <w:p w14:paraId="5AA75B86">
      <w:pPr>
        <w:keepNext w:val="0"/>
        <w:keepLines w:val="0"/>
        <w:pageBreakBefore w:val="0"/>
        <w:widowControl w:val="0"/>
        <w:kinsoku/>
        <w:wordWrap/>
        <w:overflowPunct w:val="0"/>
        <w:topLinePunct w:val="0"/>
        <w:bidi w:val="0"/>
        <w:spacing w:before="84" w:line="224" w:lineRule="auto"/>
        <w:ind w:left="4"/>
        <w:rPr>
          <w:rFonts w:ascii="黑体" w:hAnsi="黑体" w:eastAsia="黑体" w:cs="黑体"/>
          <w:b/>
          <w:bCs/>
          <w:spacing w:val="30"/>
          <w:sz w:val="30"/>
          <w:szCs w:val="30"/>
        </w:rPr>
      </w:pPr>
    </w:p>
    <w:p w14:paraId="784EFF8D">
      <w:pPr>
        <w:pStyle w:val="2"/>
        <w:keepNext w:val="0"/>
        <w:keepLines w:val="0"/>
        <w:pageBreakBefore w:val="0"/>
        <w:widowControl w:val="0"/>
        <w:kinsoku/>
        <w:wordWrap/>
        <w:overflowPunct w:val="0"/>
        <w:topLinePunct w:val="0"/>
        <w:bidi w:val="0"/>
        <w:spacing w:line="320" w:lineRule="auto"/>
      </w:pPr>
      <w:r>
        <w:rPr>
          <w:rFonts w:ascii="黑体" w:hAnsi="黑体" w:eastAsia="黑体" w:cs="黑体"/>
          <w:b w:val="0"/>
          <w:bCs w:val="0"/>
          <w:spacing w:val="30"/>
          <w:sz w:val="30"/>
          <w:szCs w:val="30"/>
        </w:rPr>
        <w:t>附件</w:t>
      </w:r>
    </w:p>
    <w:p w14:paraId="37945373">
      <w:pPr>
        <w:pStyle w:val="2"/>
        <w:keepNext w:val="0"/>
        <w:keepLines w:val="0"/>
        <w:pageBreakBefore w:val="0"/>
        <w:widowControl w:val="0"/>
        <w:kinsoku/>
        <w:wordWrap/>
        <w:overflowPunct w:val="0"/>
        <w:topLinePunct w:val="0"/>
        <w:bidi w:val="0"/>
        <w:spacing w:line="320" w:lineRule="auto"/>
      </w:pPr>
    </w:p>
    <w:p w14:paraId="1F5578EE">
      <w:pPr>
        <w:pStyle w:val="2"/>
        <w:keepNext w:val="0"/>
        <w:keepLines w:val="0"/>
        <w:pageBreakBefore w:val="0"/>
        <w:widowControl w:val="0"/>
        <w:kinsoku/>
        <w:wordWrap/>
        <w:overflowPunct w:val="0"/>
        <w:topLinePunct w:val="0"/>
        <w:bidi w:val="0"/>
        <w:spacing w:line="320" w:lineRule="auto"/>
      </w:pPr>
    </w:p>
    <w:p w14:paraId="1B8F11BD">
      <w:pPr>
        <w:pStyle w:val="2"/>
        <w:keepNext w:val="0"/>
        <w:keepLines w:val="0"/>
        <w:pageBreakBefore w:val="0"/>
        <w:widowControl w:val="0"/>
        <w:kinsoku/>
        <w:wordWrap/>
        <w:overflowPunct w:val="0"/>
        <w:topLinePunct w:val="0"/>
        <w:bidi w:val="0"/>
        <w:spacing w:line="320" w:lineRule="auto"/>
      </w:pPr>
    </w:p>
    <w:p w14:paraId="1E2396C7">
      <w:pPr>
        <w:keepNext w:val="0"/>
        <w:keepLines w:val="0"/>
        <w:pageBreakBefore w:val="0"/>
        <w:widowControl w:val="0"/>
        <w:kinsoku/>
        <w:wordWrap/>
        <w:overflowPunct w:val="0"/>
        <w:topLinePunct w:val="0"/>
        <w:bidi w:val="0"/>
        <w:spacing w:before="136" w:line="219" w:lineRule="auto"/>
        <w:ind w:left="1756"/>
        <w:rPr>
          <w:rFonts w:hint="eastAsia" w:ascii="方正小标宋简体" w:hAnsi="方正小标宋简体" w:eastAsia="方正小标宋简体" w:cs="方正小标宋简体"/>
          <w:b w:val="0"/>
          <w:bCs w:val="0"/>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635635</wp:posOffset>
                </wp:positionV>
                <wp:extent cx="1238250" cy="0"/>
                <wp:effectExtent l="0" t="6350" r="0" b="6350"/>
                <wp:wrapNone/>
                <wp:docPr id="1" name="直接连接符 1"/>
                <wp:cNvGraphicFramePr/>
                <a:graphic xmlns:a="http://schemas.openxmlformats.org/drawingml/2006/main">
                  <a:graphicData uri="http://schemas.microsoft.com/office/word/2010/wordprocessingShape">
                    <wps:wsp>
                      <wps:cNvCnPr/>
                      <wps:spPr>
                        <a:xfrm>
                          <a:off x="1008380" y="2826385"/>
                          <a:ext cx="123825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6pt;margin-top:50.05pt;height:0pt;width:97.5pt;z-index:251660288;mso-width-relative:page;mso-height-relative:page;" filled="f" stroked="t" coordsize="21600,21600" o:gfxdata="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pD5JtUAAAAKAQAA&#10;DwAAAAAAAAABACAAAAAiAAAAZHJzL2Rvd25yZXYueG1sUEsBAhQAFAAAAAgAh07iQKRtmCPjAQAA&#10;pwMAAA4AAAAAAAAAAQAgAAAAJAEAAGRycy9lMm9Eb2MueG1sUEsFBgAAAAAGAAYAWQEAAHkFAAAA&#10;AA==&#10;">
                <v:fill on="f" focussize="0,0"/>
                <v:stroke weight="1pt" color="#000000 [3213]" joinstyle="round"/>
                <v:imagedata o:title=""/>
                <o:lock v:ext="edit" aspectratio="f"/>
              </v:line>
            </w:pict>
          </mc:Fallback>
        </mc:AlternateContent>
      </w:r>
    </w:p>
    <w:p w14:paraId="0BD4E48A">
      <w:pPr>
        <w:keepNext w:val="0"/>
        <w:keepLines w:val="0"/>
        <w:pageBreakBefore w:val="0"/>
        <w:widowControl w:val="0"/>
        <w:kinsoku/>
        <w:wordWrap/>
        <w:overflowPunct w:val="0"/>
        <w:topLinePunct w:val="0"/>
        <w:bidi w:val="0"/>
        <w:spacing w:before="136" w:line="219" w:lineRule="auto"/>
        <w:ind w:left="1756"/>
        <w:rPr>
          <w:rFonts w:hint="eastAsia" w:ascii="方正小标宋简体" w:hAnsi="方正小标宋简体" w:eastAsia="方正小标宋简体" w:cs="方正小标宋简体"/>
          <w:b w:val="0"/>
          <w:bCs w:val="0"/>
          <w:sz w:val="44"/>
          <w:szCs w:val="44"/>
        </w:rPr>
      </w:pPr>
    </w:p>
    <w:p w14:paraId="6857D75B">
      <w:pPr>
        <w:keepNext w:val="0"/>
        <w:keepLines w:val="0"/>
        <w:pageBreakBefore w:val="0"/>
        <w:widowControl w:val="0"/>
        <w:kinsoku/>
        <w:wordWrap/>
        <w:overflowPunct w:val="0"/>
        <w:topLinePunct w:val="0"/>
        <w:bidi w:val="0"/>
        <w:spacing w:before="136" w:line="219" w:lineRule="auto"/>
        <w:ind w:left="175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廉政承诺书</w:t>
      </w:r>
    </w:p>
    <w:p w14:paraId="27803EF5">
      <w:pPr>
        <w:keepNext w:val="0"/>
        <w:keepLines w:val="0"/>
        <w:pageBreakBefore w:val="0"/>
        <w:widowControl w:val="0"/>
        <w:kinsoku/>
        <w:wordWrap/>
        <w:overflowPunct w:val="0"/>
        <w:topLinePunct w:val="0"/>
        <w:autoSpaceDE/>
        <w:autoSpaceDN/>
        <w:bidi w:val="0"/>
        <w:spacing w:before="0" w:line="620" w:lineRule="exact"/>
        <w:rPr>
          <w:rFonts w:hint="eastAsia" w:ascii="方正小标宋简体" w:hAnsi="方正小标宋简体" w:eastAsia="方正小标宋简体" w:cs="方正小标宋简体"/>
          <w:b w:val="0"/>
          <w:bCs w:val="0"/>
          <w:sz w:val="30"/>
          <w:szCs w:val="30"/>
        </w:rPr>
      </w:pPr>
    </w:p>
    <w:p w14:paraId="5AB69921">
      <w:pPr>
        <w:keepNext w:val="0"/>
        <w:keepLines w:val="0"/>
        <w:pageBreakBefore w:val="0"/>
        <w:widowControl w:val="0"/>
        <w:kinsoku/>
        <w:wordWrap/>
        <w:overflowPunct w:val="0"/>
        <w:topLinePunct w:val="0"/>
        <w:autoSpaceDE/>
        <w:autoSpaceDN/>
        <w:bidi w:val="0"/>
        <w:spacing w:before="0"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部门(单位) :</w:t>
      </w:r>
    </w:p>
    <w:p w14:paraId="001F2360">
      <w:pPr>
        <w:keepNext w:val="0"/>
        <w:keepLines w:val="0"/>
        <w:pageBreakBefore w:val="0"/>
        <w:widowControl/>
        <w:kinsoku w:val="0"/>
        <w:wordWrap/>
        <w:overflowPunct/>
        <w:topLinePunct w:val="0"/>
        <w:autoSpaceDE/>
        <w:autoSpaceDN/>
        <w:bidi w:val="0"/>
        <w:adjustRightInd w:val="0"/>
        <w:snapToGrid w:val="0"/>
        <w:spacing w:line="620" w:lineRule="exact"/>
        <w:jc w:val="both"/>
        <w:textAlignment w:val="baseline"/>
        <w:rPr>
          <w:rFonts w:hint="eastAsia" w:ascii="仿宋_GB2312" w:hAnsi="仿宋_GB2312" w:eastAsia="仿宋_GB2312" w:cs="仿宋_GB2312"/>
          <w:sz w:val="30"/>
          <w:szCs w:val="30"/>
        </w:rPr>
        <w:sectPr>
          <w:type w:val="continuous"/>
          <w:pgSz w:w="11910" w:h="16840"/>
          <w:pgMar w:top="1928" w:right="1474" w:bottom="1701" w:left="1587" w:header="0" w:footer="1272" w:gutter="0"/>
          <w:pgNumType w:fmt="numberInDash"/>
          <w:cols w:equalWidth="0" w:num="2">
            <w:col w:w="832" w:space="780"/>
            <w:col w:w="7236"/>
          </w:cols>
        </w:sectPr>
      </w:pPr>
    </w:p>
    <w:p w14:paraId="53605DE2">
      <w:pPr>
        <w:keepNext w:val="0"/>
        <w:keepLines w:val="0"/>
        <w:pageBreakBefore w:val="0"/>
        <w:widowControl/>
        <w:kinsoku w:val="0"/>
        <w:wordWrap/>
        <w:overflowPunct/>
        <w:topLinePunct w:val="0"/>
        <w:autoSpaceDE/>
        <w:autoSpaceDN/>
        <w:bidi w:val="0"/>
        <w:adjustRightInd w:val="0"/>
        <w:snapToGrid w:val="0"/>
        <w:spacing w:line="62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根据《财政部关于进一步加强财政部门和预算单位资金存放 管理的指导意见》(财库〔2017〕76号)、《浙江省财政厅关 于印发浙江省财政专户资金存放管理实施办法的通知》(浙财预 执〔2017〕86号)、《台州市市本级财政专户资金竞争性存放管理实施办法和台州市市本级行政事业单位公款竞争性存放管理办法》(台政办发〔2018〕63 号)</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相关规定，现就本行参加贵单位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年第</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期公款竞争性存放作出如下承诺：</w:t>
      </w:r>
    </w:p>
    <w:p w14:paraId="3AD09EBF">
      <w:pPr>
        <w:keepNext w:val="0"/>
        <w:keepLines w:val="0"/>
        <w:pageBreakBefore w:val="0"/>
        <w:widowControl/>
        <w:kinsoku w:val="0"/>
        <w:wordWrap/>
        <w:overflowPunct/>
        <w:topLinePunct w:val="0"/>
        <w:autoSpaceDE/>
        <w:autoSpaceDN/>
        <w:bidi w:val="0"/>
        <w:adjustRightInd w:val="0"/>
        <w:snapToGrid w:val="0"/>
        <w:spacing w:line="62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1.不向贵单位负责公款存放管理的领导及相关人员进行利</w:t>
      </w:r>
    </w:p>
    <w:p w14:paraId="4742226B">
      <w:pPr>
        <w:keepNext w:val="0"/>
        <w:keepLines w:val="0"/>
        <w:pageBreakBefore w:val="0"/>
        <w:widowControl/>
        <w:kinsoku w:val="0"/>
        <w:wordWrap/>
        <w:overflowPunct/>
        <w:topLinePunct w:val="0"/>
        <w:autoSpaceDE/>
        <w:autoSpaceDN/>
        <w:bidi w:val="0"/>
        <w:adjustRightInd w:val="0"/>
        <w:snapToGrid w:val="0"/>
        <w:spacing w:line="620" w:lineRule="exact"/>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益输送；</w:t>
      </w:r>
    </w:p>
    <w:p w14:paraId="6057A63D">
      <w:pPr>
        <w:keepNext w:val="0"/>
        <w:keepLines w:val="0"/>
        <w:pageBreakBefore w:val="0"/>
        <w:widowControl/>
        <w:numPr>
          <w:ilvl w:val="0"/>
          <w:numId w:val="1"/>
        </w:numPr>
        <w:kinsoku w:val="0"/>
        <w:wordWrap/>
        <w:overflowPunct/>
        <w:topLinePunct w:val="0"/>
        <w:autoSpaceDE/>
        <w:autoSpaceDN/>
        <w:bidi w:val="0"/>
        <w:adjustRightInd w:val="0"/>
        <w:snapToGrid w:val="0"/>
        <w:spacing w:line="62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不将公款存放与贵单位负责公款存放管理的领导及相关  人员在本行的配偶、子女及其配偶和其他直接利益相关人员的业绩、收入、晋升等利益挂钩；</w:t>
      </w:r>
    </w:p>
    <w:p w14:paraId="4AFF7FEC">
      <w:pPr>
        <w:keepNext w:val="0"/>
        <w:keepLines w:val="0"/>
        <w:pageBreakBefore w:val="0"/>
        <w:widowControl/>
        <w:numPr>
          <w:ilvl w:val="0"/>
          <w:numId w:val="1"/>
        </w:numPr>
        <w:kinsoku w:val="0"/>
        <w:wordWrap/>
        <w:overflowPunct/>
        <w:topLinePunct w:val="0"/>
        <w:autoSpaceDE/>
        <w:autoSpaceDN/>
        <w:bidi w:val="0"/>
        <w:adjustRightInd w:val="0"/>
        <w:snapToGrid w:val="0"/>
        <w:spacing w:line="62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严格执行利益回避制度，贵单位负责公款竞争性存放相关 人员的配偶、子女及其配偶和其他直接利益相关人员为本行工作人员的，不参与公款竞争性存放工作；</w:t>
      </w:r>
    </w:p>
    <w:p w14:paraId="4AD97820">
      <w:pPr>
        <w:keepNext w:val="0"/>
        <w:keepLines w:val="0"/>
        <w:pageBreakBefore w:val="0"/>
        <w:widowControl/>
        <w:numPr>
          <w:ilvl w:val="0"/>
          <w:numId w:val="1"/>
        </w:numPr>
        <w:kinsoku w:val="0"/>
        <w:wordWrap/>
        <w:overflowPunct/>
        <w:topLinePunct w:val="0"/>
        <w:autoSpaceDE/>
        <w:autoSpaceDN/>
        <w:bidi w:val="0"/>
        <w:adjustRightInd w:val="0"/>
        <w:snapToGrid w:val="0"/>
        <w:spacing w:line="62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不发生除上述行为之外的其他任何利益输送行为。</w:t>
      </w:r>
    </w:p>
    <w:p w14:paraId="288A8AED">
      <w:pPr>
        <w:keepNext w:val="0"/>
        <w:keepLines w:val="0"/>
        <w:pageBreakBefore w:val="0"/>
        <w:widowControl/>
        <w:kinsoku w:val="0"/>
        <w:wordWrap/>
        <w:overflowPunct/>
        <w:topLinePunct w:val="0"/>
        <w:autoSpaceDE/>
        <w:autoSpaceDN/>
        <w:bidi w:val="0"/>
        <w:adjustRightInd w:val="0"/>
        <w:snapToGrid w:val="0"/>
        <w:spacing w:line="62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未遵守以上承诺的，本行自愿接受财政部门通报和处理，承担相应的一切后果。</w:t>
      </w:r>
    </w:p>
    <w:p w14:paraId="2760998A">
      <w:pPr>
        <w:keepNext w:val="0"/>
        <w:keepLines w:val="0"/>
        <w:pageBreakBefore w:val="0"/>
        <w:widowControl/>
        <w:kinsoku w:val="0"/>
        <w:wordWrap/>
        <w:overflowPunct/>
        <w:topLinePunct w:val="0"/>
        <w:autoSpaceDE/>
        <w:autoSpaceDN/>
        <w:bidi w:val="0"/>
        <w:adjustRightInd w:val="0"/>
        <w:snapToGrid w:val="0"/>
        <w:spacing w:line="620" w:lineRule="exact"/>
        <w:ind w:firstLine="600" w:firstLineChars="200"/>
        <w:jc w:val="both"/>
        <w:textAlignment w:val="baseline"/>
        <w:rPr>
          <w:rFonts w:hint="eastAsia" w:ascii="仿宋_GB2312" w:hAnsi="仿宋_GB2312" w:eastAsia="仿宋_GB2312" w:cs="仿宋_GB2312"/>
          <w:sz w:val="30"/>
          <w:szCs w:val="30"/>
        </w:rPr>
      </w:pPr>
    </w:p>
    <w:p w14:paraId="243F61F7">
      <w:pPr>
        <w:keepNext w:val="0"/>
        <w:keepLines w:val="0"/>
        <w:pageBreakBefore w:val="0"/>
        <w:widowControl/>
        <w:kinsoku w:val="0"/>
        <w:wordWrap/>
        <w:overflowPunct/>
        <w:topLinePunct w:val="0"/>
        <w:autoSpaceDE/>
        <w:autoSpaceDN/>
        <w:bidi w:val="0"/>
        <w:adjustRightInd w:val="0"/>
        <w:snapToGrid w:val="0"/>
        <w:spacing w:line="620" w:lineRule="exact"/>
        <w:ind w:left="3000" w:leftChars="0" w:firstLine="500" w:firstLineChars="0"/>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银行(公章)</w:t>
      </w:r>
    </w:p>
    <w:p w14:paraId="434A646D">
      <w:pPr>
        <w:keepNext w:val="0"/>
        <w:keepLines w:val="0"/>
        <w:pageBreakBefore w:val="0"/>
        <w:widowControl/>
        <w:kinsoku w:val="0"/>
        <w:wordWrap/>
        <w:overflowPunct/>
        <w:topLinePunct w:val="0"/>
        <w:autoSpaceDE/>
        <w:autoSpaceDN/>
        <w:bidi w:val="0"/>
        <w:adjustRightInd w:val="0"/>
        <w:snapToGrid w:val="0"/>
        <w:spacing w:line="620" w:lineRule="exact"/>
        <w:ind w:left="3000" w:leftChars="0" w:firstLine="500" w:firstLineChars="0"/>
        <w:jc w:val="center"/>
        <w:textAlignment w:val="baseline"/>
        <w:rPr>
          <w:rFonts w:hint="eastAsia" w:ascii="仿宋_GB2312" w:hAnsi="仿宋_GB2312" w:eastAsia="仿宋_GB2312" w:cs="仿宋_GB2312"/>
          <w:sz w:val="30"/>
          <w:szCs w:val="30"/>
        </w:rPr>
        <w:sectPr>
          <w:type w:val="continuous"/>
          <w:pgSz w:w="11910" w:h="16840"/>
          <w:pgMar w:top="1928" w:right="1474" w:bottom="1701" w:left="1587" w:header="0" w:footer="1272" w:gutter="0"/>
          <w:pgNumType w:fmt="numberInDash"/>
          <w:cols w:equalWidth="0" w:num="1">
            <w:col w:w="8791"/>
          </w:cols>
        </w:sectPr>
      </w:pPr>
      <w:r>
        <w:rPr>
          <w:rFonts w:hint="eastAsia" w:ascii="仿宋_GB2312" w:hAnsi="仿宋_GB2312" w:eastAsia="仿宋_GB2312" w:cs="仿宋_GB2312"/>
          <w:sz w:val="30"/>
          <w:szCs w:val="30"/>
        </w:rPr>
        <w:t xml:space="preserve">年   月 </w:t>
      </w:r>
    </w:p>
    <w:p w14:paraId="6636C509">
      <w:pPr>
        <w:pStyle w:val="2"/>
      </w:pPr>
    </w:p>
    <w:sectPr>
      <w:footerReference r:id="rId6" w:type="default"/>
      <w:pgSz w:w="11910" w:h="16840"/>
      <w:pgMar w:top="1431" w:right="1430" w:bottom="1681" w:left="1549" w:header="0" w:footer="138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BF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22960">
                          <w:pPr>
                            <w:pStyle w:val="3"/>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D22960">
                    <w:pPr>
                      <w:pStyle w:val="3"/>
                      <w:keepNext w:val="0"/>
                      <w:keepLines w:val="0"/>
                      <w:pageBreakBefore w:val="0"/>
                      <w:widowControl/>
                      <w:kinsoku w:val="0"/>
                      <w:wordWrap/>
                      <w:overflowPunct/>
                      <w:topLinePunct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312D">
    <w:pPr>
      <w:spacing w:before="1" w:line="177" w:lineRule="auto"/>
      <w:ind w:left="364"/>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C997C">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2C997C">
                    <w:pPr>
                      <w:pStyle w:val="3"/>
                    </w:pPr>
                    <w:r>
                      <w:fldChar w:fldCharType="begin"/>
                    </w:r>
                    <w:r>
                      <w:instrText xml:space="preserve"> PAGE  \* MERGEFORMAT </w:instrText>
                    </w:r>
                    <w:r>
                      <w:fldChar w:fldCharType="separate"/>
                    </w:r>
                    <w:r>
                      <w:t>11</w:t>
                    </w:r>
                    <w:r>
                      <w:fldChar w:fldCharType="end"/>
                    </w:r>
                  </w:p>
                </w:txbxContent>
              </v:textbox>
            </v:shape>
          </w:pict>
        </mc:Fallback>
      </mc:AlternateContent>
    </w:r>
    <w:r>
      <w:rPr>
        <w:rFonts w:ascii="宋体" w:hAnsi="宋体" w:eastAsia="宋体" w:cs="宋体"/>
        <w:spacing w:val="-9"/>
        <w:sz w:val="30"/>
        <w:szCs w:val="3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1772F"/>
    <w:multiLevelType w:val="singleLevel"/>
    <w:tmpl w:val="93D1772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E3MzhiNjI5ZDRiMDEwNWIwZGE1ODExZThlNDk5YzIifQ=="/>
  </w:docVars>
  <w:rsids>
    <w:rsidRoot w:val="00000000"/>
    <w:rsid w:val="03183FDB"/>
    <w:rsid w:val="046E5030"/>
    <w:rsid w:val="04D16DF6"/>
    <w:rsid w:val="053F6CFF"/>
    <w:rsid w:val="091361A6"/>
    <w:rsid w:val="0BFF368B"/>
    <w:rsid w:val="0C187CFA"/>
    <w:rsid w:val="0C572ECD"/>
    <w:rsid w:val="0D062A3C"/>
    <w:rsid w:val="0DC4615F"/>
    <w:rsid w:val="10C35B08"/>
    <w:rsid w:val="118877E6"/>
    <w:rsid w:val="12301B77"/>
    <w:rsid w:val="14090DC0"/>
    <w:rsid w:val="142A707D"/>
    <w:rsid w:val="14A32AD4"/>
    <w:rsid w:val="16784407"/>
    <w:rsid w:val="16C531D6"/>
    <w:rsid w:val="17E1050B"/>
    <w:rsid w:val="18C2473D"/>
    <w:rsid w:val="1975362D"/>
    <w:rsid w:val="1B54280A"/>
    <w:rsid w:val="1ED41ADC"/>
    <w:rsid w:val="1F521F48"/>
    <w:rsid w:val="23BE7B11"/>
    <w:rsid w:val="24417C14"/>
    <w:rsid w:val="25CB1E8B"/>
    <w:rsid w:val="28F434A6"/>
    <w:rsid w:val="29224CF4"/>
    <w:rsid w:val="29271965"/>
    <w:rsid w:val="2D2818F4"/>
    <w:rsid w:val="2DE105F7"/>
    <w:rsid w:val="31C56286"/>
    <w:rsid w:val="331D35FA"/>
    <w:rsid w:val="3450530D"/>
    <w:rsid w:val="34F031E5"/>
    <w:rsid w:val="366C0B20"/>
    <w:rsid w:val="3A1448B7"/>
    <w:rsid w:val="3B7641EF"/>
    <w:rsid w:val="3EC90A0B"/>
    <w:rsid w:val="3F6E4ED7"/>
    <w:rsid w:val="40C7638F"/>
    <w:rsid w:val="41206E76"/>
    <w:rsid w:val="430E61D2"/>
    <w:rsid w:val="4447436E"/>
    <w:rsid w:val="4468110A"/>
    <w:rsid w:val="44C152BA"/>
    <w:rsid w:val="49A85EBB"/>
    <w:rsid w:val="4A5A6578"/>
    <w:rsid w:val="4AAC35B8"/>
    <w:rsid w:val="502C65A1"/>
    <w:rsid w:val="51232C03"/>
    <w:rsid w:val="513003A1"/>
    <w:rsid w:val="521A722A"/>
    <w:rsid w:val="5791277A"/>
    <w:rsid w:val="58645393"/>
    <w:rsid w:val="593A6F98"/>
    <w:rsid w:val="5AD471CC"/>
    <w:rsid w:val="5B3C70FF"/>
    <w:rsid w:val="6245446B"/>
    <w:rsid w:val="63FD03E8"/>
    <w:rsid w:val="648E32AE"/>
    <w:rsid w:val="65491EA9"/>
    <w:rsid w:val="65D27919"/>
    <w:rsid w:val="6780592A"/>
    <w:rsid w:val="680C5410"/>
    <w:rsid w:val="68BB4222"/>
    <w:rsid w:val="6A301889"/>
    <w:rsid w:val="713F5EAF"/>
    <w:rsid w:val="72190B9D"/>
    <w:rsid w:val="73467E0F"/>
    <w:rsid w:val="74EC0AA3"/>
    <w:rsid w:val="756B49F0"/>
    <w:rsid w:val="75750A98"/>
    <w:rsid w:val="75AB2AFD"/>
    <w:rsid w:val="77112A42"/>
    <w:rsid w:val="78AD31E6"/>
    <w:rsid w:val="7C3831D8"/>
    <w:rsid w:val="7DE6310B"/>
    <w:rsid w:val="7E8879E8"/>
    <w:rsid w:val="7EBE077A"/>
    <w:rsid w:val="7F8C32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3262</Words>
  <Characters>3314</Characters>
  <TotalTime>34</TotalTime>
  <ScaleCrop>false</ScaleCrop>
  <LinksUpToDate>false</LinksUpToDate>
  <CharactersWithSpaces>3390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2024-05-10T09:08:00Z</dcterms:created>
  <dc:creator>Administrator</dc:creator>
  <cp:lastModifiedBy>阮蓓俊</cp:lastModifiedBy>
  <cp:lastPrinted>2024-12-20T07:28:00Z</cp:lastPrinted>
  <dcterms:modified xsi:type="dcterms:W3CDTF">2025-01-08T03:06:54Z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2024-05-10T09:08:57Z</vt:filetime>
  </property>
  <property fmtid="{D5CDD505-2E9C-101B-9397-08002B2CF9AE}" pid="4" name="UsrData">
    <vt:lpwstr>663d73a4a6e115001ff1d496wl</vt:lpwstr>
  </property>
  <property fmtid="{D5CDD505-2E9C-101B-9397-08002B2CF9AE}" pid="5" name="KSOProductBuildVer">
    <vt:lpwstr>2052-12.1.0.17827</vt:lpwstr>
  </property>
  <property fmtid="{D5CDD505-2E9C-101B-9397-08002B2CF9AE}" pid="6" name="ICV">
    <vt:lpwstr>96CB229E900A4DC780F2C54A078609FA_12</vt:lpwstr>
  </property>
  <property fmtid="{D5CDD505-2E9C-101B-9397-08002B2CF9AE}" pid="7" name="KSOTemplateDocerSaveRecord">
    <vt:lpwstr>eyJoZGlkIjoiZTQ1NmJlMTgzYTZmOTA0NTczNzA4YWM4YjJjNDA4MjciLCJ1c2VySWQiOiI0MDcwMzg0OTkifQ==</vt:lpwstr>
  </property>
</Properties>
</file>