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ascii="Calibri" w:hAnsi="Calibri" w:eastAsia="方正小标宋简体" w:cs="Times New Roman"/>
          <w:color w:val="auto"/>
          <w:sz w:val="44"/>
          <w:szCs w:val="44"/>
          <w:highlight w:val="none"/>
          <w:lang w:val="en-US" w:eastAsia="zh-CN"/>
        </w:rPr>
        <w:t>德清县</w:t>
      </w:r>
      <w:r>
        <w:rPr>
          <w:rFonts w:hint="default" w:ascii="Times New Roman" w:hAnsi="Times New Roman" w:eastAsia="方正小标宋简体" w:cs="Times New Roman"/>
          <w:color w:val="auto"/>
          <w:sz w:val="44"/>
          <w:szCs w:val="44"/>
          <w:highlight w:val="none"/>
          <w:lang w:val="en-US" w:eastAsia="zh-CN"/>
        </w:rPr>
        <w:t>进一步推动消费品以旧换新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jc w:val="both"/>
        <w:textAlignment w:val="auto"/>
        <w:rPr>
          <w:rFonts w:hint="default" w:ascii="Times New Roman" w:hAnsi="Times New Roman" w:eastAsia="方正小标宋简体" w:cs="Times New Roman"/>
          <w:color w:val="auto"/>
          <w:kern w:val="2"/>
          <w:sz w:val="36"/>
          <w:szCs w:val="36"/>
          <w:highlight w:val="none"/>
        </w:rPr>
      </w:pP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为贯彻落实国家发改委、财政部《关于加力支持大规模设备更新和消费品以旧换新的若干措施》（发改环资〔2024〕1104号）和《浙江省进一步推动消费品以旧换新行动方案》（浙政办发〔2024〕26号）精神，进一步促进消费规模扩大，切实提升居民生活品质，根据</w:t>
      </w:r>
      <w:r>
        <w:rPr>
          <w:rFonts w:hint="eastAsia" w:ascii="Times New Roman" w:hAnsi="Times New Roman" w:eastAsia="仿宋_GB2312" w:cs="Times New Roman"/>
          <w:color w:val="auto"/>
          <w:kern w:val="2"/>
          <w:sz w:val="32"/>
          <w:szCs w:val="32"/>
          <w:highlight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委、</w:t>
      </w:r>
      <w:r>
        <w:rPr>
          <w:rFonts w:hint="eastAsia" w:ascii="Times New Roman" w:hAnsi="Times New Roman" w:eastAsia="仿宋_GB2312" w:cs="Times New Roman"/>
          <w:color w:val="auto"/>
          <w:kern w:val="2"/>
          <w:sz w:val="32"/>
          <w:szCs w:val="32"/>
          <w:highlight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政府决策部署，现就我</w:t>
      </w:r>
      <w:r>
        <w:rPr>
          <w:rFonts w:hint="eastAsia" w:ascii="Times New Roman" w:hAnsi="Times New Roman" w:eastAsia="仿宋_GB2312" w:cs="Times New Roman"/>
          <w:color w:val="auto"/>
          <w:kern w:val="2"/>
          <w:sz w:val="32"/>
          <w:szCs w:val="32"/>
          <w:highlight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进一步推动消费品以旧换新工作制定如下行动方案。</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eastAsia="zh-CN" w:bidi="ar"/>
        </w:rPr>
        <w:t>一、</w:t>
      </w:r>
      <w:r>
        <w:rPr>
          <w:rFonts w:hint="default" w:ascii="Times New Roman" w:hAnsi="Times New Roman" w:eastAsia="黑体" w:cs="Times New Roman"/>
          <w:color w:val="auto"/>
          <w:kern w:val="2"/>
          <w:sz w:val="32"/>
          <w:szCs w:val="32"/>
          <w:highlight w:val="none"/>
          <w:lang w:val="en-US" w:eastAsia="zh-CN" w:bidi="ar"/>
        </w:rPr>
        <w:t>加力推进汽车以旧换新</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b/>
          <w:bCs/>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lang w:eastAsia="zh-CN" w:bidi="ar"/>
        </w:rPr>
        <w:t>（一）</w:t>
      </w:r>
      <w:r>
        <w:rPr>
          <w:rFonts w:hint="default" w:ascii="Times New Roman" w:hAnsi="Times New Roman" w:eastAsia="楷体_GB2312" w:cs="Times New Roman"/>
          <w:b w:val="0"/>
          <w:bCs w:val="0"/>
          <w:color w:val="auto"/>
          <w:kern w:val="2"/>
          <w:sz w:val="32"/>
          <w:szCs w:val="32"/>
          <w:highlight w:val="none"/>
          <w:lang w:val="en-US" w:eastAsia="zh-CN" w:bidi="ar"/>
        </w:rPr>
        <w:t>提高汽车报废更新补贴标准</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在《</w:t>
      </w:r>
      <w:r>
        <w:rPr>
          <w:rFonts w:hint="eastAsia" w:ascii="Times New Roman" w:hAnsi="Times New Roman" w:eastAsia="仿宋_GB2312" w:cs="Times New Roman"/>
          <w:color w:val="auto"/>
          <w:kern w:val="2"/>
          <w:sz w:val="32"/>
          <w:szCs w:val="32"/>
          <w:highlight w:val="none"/>
          <w:lang w:val="en-US" w:eastAsia="zh-CN" w:bidi="ar"/>
        </w:rPr>
        <w:t>德清县</w:t>
      </w:r>
      <w:r>
        <w:rPr>
          <w:rFonts w:hint="default" w:ascii="Times New Roman" w:hAnsi="Times New Roman" w:eastAsia="仿宋_GB2312" w:cs="Times New Roman"/>
          <w:color w:val="auto"/>
          <w:kern w:val="2"/>
          <w:sz w:val="32"/>
          <w:szCs w:val="32"/>
          <w:highlight w:val="none"/>
          <w:lang w:val="en-US" w:eastAsia="zh-CN" w:bidi="ar"/>
        </w:rPr>
        <w:t>消费品以旧换新奖补政策实施细则》（</w:t>
      </w:r>
      <w:r>
        <w:rPr>
          <w:rFonts w:hint="eastAsia" w:ascii="Times New Roman" w:hAnsi="Times New Roman" w:eastAsia="仿宋_GB2312" w:cs="Times New Roman"/>
          <w:color w:val="auto"/>
          <w:kern w:val="2"/>
          <w:sz w:val="32"/>
          <w:szCs w:val="32"/>
          <w:highlight w:val="none"/>
          <w:lang w:val="en-US" w:eastAsia="zh-CN" w:bidi="ar"/>
        </w:rPr>
        <w:t>德</w:t>
      </w:r>
      <w:r>
        <w:rPr>
          <w:rFonts w:hint="default" w:ascii="Times New Roman" w:hAnsi="Times New Roman" w:eastAsia="仿宋_GB2312" w:cs="Times New Roman"/>
          <w:color w:val="auto"/>
          <w:kern w:val="2"/>
          <w:sz w:val="32"/>
          <w:szCs w:val="32"/>
          <w:highlight w:val="none"/>
          <w:lang w:val="en-US" w:eastAsia="zh-CN" w:bidi="ar"/>
        </w:rPr>
        <w:t>商务〔2024〕</w:t>
      </w:r>
      <w:r>
        <w:rPr>
          <w:rFonts w:hint="eastAsia" w:ascii="Times New Roman" w:hAnsi="Times New Roman" w:eastAsia="仿宋_GB2312" w:cs="Times New Roman"/>
          <w:color w:val="auto"/>
          <w:kern w:val="2"/>
          <w:sz w:val="32"/>
          <w:szCs w:val="32"/>
          <w:highlight w:val="none"/>
          <w:lang w:val="en-US" w:eastAsia="zh-CN" w:bidi="ar"/>
        </w:rPr>
        <w:t>14</w:t>
      </w:r>
      <w:r>
        <w:rPr>
          <w:rFonts w:hint="default" w:ascii="Times New Roman" w:hAnsi="Times New Roman" w:eastAsia="仿宋_GB2312" w:cs="Times New Roman"/>
          <w:color w:val="auto"/>
          <w:kern w:val="2"/>
          <w:sz w:val="32"/>
          <w:szCs w:val="32"/>
          <w:highlight w:val="none"/>
          <w:lang w:val="en-US" w:eastAsia="zh-CN" w:bidi="ar"/>
        </w:rPr>
        <w:t>号）基础上，自2024年4月24日起至2024年12月31日，个人消费者报废国三及以下排放标准燃油乘用车或2018年4月30日（含当日）前注册登记的新能源乘用车，并购买纳入《减免车辆购置税的新能源汽车车型目录》的新能源乘用车或2.0升及以下排量燃油乘用车，补贴标准提高至购买新能源乘用车补2万元、购买2.0升及以下排量燃油车补1.5万元。补贴申请人名下报废乘用车应在2024年7月25日前登记在本人名下，补贴申领期间，新购置汽车应登记在申请人名下。</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公安</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经信</w:t>
      </w:r>
      <w:r>
        <w:rPr>
          <w:rFonts w:hint="eastAsia" w:ascii="Calibri" w:hAnsi="Calibri" w:eastAsia="楷体_GB2312" w:cs="Times New Roman"/>
          <w:color w:val="auto"/>
          <w:kern w:val="2"/>
          <w:sz w:val="32"/>
          <w:szCs w:val="32"/>
          <w:highlight w:val="none"/>
          <w:lang w:val="en-US" w:eastAsia="zh-CN" w:bidi="ar"/>
        </w:rPr>
        <w:t>局</w:t>
      </w:r>
      <w:r>
        <w:rPr>
          <w:rFonts w:hint="eastAsia" w:ascii="Times New Roman" w:hAnsi="Times New Roman" w:eastAsia="楷体_GB2312" w:cs="Times New Roman"/>
          <w:color w:val="auto"/>
          <w:kern w:val="2"/>
          <w:sz w:val="32"/>
          <w:szCs w:val="32"/>
          <w:highlight w:val="none"/>
          <w:lang w:val="en-US" w:eastAsia="zh-CN" w:bidi="ar"/>
        </w:rPr>
        <w:t>按职责分工负责，下同</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kern w:val="2"/>
          <w:sz w:val="32"/>
          <w:szCs w:val="32"/>
          <w:highlight w:val="none"/>
        </w:rPr>
      </w:pPr>
      <w:r>
        <w:rPr>
          <w:rFonts w:hint="default" w:ascii="Times New Roman" w:hAnsi="Times New Roman" w:eastAsia="楷体_GB2312" w:cs="Times New Roman"/>
          <w:b w:val="0"/>
          <w:bCs w:val="0"/>
          <w:color w:val="auto"/>
          <w:kern w:val="2"/>
          <w:sz w:val="32"/>
          <w:szCs w:val="32"/>
          <w:highlight w:val="none"/>
          <w:lang w:val="en-US" w:eastAsia="zh-CN" w:bidi="ar"/>
        </w:rPr>
        <w:t>（二）开展汽车置换更新补贴</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个人消费者报废或转让（变更除外）本人名下乘用车，并在浙江</w:t>
      </w:r>
      <w:r>
        <w:rPr>
          <w:rFonts w:hint="eastAsia" w:ascii="Times New Roman" w:hAnsi="Times New Roman" w:eastAsia="仿宋_GB2312" w:cs="Times New Roman"/>
          <w:color w:val="auto"/>
          <w:kern w:val="2"/>
          <w:sz w:val="32"/>
          <w:szCs w:val="32"/>
          <w:highlight w:val="none"/>
          <w:lang w:val="en-US" w:eastAsia="zh-CN" w:bidi="ar"/>
        </w:rPr>
        <w:t>省</w:t>
      </w:r>
      <w:r>
        <w:rPr>
          <w:rFonts w:hint="default" w:ascii="Times New Roman" w:hAnsi="Times New Roman" w:eastAsia="仿宋_GB2312" w:cs="Times New Roman"/>
          <w:color w:val="auto"/>
          <w:kern w:val="2"/>
          <w:sz w:val="32"/>
          <w:szCs w:val="32"/>
          <w:highlight w:val="none"/>
          <w:lang w:val="en-US" w:eastAsia="zh-CN" w:bidi="ar"/>
        </w:rPr>
        <w:t>内销售企业购置7座以下（含7座）新乘用车，可申请一次性补贴。新车价格在5万</w:t>
      </w:r>
      <w:r>
        <w:rPr>
          <w:rFonts w:hint="eastAsia" w:ascii="Times New Roman" w:hAnsi="Times New Roman" w:eastAsia="仿宋_GB2312" w:cs="Times New Roman"/>
          <w:color w:val="auto"/>
          <w:kern w:val="2"/>
          <w:sz w:val="32"/>
          <w:szCs w:val="32"/>
          <w:highlight w:val="none"/>
          <w:lang w:val="en-US" w:eastAsia="zh-CN" w:bidi="ar"/>
        </w:rPr>
        <w:t>（含）</w:t>
      </w:r>
      <w:r>
        <w:rPr>
          <w:rFonts w:hint="default" w:ascii="Times New Roman" w:hAnsi="Times New Roman" w:eastAsia="仿宋_GB2312" w:cs="Times New Roman"/>
          <w:color w:val="auto"/>
          <w:kern w:val="2"/>
          <w:sz w:val="32"/>
          <w:szCs w:val="32"/>
          <w:highlight w:val="none"/>
          <w:lang w:val="en-US" w:eastAsia="zh-CN" w:bidi="ar"/>
        </w:rPr>
        <w:t>至15万（不含）之间的燃油</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车补贴6000元，新能源</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车补贴8000元；价格在15万</w:t>
      </w:r>
      <w:r>
        <w:rPr>
          <w:rFonts w:hint="eastAsia" w:ascii="Times New Roman" w:hAnsi="Times New Roman" w:eastAsia="仿宋_GB2312" w:cs="Times New Roman"/>
          <w:color w:val="auto"/>
          <w:kern w:val="2"/>
          <w:sz w:val="32"/>
          <w:szCs w:val="32"/>
          <w:highlight w:val="none"/>
          <w:lang w:val="en-US" w:eastAsia="zh-CN" w:bidi="ar"/>
        </w:rPr>
        <w:t>（含）</w:t>
      </w:r>
      <w:r>
        <w:rPr>
          <w:rFonts w:hint="default" w:ascii="Times New Roman" w:hAnsi="Times New Roman" w:eastAsia="仿宋_GB2312" w:cs="Times New Roman"/>
          <w:color w:val="auto"/>
          <w:kern w:val="2"/>
          <w:sz w:val="32"/>
          <w:szCs w:val="32"/>
          <w:highlight w:val="none"/>
          <w:lang w:val="en-US" w:eastAsia="zh-CN" w:bidi="ar"/>
        </w:rPr>
        <w:t>至25万（不含）之间的燃油</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车补贴8000元，新能源</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车补贴10000元；价格在25万</w:t>
      </w:r>
      <w:r>
        <w:rPr>
          <w:rFonts w:hint="eastAsia" w:ascii="Times New Roman" w:hAnsi="Times New Roman" w:eastAsia="仿宋_GB2312" w:cs="Times New Roman"/>
          <w:color w:val="auto"/>
          <w:kern w:val="2"/>
          <w:sz w:val="32"/>
          <w:szCs w:val="32"/>
          <w:highlight w:val="none"/>
          <w:lang w:val="en-US" w:eastAsia="zh-CN" w:bidi="ar"/>
        </w:rPr>
        <w:t>（含）</w:t>
      </w:r>
      <w:r>
        <w:rPr>
          <w:rFonts w:hint="default" w:ascii="Times New Roman" w:hAnsi="Times New Roman" w:eastAsia="仿宋_GB2312" w:cs="Times New Roman"/>
          <w:color w:val="auto"/>
          <w:kern w:val="2"/>
          <w:sz w:val="32"/>
          <w:szCs w:val="32"/>
          <w:highlight w:val="none"/>
          <w:lang w:val="en-US" w:eastAsia="zh-CN" w:bidi="ar"/>
        </w:rPr>
        <w:t>以上的燃油</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车补贴10000元，新能源</w:t>
      </w:r>
      <w:r>
        <w:rPr>
          <w:rFonts w:hint="eastAsia" w:ascii="Times New Roman" w:hAnsi="Times New Roman" w:eastAsia="仿宋_GB2312" w:cs="Times New Roman"/>
          <w:color w:val="auto"/>
          <w:kern w:val="2"/>
          <w:sz w:val="32"/>
          <w:szCs w:val="32"/>
          <w:highlight w:val="none"/>
          <w:lang w:val="en-US" w:eastAsia="zh-CN" w:bidi="ar"/>
        </w:rPr>
        <w:t>乘用</w:t>
      </w:r>
      <w:r>
        <w:rPr>
          <w:rFonts w:hint="default" w:ascii="Times New Roman" w:hAnsi="Times New Roman" w:eastAsia="仿宋_GB2312" w:cs="Times New Roman"/>
          <w:color w:val="auto"/>
          <w:kern w:val="2"/>
          <w:sz w:val="32"/>
          <w:szCs w:val="32"/>
          <w:highlight w:val="none"/>
          <w:lang w:val="en-US" w:eastAsia="zh-CN" w:bidi="ar"/>
        </w:rPr>
        <w:t>车补贴12000元。活动期间每名补贴申请人和同一辆二手乘用车只能享受一次补贴。该项政策与国家汽车报废更新补贴不可重复享受。置换更新补贴资金使用完毕即止。</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消费者应于2025年1月10日前在微信小程序“汽车置换更新补贴”递交申请，按要求上传相关资料证明。新车《机动车销售统一发票》开具地为补贴受理地。补贴申请人名下旧车登记时间必须在本通知印发之日前。商务、公安等部门负责相关审核工作，税务部门按职责做好机动车、二手车销售发票管理工作。</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商务</w:t>
      </w:r>
      <w:r>
        <w:rPr>
          <w:rFonts w:hint="eastAsia" w:ascii="Times New Roman" w:hAnsi="Times New Roman" w:eastAsia="仿宋_GB2312" w:cs="Times New Roman"/>
          <w:color w:val="auto"/>
          <w:kern w:val="2"/>
          <w:sz w:val="32"/>
          <w:szCs w:val="32"/>
          <w:highlight w:val="none"/>
          <w:lang w:val="en-US" w:eastAsia="zh-CN" w:bidi="ar"/>
        </w:rPr>
        <w:t>局</w:t>
      </w:r>
      <w:r>
        <w:rPr>
          <w:rFonts w:hint="default" w:ascii="Times New Roman" w:hAnsi="Times New Roman" w:eastAsia="仿宋_GB2312" w:cs="Times New Roman"/>
          <w:color w:val="auto"/>
          <w:kern w:val="2"/>
          <w:sz w:val="32"/>
          <w:szCs w:val="32"/>
          <w:highlight w:val="none"/>
          <w:lang w:val="en-US" w:eastAsia="zh-CN" w:bidi="ar"/>
        </w:rPr>
        <w:t>收到申请材料的15个工作日内，会同相关部门按照职能职责进行审核。申请人提交的信息真实完整，符合要求的，予以审核通过。申请人提交的信息不完整或不清晰无法辨识的，</w:t>
      </w:r>
      <w:r>
        <w:rPr>
          <w:rFonts w:hint="eastAsia" w:ascii="Times New Roman" w:hAnsi="Times New Roman" w:eastAsia="仿宋_GB2312" w:cs="Times New Roman"/>
          <w:color w:val="auto"/>
          <w:kern w:val="2"/>
          <w:sz w:val="32"/>
          <w:szCs w:val="32"/>
          <w:highlight w:val="none"/>
          <w:lang w:val="en-US" w:eastAsia="zh-CN" w:bidi="ar"/>
        </w:rPr>
        <w:t>县商务局</w:t>
      </w:r>
      <w:r>
        <w:rPr>
          <w:rFonts w:hint="default" w:ascii="Times New Roman" w:hAnsi="Times New Roman" w:eastAsia="仿宋_GB2312" w:cs="Times New Roman"/>
          <w:color w:val="auto"/>
          <w:kern w:val="2"/>
          <w:sz w:val="32"/>
          <w:szCs w:val="32"/>
          <w:highlight w:val="none"/>
          <w:lang w:val="en-US" w:eastAsia="zh-CN" w:bidi="ar"/>
        </w:rPr>
        <w:t>将补</w:t>
      </w:r>
      <w:r>
        <w:rPr>
          <w:rFonts w:hint="eastAsia" w:ascii="Times New Roman" w:hAnsi="Times New Roman" w:eastAsia="仿宋_GB2312" w:cs="Times New Roman"/>
          <w:color w:val="auto"/>
          <w:kern w:val="2"/>
          <w:sz w:val="32"/>
          <w:szCs w:val="32"/>
          <w:highlight w:val="none"/>
          <w:lang w:val="en-US" w:eastAsia="zh-CN" w:bidi="ar"/>
        </w:rPr>
        <w:t>正</w:t>
      </w:r>
      <w:r>
        <w:rPr>
          <w:rFonts w:hint="default" w:ascii="Times New Roman" w:hAnsi="Times New Roman" w:eastAsia="仿宋_GB2312" w:cs="Times New Roman"/>
          <w:color w:val="auto"/>
          <w:kern w:val="2"/>
          <w:sz w:val="32"/>
          <w:szCs w:val="32"/>
          <w:highlight w:val="none"/>
          <w:lang w:val="en-US" w:eastAsia="zh-CN" w:bidi="ar"/>
        </w:rPr>
        <w:t>信息告知申请人，申请人按要求在本文明确的申请截止日期内通过原渠道补正有关信息。并于审核通过后15个工作日之内将补贴资金拨付至消费者指定的银行账户，</w:t>
      </w:r>
      <w:r>
        <w:rPr>
          <w:rFonts w:hint="eastAsia" w:ascii="Times New Roman" w:hAnsi="Times New Roman" w:eastAsia="仿宋_GB2312" w:cs="Times New Roman"/>
          <w:color w:val="auto"/>
          <w:kern w:val="2"/>
          <w:sz w:val="32"/>
          <w:szCs w:val="32"/>
          <w:highlight w:val="none"/>
          <w:lang w:val="en-US" w:eastAsia="zh-CN" w:bidi="ar"/>
        </w:rPr>
        <w:t>鼓励根据本地区实际情况</w:t>
      </w:r>
      <w:r>
        <w:rPr>
          <w:rFonts w:hint="default" w:ascii="Times New Roman" w:hAnsi="Times New Roman" w:eastAsia="仿宋_GB2312" w:cs="Times New Roman"/>
          <w:color w:val="auto"/>
          <w:kern w:val="2"/>
          <w:sz w:val="32"/>
          <w:szCs w:val="32"/>
          <w:highlight w:val="none"/>
          <w:lang w:val="en-US" w:eastAsia="zh-CN" w:bidi="ar"/>
        </w:rPr>
        <w:t>优化资金申报及拨付流程，确保政策直达快享。</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财政</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公安</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税务局）</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eastAsia="zh-CN" w:bidi="ar"/>
        </w:rPr>
        <w:t>二、大力促进</w:t>
      </w:r>
      <w:r>
        <w:rPr>
          <w:rFonts w:hint="default" w:ascii="Times New Roman" w:hAnsi="Times New Roman" w:eastAsia="黑体" w:cs="Times New Roman"/>
          <w:color w:val="auto"/>
          <w:kern w:val="2"/>
          <w:sz w:val="32"/>
          <w:szCs w:val="32"/>
          <w:highlight w:val="none"/>
          <w:lang w:val="en-US" w:eastAsia="zh-CN" w:bidi="ar"/>
        </w:rPr>
        <w:t>家电消费</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要充分释放国家政策红利，对个人消费者购买2级及以上能效或水效标准的冰箱、洗衣机、电视、空调、电脑、热水器、家用灶具、吸油烟机等8类家电产品给予“立购立减”购置补贴。补贴标准为产品销售价格的15%，对购买1级及以上能效或水效标准的产品，额外再给予产品销售价格5%的补贴。每位消费者每类产品可补贴1件，每件商品补贴不超过2000元。鼓励根据</w:t>
      </w:r>
      <w:r>
        <w:rPr>
          <w:rFonts w:hint="eastAsia" w:ascii="Times New Roman" w:hAnsi="Times New Roman" w:eastAsia="仿宋_GB2312" w:cs="Times New Roman"/>
          <w:color w:val="auto"/>
          <w:kern w:val="2"/>
          <w:sz w:val="32"/>
          <w:szCs w:val="32"/>
          <w:highlight w:val="none"/>
          <w:lang w:val="en-US" w:eastAsia="zh-CN" w:bidi="ar"/>
        </w:rPr>
        <w:t>本地区</w:t>
      </w:r>
      <w:r>
        <w:rPr>
          <w:rFonts w:hint="default" w:ascii="Times New Roman" w:hAnsi="Times New Roman" w:eastAsia="仿宋_GB2312" w:cs="Times New Roman"/>
          <w:color w:val="auto"/>
          <w:kern w:val="2"/>
          <w:sz w:val="32"/>
          <w:szCs w:val="32"/>
          <w:highlight w:val="none"/>
          <w:lang w:val="en-US" w:eastAsia="zh-CN" w:bidi="ar"/>
        </w:rPr>
        <w:t>居民消费习惯和家电市场实际情况，合理增加</w:t>
      </w:r>
      <w:r>
        <w:rPr>
          <w:rFonts w:hint="eastAsia" w:ascii="Times New Roman" w:hAnsi="Times New Roman" w:eastAsia="仿宋_GB2312" w:cs="Times New Roman"/>
          <w:color w:val="auto"/>
          <w:kern w:val="2"/>
          <w:sz w:val="32"/>
          <w:szCs w:val="32"/>
          <w:highlight w:val="none"/>
          <w:lang w:val="en-US" w:eastAsia="zh-CN" w:bidi="ar"/>
        </w:rPr>
        <w:t>烘干机、吸尘器等</w:t>
      </w:r>
      <w:r>
        <w:rPr>
          <w:rFonts w:hint="default" w:ascii="Times New Roman" w:hAnsi="Times New Roman" w:eastAsia="仿宋_GB2312" w:cs="Times New Roman"/>
          <w:color w:val="auto"/>
          <w:kern w:val="2"/>
          <w:sz w:val="32"/>
          <w:szCs w:val="32"/>
          <w:highlight w:val="none"/>
          <w:lang w:val="en-US" w:eastAsia="zh-CN" w:bidi="ar"/>
        </w:rPr>
        <w:t>补贴品类，</w:t>
      </w:r>
      <w:r>
        <w:rPr>
          <w:rFonts w:hint="eastAsia" w:ascii="Times New Roman" w:hAnsi="Times New Roman" w:eastAsia="仿宋_GB2312" w:cs="Times New Roman"/>
          <w:color w:val="auto"/>
          <w:kern w:val="2"/>
          <w:sz w:val="32"/>
          <w:szCs w:val="32"/>
          <w:highlight w:val="none"/>
          <w:lang w:val="en-US" w:eastAsia="zh-CN" w:bidi="ar"/>
        </w:rPr>
        <w:t>更好满足消费</w:t>
      </w:r>
      <w:r>
        <w:rPr>
          <w:rFonts w:hint="default" w:ascii="Times New Roman" w:hAnsi="Times New Roman" w:eastAsia="仿宋_GB2312" w:cs="Times New Roman"/>
          <w:color w:val="auto"/>
          <w:kern w:val="2"/>
          <w:sz w:val="32"/>
          <w:szCs w:val="32"/>
          <w:highlight w:val="none"/>
          <w:lang w:val="en-US" w:eastAsia="zh-CN" w:bidi="ar"/>
        </w:rPr>
        <w:t>需求。</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eastAsia="zh-CN" w:bidi="ar"/>
        </w:rPr>
        <w:t>三、</w:t>
      </w:r>
      <w:r>
        <w:rPr>
          <w:rFonts w:hint="default" w:ascii="Times New Roman" w:hAnsi="Times New Roman" w:eastAsia="黑体" w:cs="Times New Roman"/>
          <w:color w:val="auto"/>
          <w:kern w:val="2"/>
          <w:sz w:val="32"/>
          <w:szCs w:val="32"/>
          <w:highlight w:val="none"/>
          <w:lang w:val="en-US" w:eastAsia="zh-CN" w:bidi="ar"/>
        </w:rPr>
        <w:t>开展电动自行车以旧换新</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将电动自行车以旧换新纳入“2024 消费促进年”活动安排。对消费者报废老旧电动自行车并购买新的合标电动自行车，按国家标准予以补贴，规范报废电动自行车及其蓄电池的回收处置。支持电动自行车销售企业与生产企业、回收企业联合开展以旧换新</w:t>
      </w:r>
      <w:r>
        <w:rPr>
          <w:rFonts w:hint="eastAsia" w:ascii="Times New Roman" w:hAnsi="Times New Roman" w:eastAsia="仿宋_GB2312" w:cs="Times New Roman"/>
          <w:color w:val="auto"/>
          <w:kern w:val="2"/>
          <w:sz w:val="32"/>
          <w:szCs w:val="32"/>
          <w:highlight w:val="none"/>
          <w:lang w:val="en-US" w:eastAsia="zh-CN" w:bidi="ar"/>
        </w:rPr>
        <w:t>活动</w:t>
      </w:r>
      <w:r>
        <w:rPr>
          <w:rFonts w:hint="default" w:ascii="Times New Roman" w:hAnsi="Times New Roman" w:eastAsia="仿宋_GB2312" w:cs="Times New Roman"/>
          <w:color w:val="auto"/>
          <w:kern w:val="2"/>
          <w:sz w:val="32"/>
          <w:szCs w:val="32"/>
          <w:highlight w:val="none"/>
          <w:lang w:val="en-US" w:eastAsia="zh-CN" w:bidi="ar"/>
        </w:rPr>
        <w:t>，对消费者给予叠加优惠。鼓励</w:t>
      </w:r>
      <w:r>
        <w:rPr>
          <w:rFonts w:hint="eastAsia" w:ascii="Times New Roman" w:hAnsi="Times New Roman" w:eastAsia="仿宋_GB2312" w:cs="Times New Roman"/>
          <w:color w:val="auto"/>
          <w:kern w:val="2"/>
          <w:sz w:val="32"/>
          <w:szCs w:val="32"/>
          <w:highlight w:val="none"/>
          <w:lang w:val="en-US" w:eastAsia="zh-CN" w:bidi="ar"/>
        </w:rPr>
        <w:t>根据本地区实际情况</w:t>
      </w:r>
      <w:r>
        <w:rPr>
          <w:rFonts w:hint="default" w:ascii="Times New Roman" w:hAnsi="Times New Roman" w:eastAsia="仿宋_GB2312" w:cs="Times New Roman"/>
          <w:color w:val="auto"/>
          <w:kern w:val="2"/>
          <w:sz w:val="32"/>
          <w:szCs w:val="32"/>
          <w:highlight w:val="none"/>
          <w:lang w:val="en-US" w:eastAsia="zh-CN" w:bidi="ar"/>
        </w:rPr>
        <w:t>整合资源，线上线下联合开展电动自行车以旧换新。</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市场监管局、</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经信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市</w:t>
      </w:r>
      <w:r>
        <w:rPr>
          <w:rFonts w:hint="default" w:ascii="Times New Roman" w:hAnsi="Times New Roman" w:eastAsia="楷体_GB2312" w:cs="Times New Roman"/>
          <w:color w:val="auto"/>
          <w:kern w:val="2"/>
          <w:sz w:val="32"/>
          <w:szCs w:val="32"/>
          <w:highlight w:val="none"/>
          <w:lang w:val="en-US" w:eastAsia="zh-CN" w:bidi="ar"/>
        </w:rPr>
        <w:t>生态环境</w:t>
      </w:r>
      <w:r>
        <w:rPr>
          <w:rFonts w:hint="eastAsia" w:ascii="Calibri" w:hAnsi="Calibri" w:eastAsia="楷体_GB2312" w:cs="Times New Roman"/>
          <w:color w:val="auto"/>
          <w:kern w:val="2"/>
          <w:sz w:val="32"/>
          <w:szCs w:val="32"/>
          <w:highlight w:val="none"/>
          <w:lang w:val="en-US" w:eastAsia="zh-CN" w:bidi="ar"/>
        </w:rPr>
        <w:t>局德清分局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公安</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四、促进智能家居消费</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jc w:val="both"/>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对个人消费者购买智能门锁（含智能防盗门）、智能窗帘、智能晾衣架、智能家用监控、智能照明、智能马桶（含智能马桶盖）、智能床（含智能床垫）、智能桌椅（含智能按摩椅、智能沙发）、智能健身设备、智能语音设施（含智能音箱）、智能服务机器人（含智能扫地机、拖地机）、智能洗碗机、智能蒸（烤）机等智能家居产品按照剔除所有折扣优惠后成交价格的15%予以立减优惠，每位消费者每类产品可补贴1件，每件补贴不超过2000元。鼓励根据本地区居民消费习惯和市场实际情况，合理增加补贴品类。</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经信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五、支持旧房装修和厨卫局部改造</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消费者购买用于旧房装修、厨卫局部改造所需的饰面砖、地板、墙板、集成吊顶、套装门、整体柜、淋浴房、洁具等物品和材料，按照上述品类购置价的20%给予补贴，</w:t>
      </w:r>
      <w:r>
        <w:rPr>
          <w:rFonts w:hint="eastAsia" w:ascii="Times New Roman" w:hAnsi="Times New Roman" w:eastAsia="仿宋_GB2312" w:cs="Times New Roman"/>
          <w:color w:val="auto"/>
          <w:kern w:val="2"/>
          <w:sz w:val="32"/>
          <w:szCs w:val="32"/>
          <w:highlight w:val="none"/>
          <w:lang w:val="en-US" w:eastAsia="zh-CN" w:bidi="ar"/>
        </w:rPr>
        <w:t>每人</w:t>
      </w:r>
      <w:r>
        <w:rPr>
          <w:rFonts w:hint="default" w:ascii="Times New Roman" w:hAnsi="Times New Roman" w:eastAsia="仿宋_GB2312" w:cs="Times New Roman"/>
          <w:color w:val="auto"/>
          <w:kern w:val="2"/>
          <w:sz w:val="32"/>
          <w:szCs w:val="32"/>
          <w:highlight w:val="none"/>
          <w:lang w:val="en-US" w:eastAsia="zh-CN" w:bidi="ar"/>
        </w:rPr>
        <w:t>每套房补贴金额最高不超过2万元。鼓励根据本地区居民消费习惯，合理增加补贴品类，补贴品类应向先进、绿色、低碳、环保产品倾斜，更好满足居民装修改造需求。</w:t>
      </w:r>
      <w:r>
        <w:rPr>
          <w:rFonts w:hint="eastAsia" w:ascii="Times New Roman" w:hAnsi="Times New Roman" w:eastAsia="仿宋_GB2312" w:cs="Times New Roman"/>
          <w:color w:val="auto"/>
          <w:kern w:val="2"/>
          <w:sz w:val="32"/>
          <w:szCs w:val="32"/>
          <w:highlight w:val="none"/>
          <w:lang w:val="en-US" w:eastAsia="zh-CN" w:bidi="ar"/>
        </w:rPr>
        <w:t>鼓励</w:t>
      </w:r>
      <w:r>
        <w:rPr>
          <w:rFonts w:hint="default" w:ascii="Times New Roman" w:hAnsi="Times New Roman" w:eastAsia="仿宋_GB2312" w:cs="Times New Roman"/>
          <w:color w:val="auto"/>
          <w:kern w:val="2"/>
          <w:sz w:val="32"/>
          <w:szCs w:val="32"/>
          <w:highlight w:val="none"/>
          <w:lang w:val="en-US" w:eastAsia="zh-CN" w:bidi="ar"/>
        </w:rPr>
        <w:t>结合本地实际，合理确定其他补贴方式，补贴金额标准参照上述标准执行。</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建设</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六、支持家庭适老化改造</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围绕“如厕洗澡安全，室内行走便利，居家环境改善，智能监测跟进，辅助器具适配”五个方面，推进以旧换新居家适老化改造，对购置相关物品和材料给予购置价格50%的补贴，80周岁以上的老年人家庭上浮10%，补贴金额最高不超过2万元。</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民政</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七、支持消费能力提升</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在国家政策规定范围内，按照“真金白银优惠直达消费者”的要求，</w:t>
      </w:r>
      <w:r>
        <w:rPr>
          <w:rFonts w:hint="eastAsia" w:ascii="Times New Roman" w:hAnsi="Times New Roman" w:eastAsia="仿宋_GB2312" w:cs="Times New Roman"/>
          <w:color w:val="auto"/>
          <w:kern w:val="2"/>
          <w:sz w:val="32"/>
          <w:szCs w:val="32"/>
          <w:highlight w:val="none"/>
          <w:lang w:val="en-US" w:eastAsia="zh-CN" w:bidi="ar"/>
        </w:rPr>
        <w:t>用好</w:t>
      </w:r>
      <w:r>
        <w:rPr>
          <w:rFonts w:hint="default" w:ascii="Times New Roman" w:hAnsi="Times New Roman" w:eastAsia="仿宋_GB2312" w:cs="Times New Roman"/>
          <w:color w:val="auto"/>
          <w:kern w:val="2"/>
          <w:sz w:val="32"/>
          <w:szCs w:val="32"/>
          <w:highlight w:val="none"/>
          <w:lang w:val="en-US" w:eastAsia="zh-CN" w:bidi="ar"/>
        </w:rPr>
        <w:t>国家切块资金</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支持</w:t>
      </w:r>
      <w:r>
        <w:rPr>
          <w:rFonts w:hint="eastAsia" w:ascii="Times New Roman" w:hAnsi="Times New Roman" w:eastAsia="仿宋_GB2312" w:cs="Times New Roman"/>
          <w:color w:val="auto"/>
          <w:kern w:val="2"/>
          <w:sz w:val="32"/>
          <w:szCs w:val="32"/>
          <w:highlight w:val="none"/>
          <w:lang w:val="en-US" w:eastAsia="zh-CN" w:bidi="ar"/>
        </w:rPr>
        <w:t>本地区</w:t>
      </w:r>
      <w:r>
        <w:rPr>
          <w:rFonts w:hint="default" w:ascii="Times New Roman" w:hAnsi="Times New Roman" w:eastAsia="仿宋_GB2312" w:cs="Times New Roman"/>
          <w:color w:val="auto"/>
          <w:kern w:val="2"/>
          <w:sz w:val="32"/>
          <w:szCs w:val="32"/>
          <w:highlight w:val="none"/>
          <w:lang w:val="en-US" w:eastAsia="zh-CN" w:bidi="ar"/>
        </w:rPr>
        <w:t>自主实施消费品以旧换新</w:t>
      </w:r>
      <w:r>
        <w:rPr>
          <w:rFonts w:hint="eastAsia" w:ascii="Times New Roman" w:hAnsi="Times New Roman" w:eastAsia="仿宋_GB2312" w:cs="Times New Roman"/>
          <w:color w:val="auto"/>
          <w:kern w:val="2"/>
          <w:sz w:val="32"/>
          <w:szCs w:val="32"/>
          <w:highlight w:val="none"/>
          <w:lang w:val="en-US" w:eastAsia="zh-CN" w:bidi="ar"/>
        </w:rPr>
        <w:t>及消费能力提升，促进社会消费品零售总额增长。鼓励本地区</w:t>
      </w:r>
      <w:r>
        <w:rPr>
          <w:rFonts w:hint="default" w:ascii="Times New Roman" w:hAnsi="Times New Roman" w:eastAsia="仿宋_GB2312" w:cs="Times New Roman"/>
          <w:color w:val="auto"/>
          <w:kern w:val="2"/>
          <w:sz w:val="32"/>
          <w:szCs w:val="32"/>
          <w:highlight w:val="none"/>
          <w:lang w:val="en-US" w:eastAsia="zh-CN" w:bidi="ar"/>
        </w:rPr>
        <w:t>充分利用各种活动载体，举办丰富多彩的促消费活动。（</w:t>
      </w:r>
      <w:r>
        <w:rPr>
          <w:rFonts w:hint="default" w:ascii="Times New Roman" w:hAnsi="Times New Roman" w:eastAsia="楷体_GB2312" w:cs="Times New Roman"/>
          <w:color w:val="auto"/>
          <w:kern w:val="2"/>
          <w:sz w:val="32"/>
          <w:szCs w:val="32"/>
          <w:highlight w:val="none"/>
          <w:lang w:val="en-US" w:eastAsia="zh-CN" w:bidi="ar"/>
        </w:rPr>
        <w:t>责任单位：</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发改</w:t>
      </w:r>
      <w:r>
        <w:rPr>
          <w:rFonts w:hint="eastAsia" w:ascii="Times New Roman" w:hAnsi="Times New Roman"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财政</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r>
        <w:rPr>
          <w:rFonts w:hint="eastAsia" w:ascii="Calibri" w:hAnsi="Calibri" w:eastAsia="楷体_GB2312" w:cs="Times New Roman"/>
          <w:color w:val="auto"/>
          <w:kern w:val="2"/>
          <w:sz w:val="32"/>
          <w:szCs w:val="32"/>
          <w:highlight w:val="none"/>
          <w:lang w:val="en-US" w:eastAsia="zh-CN" w:bidi="ar"/>
        </w:rPr>
        <w:t>县</w:t>
      </w:r>
      <w:r>
        <w:rPr>
          <w:rFonts w:hint="default" w:ascii="Times New Roman" w:hAnsi="Times New Roman" w:eastAsia="楷体_GB2312" w:cs="Times New Roman"/>
          <w:color w:val="auto"/>
          <w:kern w:val="2"/>
          <w:sz w:val="32"/>
          <w:szCs w:val="32"/>
          <w:highlight w:val="none"/>
          <w:lang w:val="en-US" w:eastAsia="zh-CN" w:bidi="ar"/>
        </w:rPr>
        <w:t>商务</w:t>
      </w:r>
      <w:r>
        <w:rPr>
          <w:rFonts w:hint="eastAsia" w:ascii="Calibri" w:hAnsi="Calibri" w:eastAsia="楷体_GB2312" w:cs="Times New Roman"/>
          <w:color w:val="auto"/>
          <w:kern w:val="2"/>
          <w:sz w:val="32"/>
          <w:szCs w:val="32"/>
          <w:highlight w:val="none"/>
          <w:lang w:val="en-US" w:eastAsia="zh-CN" w:bidi="ar"/>
        </w:rPr>
        <w:t>局</w:t>
      </w:r>
      <w:r>
        <w:rPr>
          <w:rFonts w:hint="default" w:ascii="Times New Roman" w:hAnsi="Times New Roman" w:eastAsia="楷体_GB2312" w:cs="Times New Roman"/>
          <w:color w:val="auto"/>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八、相关工作要求</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lang w:val="en-US" w:eastAsia="zh-CN" w:bidi="ar"/>
        </w:rPr>
        <w:t>（一）加强组织领导。</w:t>
      </w:r>
      <w:r>
        <w:rPr>
          <w:rFonts w:hint="default" w:ascii="Times New Roman" w:hAnsi="Times New Roman" w:eastAsia="仿宋_GB2312" w:cs="Times New Roman"/>
          <w:color w:val="auto"/>
          <w:kern w:val="2"/>
          <w:sz w:val="32"/>
          <w:szCs w:val="32"/>
          <w:highlight w:val="none"/>
          <w:lang w:val="en-US" w:eastAsia="zh-CN" w:bidi="ar"/>
        </w:rPr>
        <w:t>各</w:t>
      </w:r>
      <w:r>
        <w:rPr>
          <w:rFonts w:hint="eastAsia" w:ascii="Times New Roman" w:hAnsi="Times New Roman" w:eastAsia="仿宋_GB2312" w:cs="Times New Roman"/>
          <w:color w:val="auto"/>
          <w:kern w:val="2"/>
          <w:sz w:val="32"/>
          <w:szCs w:val="32"/>
          <w:highlight w:val="none"/>
          <w:lang w:val="en-US" w:eastAsia="zh-CN" w:bidi="ar"/>
        </w:rPr>
        <w:t>相关</w:t>
      </w:r>
      <w:r>
        <w:rPr>
          <w:rFonts w:hint="default" w:ascii="Times New Roman" w:hAnsi="Times New Roman" w:eastAsia="仿宋_GB2312" w:cs="Times New Roman"/>
          <w:color w:val="auto"/>
          <w:kern w:val="2"/>
          <w:sz w:val="32"/>
          <w:szCs w:val="32"/>
          <w:highlight w:val="none"/>
          <w:lang w:val="en-US" w:eastAsia="zh-CN" w:bidi="ar"/>
        </w:rPr>
        <w:t>部门要切实提高政治站位，明确消费品以旧换新工作的重要性和必要性，精准制定工作目标，细化操作流程，压实各方责任，确保政策平稳过渡。</w:t>
      </w:r>
      <w:r>
        <w:rPr>
          <w:rFonts w:hint="eastAsia" w:ascii="Times New Roman" w:hAnsi="Times New Roman" w:eastAsia="仿宋_GB2312" w:cs="Times New Roman"/>
          <w:color w:val="auto"/>
          <w:kern w:val="2"/>
          <w:sz w:val="32"/>
          <w:szCs w:val="32"/>
          <w:highlight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级相关部门应定期评估政策执行成效，适时动态调整相关政策。</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lang w:val="en-US" w:eastAsia="zh-CN" w:bidi="ar"/>
        </w:rPr>
        <w:t>（二）加大资金统筹。</w:t>
      </w:r>
      <w:r>
        <w:rPr>
          <w:rFonts w:hint="default" w:ascii="Times New Roman" w:hAnsi="Times New Roman" w:eastAsia="仿宋_GB2312" w:cs="Times New Roman"/>
          <w:color w:val="auto"/>
          <w:kern w:val="2"/>
          <w:sz w:val="32"/>
          <w:szCs w:val="32"/>
          <w:highlight w:val="none"/>
          <w:lang w:val="en-US" w:eastAsia="zh-CN" w:bidi="ar"/>
        </w:rPr>
        <w:t>坚持市</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县两级联动支持消费品以旧换新，要用足用好中央及省级消费品以旧换新资金，落实国家汽车报废更新政策及家电消费补贴政策，支持旧房装修、厨卫局部改造和家庭适老化改造，促进智能家居消费等，确保资金投向符合政策要求，发挥财政资金杠杆撬动作用，有效提升消费能力。本轮消费品以旧换新活动截至2024年12月31日，活动补贴资金总额限定，如补贴资金提前使用完毕，将发布政策结束公告；未用完的中央和省级资金将收回。具体资金渠道、补贴资金申请流程等将在操作细则中予以明确。</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lang w:val="en-US" w:eastAsia="zh-CN" w:bidi="ar"/>
        </w:rPr>
        <w:t>（三）</w:t>
      </w:r>
      <w:r>
        <w:rPr>
          <w:rFonts w:hint="default" w:ascii="Times New Roman" w:hAnsi="Times New Roman" w:eastAsia="楷体_GB2312" w:cs="Times New Roman"/>
          <w:color w:val="auto"/>
          <w:kern w:val="2"/>
          <w:sz w:val="32"/>
          <w:szCs w:val="32"/>
          <w:highlight w:val="none"/>
          <w:lang w:eastAsia="zh-CN" w:bidi="ar"/>
        </w:rPr>
        <w:t>强化</w:t>
      </w:r>
      <w:r>
        <w:rPr>
          <w:rFonts w:hint="default" w:ascii="Times New Roman" w:hAnsi="Times New Roman" w:eastAsia="楷体_GB2312" w:cs="Times New Roman"/>
          <w:color w:val="auto"/>
          <w:kern w:val="2"/>
          <w:sz w:val="32"/>
          <w:szCs w:val="32"/>
          <w:highlight w:val="none"/>
          <w:lang w:val="en-US" w:eastAsia="zh-CN" w:bidi="ar"/>
        </w:rPr>
        <w:t>政企银协同。</w:t>
      </w:r>
      <w:r>
        <w:rPr>
          <w:rFonts w:hint="default" w:ascii="Times New Roman" w:hAnsi="Times New Roman" w:eastAsia="仿宋_GB2312" w:cs="Times New Roman"/>
          <w:color w:val="auto"/>
          <w:kern w:val="2"/>
          <w:sz w:val="32"/>
          <w:szCs w:val="32"/>
          <w:highlight w:val="none"/>
          <w:lang w:val="en-US" w:eastAsia="zh-CN" w:bidi="ar"/>
        </w:rPr>
        <w:t>要按照建设统一大市场的要求，支持不同所有制、不同注册地企业参与以旧换新工作。鼓励金融机构优化消费金融产品和服务，进一步加大惠民力度，通过满减、分期等形式助力消费品以旧换新。充分发挥电商平台优势，强化线上线下融合，支持开设线上以旧换新专区，引导生产、销售、回收等企业积极出台优惠促销政策，充分放大政策效应。</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Calibri" w:hAnsi="Calibri" w:eastAsia="宋体" w:cs="Times New Roman"/>
          <w:color w:val="auto"/>
          <w:lang w:val="en-US" w:eastAsia="zh-CN"/>
        </w:rPr>
      </w:pPr>
      <w:r>
        <w:rPr>
          <w:rFonts w:hint="default" w:ascii="Times New Roman" w:hAnsi="Times New Roman" w:eastAsia="楷体_GB2312" w:cs="Times New Roman"/>
          <w:color w:val="auto"/>
          <w:kern w:val="2"/>
          <w:sz w:val="32"/>
          <w:szCs w:val="32"/>
          <w:highlight w:val="none"/>
          <w:lang w:val="en-US" w:eastAsia="zh-CN" w:bidi="ar"/>
        </w:rPr>
        <w:t>（四）规范活动秩序。</w:t>
      </w:r>
      <w:r>
        <w:rPr>
          <w:rFonts w:hint="default" w:ascii="Times New Roman" w:hAnsi="Times New Roman" w:eastAsia="仿宋_GB2312" w:cs="Times New Roman"/>
          <w:color w:val="auto"/>
          <w:kern w:val="2"/>
          <w:sz w:val="32"/>
          <w:szCs w:val="32"/>
          <w:highlight w:val="none"/>
          <w:lang w:val="en-US" w:eastAsia="zh-CN" w:bidi="ar"/>
        </w:rPr>
        <w:t>政策实施中，当某一商品适用于多项消费品以旧换新优惠政策时，消费者可从高享受，优惠政策不可重复享受。要持续强化市场秩序监管，畅通投诉渠道，依法打击假冒伪劣、价格欺诈、非法翻新、以次充好等行为。加强以旧换新活动全流程监管，严厉打击套补、骗补行为，对违法违规行为加大处罚力度。</w:t>
      </w:r>
    </w:p>
    <w:p>
      <w:pPr>
        <w:keepNext w:val="0"/>
        <w:keepLines w:val="0"/>
        <w:widowControl/>
        <w:suppressLineNumbers w:val="0"/>
        <w:jc w:val="left"/>
        <w:rPr>
          <w:rFonts w:ascii="Microsoft YaHei" w:hAnsi="Microsoft YaHei" w:eastAsia="Microsoft YaHei" w:cs="Microsoft YaHei"/>
          <w:i w:val="0"/>
          <w:iCs w:val="0"/>
          <w:caps w:val="0"/>
          <w:color w:val="171A1D"/>
          <w:spacing w:val="0"/>
          <w:kern w:val="0"/>
          <w:sz w:val="21"/>
          <w:szCs w:val="21"/>
          <w:shd w:val="clear" w:fill="FFFFFF"/>
          <w:lang w:val="en-US" w:eastAsia="zh-CN" w:bidi="ar"/>
        </w:rPr>
      </w:pPr>
      <w:bookmarkStart w:id="0" w:name="_GoBack"/>
      <w:bookmarkEnd w:id="0"/>
    </w:p>
    <w:sectPr>
      <w:footerReference r:id="rId3" w:type="default"/>
      <w:pgSz w:w="11906" w:h="16838"/>
      <w:pgMar w:top="1928" w:right="1531" w:bottom="1928" w:left="1531"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B0503020204020204"/>
    <w:charset w:val="86"/>
    <w:family w:val="auto"/>
    <w:pitch w:val="default"/>
    <w:sig w:usb0="80000287" w:usb1="2ACF3C50" w:usb2="00000016" w:usb3="00000000" w:csb0="0004001F"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仿宋_GB2312" w:cs="Times New Roman"/>
                              <w:kern w:val="2"/>
                              <w:sz w:val="30"/>
                              <w:szCs w:val="30"/>
                              <w:lang w:val="en-US" w:eastAsia="zh-CN" w:bidi="ar-SA"/>
                            </w:rPr>
                            <w:fldChar w:fldCharType="begin"/>
                          </w:r>
                          <w:r>
                            <w:rPr>
                              <w:rFonts w:hint="default" w:ascii="Times New Roman" w:hAnsi="Times New Roman" w:eastAsia="仿宋_GB2312" w:cs="Times New Roman"/>
                              <w:kern w:val="2"/>
                              <w:sz w:val="30"/>
                              <w:szCs w:val="30"/>
                              <w:lang w:val="en-US" w:eastAsia="zh-CN" w:bidi="ar-SA"/>
                            </w:rPr>
                            <w:instrText xml:space="preserve"> PAGE  \* MERGEFORMAT </w:instrText>
                          </w:r>
                          <w:r>
                            <w:rPr>
                              <w:rFonts w:hint="default" w:ascii="Times New Roman" w:hAnsi="Times New Roman" w:eastAsia="仿宋_GB2312" w:cs="Times New Roman"/>
                              <w:kern w:val="2"/>
                              <w:sz w:val="30"/>
                              <w:szCs w:val="30"/>
                              <w:lang w:val="en-US" w:eastAsia="zh-CN" w:bidi="ar-SA"/>
                            </w:rPr>
                            <w:fldChar w:fldCharType="separate"/>
                          </w:r>
                          <w:r>
                            <w:rPr>
                              <w:rFonts w:hint="default" w:ascii="Times New Roman" w:hAnsi="Times New Roman" w:eastAsia="仿宋_GB2312" w:cs="Times New Roman"/>
                              <w:kern w:val="2"/>
                              <w:sz w:val="30"/>
                              <w:szCs w:val="30"/>
                              <w:lang w:val="en-US" w:eastAsia="zh-CN" w:bidi="ar-SA"/>
                            </w:rPr>
                            <w:t>- 1 -</w:t>
                          </w:r>
                          <w:r>
                            <w:rPr>
                              <w:rFonts w:hint="default" w:ascii="Times New Roman" w:hAnsi="Times New Roman" w:eastAsia="仿宋_GB2312" w:cs="Times New Roman"/>
                              <w:kern w:val="2"/>
                              <w:sz w:val="30"/>
                              <w:szCs w:val="30"/>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ERE&#10;UCn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仿宋_GB2312" w:cs="Times New Roman"/>
                        <w:kern w:val="2"/>
                        <w:sz w:val="30"/>
                        <w:szCs w:val="30"/>
                        <w:lang w:val="en-US" w:eastAsia="zh-CN" w:bidi="ar-SA"/>
                      </w:rPr>
                      <w:fldChar w:fldCharType="begin"/>
                    </w:r>
                    <w:r>
                      <w:rPr>
                        <w:rFonts w:hint="default" w:ascii="Times New Roman" w:hAnsi="Times New Roman" w:eastAsia="仿宋_GB2312" w:cs="Times New Roman"/>
                        <w:kern w:val="2"/>
                        <w:sz w:val="30"/>
                        <w:szCs w:val="30"/>
                        <w:lang w:val="en-US" w:eastAsia="zh-CN" w:bidi="ar-SA"/>
                      </w:rPr>
                      <w:instrText xml:space="preserve"> PAGE  \* MERGEFORMAT </w:instrText>
                    </w:r>
                    <w:r>
                      <w:rPr>
                        <w:rFonts w:hint="default" w:ascii="Times New Roman" w:hAnsi="Times New Roman" w:eastAsia="仿宋_GB2312" w:cs="Times New Roman"/>
                        <w:kern w:val="2"/>
                        <w:sz w:val="30"/>
                        <w:szCs w:val="30"/>
                        <w:lang w:val="en-US" w:eastAsia="zh-CN" w:bidi="ar-SA"/>
                      </w:rPr>
                      <w:fldChar w:fldCharType="separate"/>
                    </w:r>
                    <w:r>
                      <w:rPr>
                        <w:rFonts w:hint="default" w:ascii="Times New Roman" w:hAnsi="Times New Roman" w:eastAsia="仿宋_GB2312" w:cs="Times New Roman"/>
                        <w:kern w:val="2"/>
                        <w:sz w:val="30"/>
                        <w:szCs w:val="30"/>
                        <w:lang w:val="en-US" w:eastAsia="zh-CN" w:bidi="ar-SA"/>
                      </w:rPr>
                      <w:t>- 1 -</w:t>
                    </w:r>
                    <w:r>
                      <w:rPr>
                        <w:rFonts w:hint="default" w:ascii="Times New Roman" w:hAnsi="Times New Roman" w:eastAsia="仿宋_GB2312" w:cs="Times New Roman"/>
                        <w:kern w:val="2"/>
                        <w:sz w:val="30"/>
                        <w:szCs w:val="30"/>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C7575"/>
    <w:rsid w:val="591F7845"/>
    <w:rsid w:val="7F8DD460"/>
    <w:rsid w:val="FBFC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2024-08-29T01:18:00Z</dcterms:created>
  <dc:creator>huzhou</dc:creator>
  <lastModifiedBy>huzhou</lastModifiedBy>
  <dcterms:modified xsi:type="dcterms:W3CDTF">2024-08-28T17:53:52Z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20071024387784C6B0F3CE665A4F6F78</vt:lpwstr>
  </property>
</Properties>
</file>