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C5DEF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关于《关于推进师范类在校生来虞教育实践的实施意见》的起草说明</w:t>
      </w:r>
    </w:p>
    <w:p w14:paraId="1F1AB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B7E4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现将《关于推进师范类在校生来虞教育实践的实施意见》有关情况说明如下：</w:t>
      </w:r>
    </w:p>
    <w:p w14:paraId="404D4F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 w14:paraId="79C85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1.上级有要求：</w:t>
      </w:r>
      <w:r>
        <w:rPr>
          <w:rFonts w:hint="eastAsia" w:ascii="仿宋_GB2312" w:hAnsi="黑体" w:eastAsia="仿宋_GB2312"/>
          <w:sz w:val="32"/>
          <w:szCs w:val="32"/>
        </w:rPr>
        <w:t>师范生教育实践是教师培养的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hAnsi="黑体" w:eastAsia="仿宋_GB2312"/>
          <w:sz w:val="32"/>
          <w:szCs w:val="32"/>
        </w:rPr>
        <w:t>环节，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增强师范生的社会责任感、创新精神和实践能力，全面提升教师培养质量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的重要途径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教育部出台了</w:t>
      </w:r>
      <w:r>
        <w:rPr>
          <w:rFonts w:hint="eastAsia" w:ascii="仿宋_GB2312" w:hAnsi="黑体" w:eastAsia="仿宋_GB2312"/>
          <w:sz w:val="32"/>
          <w:szCs w:val="32"/>
        </w:rPr>
        <w:t>《教育部关于加强师范生教育实践的意见》（教师〔2016〕2号）等文件。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推进师范类在校生来虞教育实践是我区</w:t>
      </w:r>
      <w:r>
        <w:rPr>
          <w:rFonts w:hint="eastAsia" w:ascii="仿宋_GB2312" w:hAnsi="黑体" w:eastAsia="仿宋_GB2312"/>
          <w:sz w:val="32"/>
          <w:szCs w:val="32"/>
        </w:rPr>
        <w:t>积极贯彻落实上级决策部署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的体现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33442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2.现实有需求：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我区正在</w:t>
      </w:r>
      <w:r>
        <w:rPr>
          <w:rFonts w:hint="eastAsia" w:ascii="仿宋_GB2312" w:hAnsi="黑体" w:eastAsia="仿宋_GB2312"/>
          <w:sz w:val="32"/>
          <w:szCs w:val="32"/>
        </w:rPr>
        <w:t>积极实施“强师工程”，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黑体" w:eastAsia="仿宋_GB2312"/>
          <w:sz w:val="32"/>
          <w:szCs w:val="32"/>
        </w:rPr>
        <w:t>吸引各师范类在校生来虞教育实践，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黑体" w:eastAsia="仿宋_GB2312"/>
          <w:sz w:val="32"/>
          <w:szCs w:val="32"/>
        </w:rPr>
        <w:t>提升师范类高校学生教育实践能力和适岗能力，储备我区学校（幼儿园）师资后备人才，缓解我区教师结构性短缺，为我区“办有品质的活教育，打造湾区教育新高地”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都能</w:t>
      </w:r>
      <w:r>
        <w:rPr>
          <w:rFonts w:hint="eastAsia" w:ascii="仿宋_GB2312" w:hAnsi="黑体" w:eastAsia="仿宋_GB2312"/>
          <w:sz w:val="32"/>
          <w:szCs w:val="32"/>
        </w:rPr>
        <w:t>提供各类人力、智力资源保障。</w:t>
      </w:r>
    </w:p>
    <w:p w14:paraId="47AD84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3.前期有基础：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我区前期已出台《中共绍兴市上虞区委 绍兴市上虞区人民政府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&lt;印发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高水平建设人才强区的若干政策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&gt;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的通知》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(区委〔2019〕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 xml:space="preserve">52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号)、《绍兴市上虞区人民政府办公室&lt;关于支持和鼓励大学生来虞见习实习的实施意见&gt;》（虞政办发〔2019〕60号）等文件。这些文件为推进师范类在校生来虞教育实践提供了政策依据。</w:t>
      </w:r>
    </w:p>
    <w:p w14:paraId="383819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 w14:paraId="33ABE6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依据《教育部关于加强师范生教育实践的意见》（教师〔2016〕2号）、《中共绍兴市上虞区委 绍兴市上虞区人民政府关于&lt;印发高水平建设人才强区的若干政策&gt;的通知》(区委〔2019〕52 号)。结合我区实际，制定本实施计划。</w:t>
      </w:r>
    </w:p>
    <w:p w14:paraId="756818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 w14:paraId="481B6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.具体举措。</w:t>
      </w:r>
      <w:r>
        <w:rPr>
          <w:rFonts w:hint="eastAsia" w:ascii="仿宋_GB2312" w:hAnsi="黑体" w:eastAsia="仿宋_GB2312"/>
          <w:sz w:val="32"/>
          <w:szCs w:val="32"/>
        </w:rPr>
        <w:t>根据我区师范类在校生教育实践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的实际</w:t>
      </w:r>
      <w:r>
        <w:rPr>
          <w:rFonts w:hint="eastAsia" w:ascii="仿宋_GB2312" w:hAnsi="黑体" w:eastAsia="仿宋_GB2312"/>
          <w:sz w:val="32"/>
          <w:szCs w:val="32"/>
        </w:rPr>
        <w:t>，提出针对性的方案：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与举办教师教育的高校共同遴选建设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一批</w:t>
      </w:r>
      <w:r>
        <w:rPr>
          <w:rFonts w:hint="eastAsia" w:ascii="仿宋_GB2312" w:hAnsi="黑体" w:eastAsia="仿宋_GB2312"/>
          <w:sz w:val="32"/>
          <w:szCs w:val="32"/>
        </w:rPr>
        <w:t>长期稳定、多样化的教育实践基地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，并将接纳师范生教育实践列入中小学（幼儿园）工作考核评价和特色评选的重要内容。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吸引</w:t>
      </w:r>
      <w:r>
        <w:rPr>
          <w:rFonts w:hint="eastAsia" w:ascii="仿宋_GB2312" w:hAnsi="黑体" w:eastAsia="仿宋_GB2312"/>
          <w:sz w:val="32"/>
          <w:szCs w:val="32"/>
        </w:rPr>
        <w:t>国内外有较高知名度的师范教育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院校</w:t>
      </w:r>
      <w:r>
        <w:rPr>
          <w:rFonts w:hint="eastAsia" w:ascii="仿宋_GB2312" w:hAnsi="黑体" w:eastAsia="仿宋_GB2312"/>
          <w:sz w:val="32"/>
          <w:szCs w:val="32"/>
        </w:rPr>
        <w:t>在我区设立教育实践基地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全面推行高校教师和中小学教师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共同指导的</w:t>
      </w:r>
      <w:r>
        <w:rPr>
          <w:rFonts w:hint="eastAsia" w:ascii="仿宋_GB2312" w:hAnsi="黑体" w:eastAsia="仿宋_GB2312"/>
          <w:sz w:val="32"/>
          <w:szCs w:val="32"/>
        </w:rPr>
        <w:t>教育实践“双导师制”。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激励</w:t>
      </w:r>
      <w:r>
        <w:rPr>
          <w:rFonts w:hint="eastAsia" w:ascii="仿宋_GB2312" w:hAnsi="黑体" w:eastAsia="仿宋_GB2312"/>
          <w:sz w:val="32"/>
          <w:szCs w:val="32"/>
        </w:rPr>
        <w:t>师范生深入体验教育教学，形成良好的师德素养和职业认同，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黑体" w:eastAsia="仿宋_GB2312"/>
          <w:sz w:val="32"/>
          <w:szCs w:val="32"/>
        </w:rPr>
        <w:t>教育教学设计与实施、班级管理与学生指导等能力，为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从事教育教学工作</w:t>
      </w:r>
      <w:r>
        <w:rPr>
          <w:rFonts w:hint="eastAsia" w:ascii="仿宋_GB2312" w:hAnsi="黑体" w:eastAsia="仿宋_GB2312"/>
          <w:sz w:val="32"/>
          <w:szCs w:val="32"/>
        </w:rPr>
        <w:t>奠定扎实的基础。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是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教育实践</w:t>
      </w:r>
      <w:r>
        <w:rPr>
          <w:rFonts w:hint="eastAsia" w:ascii="仿宋_GB2312" w:hAnsi="黑体" w:eastAsia="仿宋_GB2312"/>
          <w:sz w:val="32"/>
          <w:szCs w:val="32"/>
        </w:rPr>
        <w:t>采取观摩见习、模拟教学、专项技能训练、集中实习等多种形式，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组织力量</w:t>
      </w:r>
      <w:r>
        <w:rPr>
          <w:rFonts w:hint="eastAsia" w:ascii="仿宋_GB2312" w:hAnsi="黑体" w:eastAsia="仿宋_GB2312"/>
          <w:sz w:val="32"/>
          <w:szCs w:val="32"/>
        </w:rPr>
        <w:t>开发优质教育实践资源，探索建设师范生自主研训与考核数字化平台。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对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建立师范生教育实习经费保障机制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对高校组织来我区教育实践的师范生，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按规定发放</w:t>
      </w:r>
      <w:r>
        <w:rPr>
          <w:rFonts w:hint="eastAsia" w:ascii="仿宋_GB2312" w:hAnsi="黑体" w:eastAsia="仿宋_GB2312"/>
          <w:sz w:val="32"/>
          <w:szCs w:val="32"/>
        </w:rPr>
        <w:t>实践工作津贴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、交通补贴、资格考试奖励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等，同时对带队高校教师和</w:t>
      </w:r>
      <w:r>
        <w:rPr>
          <w:rFonts w:hint="eastAsia" w:ascii="仿宋_GB2312" w:hAnsi="黑体" w:eastAsia="仿宋_GB2312"/>
          <w:sz w:val="32"/>
          <w:szCs w:val="32"/>
        </w:rPr>
        <w:t>指导师范生教育实践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黑体" w:eastAsia="仿宋_GB2312"/>
          <w:sz w:val="32"/>
          <w:szCs w:val="32"/>
        </w:rPr>
        <w:t>教师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发放</w:t>
      </w:r>
      <w:r>
        <w:rPr>
          <w:rFonts w:hint="eastAsia" w:ascii="仿宋_GB2312" w:hAnsi="黑体" w:eastAsia="仿宋_GB2312"/>
          <w:sz w:val="32"/>
          <w:szCs w:val="32"/>
        </w:rPr>
        <w:t>绩效奖励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是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引导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各基地学校创建</w:t>
      </w:r>
      <w:r>
        <w:rPr>
          <w:rFonts w:hint="eastAsia" w:ascii="仿宋_GB2312" w:hAnsi="黑体" w:eastAsia="仿宋_GB2312"/>
          <w:sz w:val="32"/>
          <w:szCs w:val="32"/>
        </w:rPr>
        <w:t>教育实践示范基地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并予以一定的奖励。</w:t>
      </w:r>
    </w:p>
    <w:p w14:paraId="0D9BA7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2.保障措施。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造浓社会氛围、健全激励机制、保障经费投入。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EyNzBkZjcxMmVhNThiZWVjZGU3ZDQyYWE1NzFjODYifQ=="/>
  </w:docVars>
  <w:rsids>
    <w:rsidRoot w:val="00D31D50"/>
    <w:rsid w:val="00323B43"/>
    <w:rsid w:val="003D37D8"/>
    <w:rsid w:val="00426133"/>
    <w:rsid w:val="004358AB"/>
    <w:rsid w:val="008B7726"/>
    <w:rsid w:val="00D31D50"/>
    <w:rsid w:val="19C73ACF"/>
    <w:rsid w:val="2DD14470"/>
    <w:rsid w:val="5EB5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751</Characters>
  <Lines>1</Lines>
  <Paragraphs>1</Paragraphs>
  <TotalTime>1</TotalTime>
  <ScaleCrop>false</ScaleCrop>
  <LinksUpToDate>false</LinksUpToDate>
  <CharactersWithSpaces>751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日出东山</cp:lastModifiedBy>
  <dcterms:modified xsi:type="dcterms:W3CDTF">2024-07-24T09:17:09Z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C48FA414D42D4A638A4E15DDC50278C0</vt:lpwstr>
  </property>
</Properties>
</file>