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6A366B">
      <w:pPr>
        <w:spacing w:line="500" w:lineRule="exact"/>
        <w:ind w:firstLine="480" w:firstLineChars="200"/>
        <w:rPr>
          <w:rFonts w:hint="eastAsia" w:ascii="宋体" w:hAnsi="宋体"/>
          <w:color w:val="auto"/>
          <w:sz w:val="24"/>
        </w:rPr>
      </w:pPr>
      <w:bookmarkStart w:id="0" w:name="_Toc6691"/>
    </w:p>
    <w:p w14:paraId="451FA388">
      <w:pPr>
        <w:spacing w:line="500" w:lineRule="exact"/>
        <w:ind w:firstLine="480" w:firstLineChars="200"/>
        <w:rPr>
          <w:rFonts w:ascii="宋体" w:hAnsi="宋体"/>
          <w:color w:val="auto"/>
          <w:sz w:val="24"/>
        </w:rPr>
      </w:pPr>
    </w:p>
    <w:p w14:paraId="5105F067">
      <w:pPr>
        <w:pStyle w:val="6"/>
        <w:rPr>
          <w:color w:val="auto"/>
        </w:rPr>
      </w:pPr>
    </w:p>
    <w:p w14:paraId="7F3CB284">
      <w:pPr>
        <w:spacing w:line="720" w:lineRule="auto"/>
        <w:ind w:firstLine="1044" w:firstLineChars="200"/>
        <w:jc w:val="center"/>
        <w:rPr>
          <w:rFonts w:ascii="宋体" w:hAnsi="宋体"/>
          <w:b/>
          <w:bCs/>
          <w:color w:val="auto"/>
          <w:sz w:val="52"/>
          <w:szCs w:val="52"/>
        </w:rPr>
      </w:pPr>
      <w:bookmarkStart w:id="1" w:name="_Toc21626"/>
      <w:r>
        <w:rPr>
          <w:rFonts w:hint="eastAsia" w:ascii="宋体" w:hAnsi="宋体"/>
          <w:b/>
          <w:bCs/>
          <w:color w:val="auto"/>
          <w:sz w:val="52"/>
          <w:szCs w:val="52"/>
        </w:rPr>
        <w:t>龙泉市竹木产业发展总体规划</w:t>
      </w:r>
      <w:bookmarkEnd w:id="1"/>
    </w:p>
    <w:p w14:paraId="2B36731D">
      <w:pPr>
        <w:spacing w:line="500" w:lineRule="exact"/>
        <w:ind w:firstLine="480" w:firstLineChars="200"/>
        <w:rPr>
          <w:rFonts w:ascii="宋体" w:hAnsi="宋体"/>
          <w:color w:val="auto"/>
          <w:sz w:val="24"/>
        </w:rPr>
      </w:pPr>
    </w:p>
    <w:p w14:paraId="25B5A8C1">
      <w:pPr>
        <w:spacing w:line="500" w:lineRule="exact"/>
        <w:ind w:firstLine="480" w:firstLineChars="200"/>
        <w:rPr>
          <w:rFonts w:ascii="宋体" w:hAnsi="宋体"/>
          <w:color w:val="auto"/>
          <w:sz w:val="24"/>
        </w:rPr>
      </w:pPr>
    </w:p>
    <w:p w14:paraId="3FEC05BF">
      <w:pPr>
        <w:spacing w:line="500" w:lineRule="exact"/>
        <w:ind w:firstLine="480" w:firstLineChars="200"/>
        <w:rPr>
          <w:rFonts w:ascii="宋体" w:hAnsi="宋体"/>
          <w:color w:val="auto"/>
          <w:sz w:val="24"/>
        </w:rPr>
      </w:pPr>
    </w:p>
    <w:p w14:paraId="39B2DE8F">
      <w:pPr>
        <w:spacing w:line="500" w:lineRule="exact"/>
        <w:ind w:firstLine="480" w:firstLineChars="200"/>
        <w:rPr>
          <w:rFonts w:ascii="宋体" w:hAnsi="宋体"/>
          <w:color w:val="auto"/>
          <w:sz w:val="24"/>
        </w:rPr>
      </w:pPr>
    </w:p>
    <w:p w14:paraId="062E474B">
      <w:pPr>
        <w:spacing w:line="500" w:lineRule="exact"/>
        <w:ind w:firstLine="480" w:firstLineChars="200"/>
        <w:rPr>
          <w:rFonts w:ascii="宋体" w:hAnsi="宋体"/>
          <w:color w:val="auto"/>
          <w:sz w:val="24"/>
        </w:rPr>
      </w:pPr>
    </w:p>
    <w:p w14:paraId="0B432837">
      <w:pPr>
        <w:spacing w:line="500" w:lineRule="exact"/>
        <w:ind w:firstLine="480" w:firstLineChars="200"/>
        <w:rPr>
          <w:rFonts w:ascii="宋体" w:hAnsi="宋体"/>
          <w:color w:val="auto"/>
          <w:sz w:val="24"/>
        </w:rPr>
      </w:pPr>
    </w:p>
    <w:p w14:paraId="1A8A70FD">
      <w:pPr>
        <w:spacing w:line="500" w:lineRule="exact"/>
        <w:ind w:firstLine="480" w:firstLineChars="200"/>
        <w:rPr>
          <w:rFonts w:ascii="宋体" w:hAnsi="宋体"/>
          <w:color w:val="auto"/>
          <w:sz w:val="24"/>
        </w:rPr>
      </w:pPr>
    </w:p>
    <w:p w14:paraId="5350059E">
      <w:pPr>
        <w:pStyle w:val="2"/>
        <w:ind w:firstLine="420"/>
        <w:rPr>
          <w:color w:val="auto"/>
        </w:rPr>
      </w:pPr>
    </w:p>
    <w:p w14:paraId="3691E6B5">
      <w:pPr>
        <w:spacing w:line="500" w:lineRule="exact"/>
        <w:ind w:firstLine="480" w:firstLineChars="200"/>
        <w:rPr>
          <w:rFonts w:ascii="宋体" w:hAnsi="宋体"/>
          <w:color w:val="auto"/>
          <w:sz w:val="24"/>
        </w:rPr>
      </w:pPr>
    </w:p>
    <w:p w14:paraId="6546A109">
      <w:pPr>
        <w:spacing w:line="500" w:lineRule="exact"/>
        <w:ind w:firstLine="480" w:firstLineChars="200"/>
        <w:rPr>
          <w:rFonts w:ascii="宋体" w:hAnsi="宋体"/>
          <w:color w:val="auto"/>
          <w:sz w:val="24"/>
        </w:rPr>
      </w:pPr>
    </w:p>
    <w:p w14:paraId="2AC5B701">
      <w:pPr>
        <w:pStyle w:val="6"/>
        <w:rPr>
          <w:color w:val="auto"/>
        </w:rPr>
      </w:pPr>
    </w:p>
    <w:p w14:paraId="29D01DC3">
      <w:pPr>
        <w:spacing w:line="500" w:lineRule="exact"/>
        <w:ind w:firstLine="480" w:firstLineChars="200"/>
        <w:rPr>
          <w:rFonts w:ascii="宋体" w:hAnsi="宋体"/>
          <w:color w:val="auto"/>
          <w:sz w:val="24"/>
        </w:rPr>
      </w:pPr>
    </w:p>
    <w:p w14:paraId="2EE78AC6">
      <w:pPr>
        <w:pStyle w:val="10"/>
        <w:ind w:firstLine="539"/>
        <w:jc w:val="center"/>
        <w:rPr>
          <w:color w:val="auto"/>
          <w:sz w:val="30"/>
          <w:szCs w:val="30"/>
        </w:rPr>
      </w:pPr>
      <w:r>
        <w:rPr>
          <w:rFonts w:hint="eastAsia"/>
          <w:color w:val="auto"/>
          <w:sz w:val="30"/>
          <w:szCs w:val="30"/>
        </w:rPr>
        <w:t>龙泉市林业局</w:t>
      </w:r>
    </w:p>
    <w:p w14:paraId="714A2B89">
      <w:pPr>
        <w:pStyle w:val="10"/>
        <w:ind w:firstLine="539"/>
        <w:jc w:val="center"/>
        <w:rPr>
          <w:color w:val="auto"/>
          <w:sz w:val="30"/>
          <w:szCs w:val="30"/>
        </w:rPr>
      </w:pPr>
      <w:bookmarkStart w:id="2" w:name="_Toc20622"/>
      <w:r>
        <w:rPr>
          <w:rFonts w:hint="eastAsia"/>
          <w:color w:val="auto"/>
          <w:sz w:val="30"/>
          <w:szCs w:val="30"/>
        </w:rPr>
        <w:t>浙江省林业科学研究院</w:t>
      </w:r>
      <w:bookmarkEnd w:id="2"/>
    </w:p>
    <w:p w14:paraId="04070546">
      <w:pPr>
        <w:pStyle w:val="10"/>
        <w:ind w:firstLine="539"/>
        <w:jc w:val="center"/>
        <w:rPr>
          <w:color w:val="auto"/>
          <w:sz w:val="30"/>
          <w:szCs w:val="30"/>
        </w:rPr>
      </w:pPr>
      <w:r>
        <w:rPr>
          <w:rFonts w:hint="eastAsia"/>
          <w:color w:val="auto"/>
          <w:sz w:val="30"/>
          <w:szCs w:val="30"/>
        </w:rPr>
        <w:t>二零二四年六月</w:t>
      </w:r>
    </w:p>
    <w:p w14:paraId="7EEC9B59">
      <w:pPr>
        <w:spacing w:line="500" w:lineRule="exact"/>
        <w:ind w:firstLine="480" w:firstLineChars="200"/>
        <w:rPr>
          <w:rFonts w:ascii="宋体" w:hAnsi="宋体"/>
          <w:color w:val="auto"/>
          <w:sz w:val="24"/>
        </w:rPr>
      </w:pPr>
    </w:p>
    <w:p w14:paraId="5E4473CA">
      <w:pPr>
        <w:spacing w:line="500" w:lineRule="exact"/>
        <w:ind w:firstLine="480" w:firstLineChars="200"/>
        <w:rPr>
          <w:rFonts w:ascii="宋体" w:hAnsi="宋体"/>
          <w:color w:val="auto"/>
          <w:sz w:val="24"/>
        </w:rPr>
      </w:pPr>
    </w:p>
    <w:p w14:paraId="4D9AD9C3">
      <w:pPr>
        <w:pStyle w:val="10"/>
        <w:rPr>
          <w:color w:val="auto"/>
        </w:rPr>
        <w:sectPr>
          <w:pgSz w:w="11906" w:h="16838"/>
          <w:pgMar w:top="1440" w:right="1800" w:bottom="1440" w:left="1800" w:header="851" w:footer="992" w:gutter="0"/>
          <w:cols w:space="425" w:num="1"/>
          <w:docGrid w:type="lines" w:linePitch="312" w:charSpace="0"/>
        </w:sectPr>
      </w:pPr>
    </w:p>
    <w:p w14:paraId="42F9B8F6">
      <w:pPr>
        <w:spacing w:line="500" w:lineRule="exact"/>
        <w:ind w:firstLine="643" w:firstLineChars="200"/>
        <w:jc w:val="center"/>
        <w:rPr>
          <w:rFonts w:ascii="宋体" w:hAnsi="宋体"/>
          <w:b/>
          <w:bCs/>
          <w:color w:val="auto"/>
          <w:sz w:val="32"/>
          <w:szCs w:val="32"/>
        </w:rPr>
      </w:pPr>
      <w:bookmarkStart w:id="3" w:name="_Toc1047"/>
      <w:r>
        <w:rPr>
          <w:rFonts w:hint="eastAsia" w:ascii="宋体" w:hAnsi="宋体"/>
          <w:b/>
          <w:bCs/>
          <w:color w:val="auto"/>
          <w:sz w:val="32"/>
          <w:szCs w:val="32"/>
        </w:rPr>
        <w:t>前言</w:t>
      </w:r>
      <w:bookmarkEnd w:id="3"/>
    </w:p>
    <w:p w14:paraId="67DFCC4C">
      <w:pPr>
        <w:spacing w:line="500" w:lineRule="exact"/>
        <w:ind w:firstLine="560" w:firstLineChars="200"/>
        <w:rPr>
          <w:color w:val="auto"/>
          <w:sz w:val="28"/>
          <w:szCs w:val="20"/>
        </w:rPr>
      </w:pPr>
    </w:p>
    <w:p w14:paraId="150771B1">
      <w:pPr>
        <w:spacing w:line="500" w:lineRule="exact"/>
        <w:ind w:firstLine="560" w:firstLineChars="200"/>
        <w:rPr>
          <w:color w:val="auto"/>
          <w:sz w:val="28"/>
          <w:szCs w:val="20"/>
        </w:rPr>
      </w:pPr>
      <w:r>
        <w:rPr>
          <w:rFonts w:hint="eastAsia"/>
          <w:color w:val="auto"/>
          <w:sz w:val="28"/>
          <w:szCs w:val="20"/>
        </w:rPr>
        <w:t>党的二十大，明确把生态文明建设融入中国特色社会主义事业“五位一体”总体布局。《中华人民共和国国民经济和社会发展第十四个五年规划和2035年远景目标纲要》，将“生态文明建设实现新进步”列为“十四五”时期经济社会发展主要目标，将“美丽中国”列为实现社会主义现代化的远景目标。竹类植物是重要的森林资源，具有生长快、生产周期短、一次栽培永续利用、用途广泛、综合效益高等特点，已成为我国加快国土绿化、改善生态环境的重要造林绿化树种和美化观赏树种；竹产业集经济效益、生态效益和社会效益于一体，是贯彻落实习近平生态文明思想、实施乡村振兴战略、助力塑料污染治理、实现绿色低碳发展的重要途径，已成为竹产区经济社会发展的重要支柱产业、绿色朝阳产业和农民增收致富的希望产业，为推动生态文明和美丽中国建设发挥了重要作用。</w:t>
      </w:r>
    </w:p>
    <w:p w14:paraId="35A930A3">
      <w:pPr>
        <w:spacing w:line="500" w:lineRule="exact"/>
        <w:ind w:firstLine="560" w:firstLineChars="200"/>
        <w:rPr>
          <w:color w:val="auto"/>
          <w:sz w:val="28"/>
          <w:szCs w:val="20"/>
        </w:rPr>
      </w:pPr>
      <w:r>
        <w:rPr>
          <w:rFonts w:hint="eastAsia"/>
          <w:color w:val="auto"/>
          <w:sz w:val="28"/>
          <w:szCs w:val="20"/>
        </w:rPr>
        <w:t>龙泉市竹木资源储备丰富，是浙江省内第二大毛竹产区，享有“中国特色竹乡”的美誉。全市现有森林面积385.9万亩，森林蓄积量2153万立方米；竹林面积61万亩，总立竹量9600多万株，年产竹材1800万株。竹木产业是适应我市山区实际，带动性广、对林区生态经济发展意义重大的传统特色产业，是我市重点培育的主要超百亿支柱产业。</w:t>
      </w:r>
    </w:p>
    <w:p w14:paraId="732F5738">
      <w:pPr>
        <w:spacing w:line="500" w:lineRule="exact"/>
        <w:ind w:firstLine="560" w:firstLineChars="200"/>
        <w:rPr>
          <w:color w:val="auto"/>
          <w:sz w:val="28"/>
          <w:szCs w:val="20"/>
        </w:rPr>
      </w:pPr>
      <w:r>
        <w:rPr>
          <w:rFonts w:hint="eastAsia"/>
          <w:color w:val="auto"/>
          <w:sz w:val="28"/>
          <w:szCs w:val="20"/>
        </w:rPr>
        <w:t>本规划针对龙泉市竹木产业，规划期限为5年，即</w:t>
      </w:r>
      <w:r>
        <w:rPr>
          <w:rFonts w:hint="eastAsia"/>
          <w:color w:val="auto"/>
          <w:sz w:val="28"/>
          <w:szCs w:val="20"/>
          <w:lang w:eastAsia="zh-CN"/>
        </w:rPr>
        <w:t>2024-2028</w:t>
      </w:r>
      <w:r>
        <w:rPr>
          <w:rFonts w:hint="eastAsia"/>
          <w:color w:val="auto"/>
          <w:sz w:val="28"/>
          <w:szCs w:val="20"/>
        </w:rPr>
        <w:t>年。本次规划工作由龙泉市林业局统一部署并组织实施。本次规划设计中得到了市林业局、相关科室、林业工作站、市林场、相关企业等的大力支持和帮助，在此谨表谢意！由于规划编制组水平有限，不妥之处敬请批评指正，不吝赐教。</w:t>
      </w:r>
    </w:p>
    <w:p w14:paraId="37DF229E">
      <w:pPr>
        <w:spacing w:line="500" w:lineRule="exact"/>
        <w:ind w:firstLine="420" w:firstLineChars="200"/>
        <w:rPr>
          <w:color w:val="auto"/>
        </w:rPr>
      </w:pPr>
    </w:p>
    <w:p w14:paraId="03D4077F">
      <w:pPr>
        <w:spacing w:line="500" w:lineRule="exact"/>
        <w:ind w:firstLine="560" w:firstLineChars="200"/>
        <w:jc w:val="right"/>
        <w:rPr>
          <w:color w:val="auto"/>
          <w:sz w:val="28"/>
          <w:szCs w:val="20"/>
        </w:rPr>
      </w:pPr>
      <w:r>
        <w:rPr>
          <w:rFonts w:hint="eastAsia"/>
          <w:color w:val="auto"/>
          <w:sz w:val="28"/>
          <w:szCs w:val="20"/>
        </w:rPr>
        <w:t>规划编制组</w:t>
      </w:r>
    </w:p>
    <w:p w14:paraId="784C8D7C">
      <w:pPr>
        <w:spacing w:line="500" w:lineRule="exact"/>
        <w:ind w:firstLine="560" w:firstLineChars="200"/>
        <w:jc w:val="right"/>
        <w:rPr>
          <w:color w:val="auto"/>
          <w:sz w:val="28"/>
          <w:szCs w:val="20"/>
        </w:rPr>
        <w:sectPr>
          <w:pgSz w:w="11906" w:h="16838"/>
          <w:pgMar w:top="1440" w:right="1800" w:bottom="1440" w:left="1800" w:header="851" w:footer="992" w:gutter="0"/>
          <w:cols w:space="425" w:num="1"/>
          <w:docGrid w:type="lines" w:linePitch="312" w:charSpace="0"/>
        </w:sectPr>
      </w:pPr>
      <w:r>
        <w:rPr>
          <w:rFonts w:hint="eastAsia"/>
          <w:color w:val="auto"/>
          <w:sz w:val="28"/>
          <w:szCs w:val="20"/>
        </w:rPr>
        <w:t>2024年6月</w:t>
      </w:r>
    </w:p>
    <w:sdt>
      <w:sdtPr>
        <w:rPr>
          <w:rFonts w:ascii="宋体" w:hAnsi="宋体"/>
          <w:color w:val="auto"/>
          <w:kern w:val="0"/>
          <w:sz w:val="32"/>
          <w:szCs w:val="32"/>
        </w:rPr>
        <w:id w:val="147477727"/>
        <w:docPartObj>
          <w:docPartGallery w:val="Table of Contents"/>
          <w:docPartUnique/>
        </w:docPartObj>
      </w:sdtPr>
      <w:sdtEndPr>
        <w:rPr>
          <w:rFonts w:hint="eastAsia" w:ascii="Times New Roman" w:hAnsi="Times New Roman"/>
          <w:b/>
          <w:color w:val="auto"/>
          <w:kern w:val="0"/>
          <w:sz w:val="21"/>
          <w:szCs w:val="20"/>
        </w:rPr>
      </w:sdtEndPr>
      <w:sdtContent>
        <w:p w14:paraId="19703FA9">
          <w:pPr>
            <w:spacing w:line="240" w:lineRule="auto"/>
            <w:jc w:val="center"/>
            <w:rPr>
              <w:color w:val="auto"/>
              <w:sz w:val="32"/>
              <w:szCs w:val="32"/>
            </w:rPr>
          </w:pPr>
          <w:r>
            <w:rPr>
              <w:rFonts w:ascii="宋体" w:hAnsi="宋体"/>
              <w:color w:val="auto"/>
              <w:sz w:val="32"/>
              <w:szCs w:val="32"/>
            </w:rPr>
            <w:t>目录</w:t>
          </w:r>
        </w:p>
        <w:p w14:paraId="1F096BB0">
          <w:pPr>
            <w:pStyle w:val="15"/>
            <w:tabs>
              <w:tab w:val="right" w:leader="dot" w:pos="8306"/>
            </w:tabs>
            <w:rPr>
              <w:color w:val="auto"/>
            </w:rPr>
          </w:pPr>
          <w:r>
            <w:rPr>
              <w:rFonts w:hint="eastAsia"/>
              <w:color w:val="auto"/>
              <w:sz w:val="28"/>
            </w:rPr>
            <w:fldChar w:fldCharType="begin"/>
          </w:r>
          <w:r>
            <w:rPr>
              <w:rFonts w:hint="eastAsia"/>
              <w:color w:val="auto"/>
              <w:sz w:val="28"/>
            </w:rPr>
            <w:instrText xml:space="preserve">TOC \o "1-2" \h \u </w:instrText>
          </w:r>
          <w:r>
            <w:rPr>
              <w:rFonts w:hint="eastAsia"/>
              <w:color w:val="auto"/>
              <w:sz w:val="28"/>
            </w:rPr>
            <w:fldChar w:fldCharType="separate"/>
          </w:r>
          <w:r>
            <w:rPr>
              <w:color w:val="auto"/>
            </w:rPr>
            <w:fldChar w:fldCharType="begin"/>
          </w:r>
          <w:r>
            <w:rPr>
              <w:color w:val="auto"/>
            </w:rPr>
            <w:instrText xml:space="preserve"> HYPERLINK \l "_Toc12169" </w:instrText>
          </w:r>
          <w:r>
            <w:rPr>
              <w:color w:val="auto"/>
            </w:rPr>
            <w:fldChar w:fldCharType="separate"/>
          </w:r>
          <w:r>
            <w:rPr>
              <w:rFonts w:ascii="宋体" w:hAnsi="宋体"/>
              <w:bCs/>
              <w:color w:val="auto"/>
              <w:szCs w:val="32"/>
            </w:rPr>
            <w:t xml:space="preserve">第一章 </w:t>
          </w:r>
          <w:r>
            <w:rPr>
              <w:rFonts w:hint="eastAsia" w:ascii="宋体" w:hAnsi="宋体"/>
              <w:bCs/>
              <w:color w:val="auto"/>
              <w:szCs w:val="32"/>
            </w:rPr>
            <w:t>规划背景</w:t>
          </w:r>
          <w:r>
            <w:rPr>
              <w:color w:val="auto"/>
            </w:rPr>
            <w:tab/>
          </w:r>
          <w:r>
            <w:rPr>
              <w:color w:val="auto"/>
            </w:rPr>
            <w:fldChar w:fldCharType="begin"/>
          </w:r>
          <w:r>
            <w:rPr>
              <w:color w:val="auto"/>
            </w:rPr>
            <w:instrText xml:space="preserve"> PAGEREF _Toc12169 \h </w:instrText>
          </w:r>
          <w:r>
            <w:rPr>
              <w:color w:val="auto"/>
            </w:rPr>
            <w:fldChar w:fldCharType="separate"/>
          </w:r>
          <w:r>
            <w:rPr>
              <w:color w:val="auto"/>
            </w:rPr>
            <w:t>11</w:t>
          </w:r>
          <w:r>
            <w:rPr>
              <w:color w:val="auto"/>
            </w:rPr>
            <w:fldChar w:fldCharType="end"/>
          </w:r>
          <w:r>
            <w:rPr>
              <w:color w:val="auto"/>
            </w:rPr>
            <w:fldChar w:fldCharType="end"/>
          </w:r>
        </w:p>
        <w:p w14:paraId="7C2C934F">
          <w:pPr>
            <w:pStyle w:val="16"/>
            <w:tabs>
              <w:tab w:val="right" w:leader="dot" w:pos="8306"/>
            </w:tabs>
            <w:rPr>
              <w:color w:val="auto"/>
            </w:rPr>
          </w:pPr>
          <w:r>
            <w:rPr>
              <w:color w:val="auto"/>
            </w:rPr>
            <w:fldChar w:fldCharType="begin"/>
          </w:r>
          <w:r>
            <w:rPr>
              <w:color w:val="auto"/>
            </w:rPr>
            <w:instrText xml:space="preserve"> HYPERLINK \l "_Toc3483" </w:instrText>
          </w:r>
          <w:r>
            <w:rPr>
              <w:color w:val="auto"/>
            </w:rPr>
            <w:fldChar w:fldCharType="separate"/>
          </w:r>
          <w:r>
            <w:rPr>
              <w:rFonts w:hint="eastAsia"/>
              <w:color w:val="auto"/>
            </w:rPr>
            <w:t>1.1 外部经济社会发展情况</w:t>
          </w:r>
          <w:r>
            <w:rPr>
              <w:color w:val="auto"/>
            </w:rPr>
            <w:tab/>
          </w:r>
          <w:r>
            <w:rPr>
              <w:color w:val="auto"/>
            </w:rPr>
            <w:fldChar w:fldCharType="begin"/>
          </w:r>
          <w:r>
            <w:rPr>
              <w:color w:val="auto"/>
            </w:rPr>
            <w:instrText xml:space="preserve"> PAGEREF _Toc3483 \h </w:instrText>
          </w:r>
          <w:r>
            <w:rPr>
              <w:color w:val="auto"/>
            </w:rPr>
            <w:fldChar w:fldCharType="separate"/>
          </w:r>
          <w:r>
            <w:rPr>
              <w:color w:val="auto"/>
            </w:rPr>
            <w:t>11</w:t>
          </w:r>
          <w:r>
            <w:rPr>
              <w:color w:val="auto"/>
            </w:rPr>
            <w:fldChar w:fldCharType="end"/>
          </w:r>
          <w:r>
            <w:rPr>
              <w:color w:val="auto"/>
            </w:rPr>
            <w:fldChar w:fldCharType="end"/>
          </w:r>
        </w:p>
        <w:p w14:paraId="4FD0E617">
          <w:pPr>
            <w:pStyle w:val="16"/>
            <w:tabs>
              <w:tab w:val="right" w:leader="dot" w:pos="8306"/>
            </w:tabs>
            <w:rPr>
              <w:color w:val="auto"/>
            </w:rPr>
          </w:pPr>
          <w:r>
            <w:rPr>
              <w:color w:val="auto"/>
            </w:rPr>
            <w:fldChar w:fldCharType="begin"/>
          </w:r>
          <w:r>
            <w:rPr>
              <w:color w:val="auto"/>
            </w:rPr>
            <w:instrText xml:space="preserve"> HYPERLINK \l "_Toc25012" </w:instrText>
          </w:r>
          <w:r>
            <w:rPr>
              <w:color w:val="auto"/>
            </w:rPr>
            <w:fldChar w:fldCharType="separate"/>
          </w:r>
          <w:r>
            <w:rPr>
              <w:rFonts w:hint="eastAsia"/>
              <w:color w:val="auto"/>
            </w:rPr>
            <w:t>1.2 龙泉市经济社会总体概况</w:t>
          </w:r>
          <w:r>
            <w:rPr>
              <w:color w:val="auto"/>
            </w:rPr>
            <w:tab/>
          </w:r>
          <w:r>
            <w:rPr>
              <w:color w:val="auto"/>
            </w:rPr>
            <w:fldChar w:fldCharType="begin"/>
          </w:r>
          <w:r>
            <w:rPr>
              <w:color w:val="auto"/>
            </w:rPr>
            <w:instrText xml:space="preserve"> PAGEREF _Toc25012 \h </w:instrText>
          </w:r>
          <w:r>
            <w:rPr>
              <w:color w:val="auto"/>
            </w:rPr>
            <w:fldChar w:fldCharType="separate"/>
          </w:r>
          <w:r>
            <w:rPr>
              <w:color w:val="auto"/>
            </w:rPr>
            <w:t>33</w:t>
          </w:r>
          <w:r>
            <w:rPr>
              <w:color w:val="auto"/>
            </w:rPr>
            <w:fldChar w:fldCharType="end"/>
          </w:r>
          <w:r>
            <w:rPr>
              <w:color w:val="auto"/>
            </w:rPr>
            <w:fldChar w:fldCharType="end"/>
          </w:r>
        </w:p>
        <w:p w14:paraId="3685DEB8">
          <w:pPr>
            <w:pStyle w:val="15"/>
            <w:tabs>
              <w:tab w:val="right" w:leader="dot" w:pos="8306"/>
            </w:tabs>
            <w:rPr>
              <w:color w:val="auto"/>
            </w:rPr>
          </w:pPr>
          <w:r>
            <w:rPr>
              <w:color w:val="auto"/>
            </w:rPr>
            <w:fldChar w:fldCharType="begin"/>
          </w:r>
          <w:r>
            <w:rPr>
              <w:color w:val="auto"/>
            </w:rPr>
            <w:instrText xml:space="preserve"> HYPERLINK \l "_Toc1070" </w:instrText>
          </w:r>
          <w:r>
            <w:rPr>
              <w:color w:val="auto"/>
            </w:rPr>
            <w:fldChar w:fldCharType="separate"/>
          </w:r>
          <w:r>
            <w:rPr>
              <w:rFonts w:ascii="宋体" w:hAnsi="宋体"/>
              <w:bCs/>
              <w:color w:val="auto"/>
              <w:szCs w:val="32"/>
            </w:rPr>
            <w:t xml:space="preserve">第二章 </w:t>
          </w:r>
          <w:r>
            <w:rPr>
              <w:rFonts w:hint="eastAsia" w:ascii="宋体" w:hAnsi="宋体"/>
              <w:bCs/>
              <w:color w:val="auto"/>
              <w:szCs w:val="32"/>
            </w:rPr>
            <w:t>产业分析</w:t>
          </w:r>
          <w:r>
            <w:rPr>
              <w:color w:val="auto"/>
            </w:rPr>
            <w:tab/>
          </w:r>
          <w:r>
            <w:rPr>
              <w:color w:val="auto"/>
            </w:rPr>
            <w:fldChar w:fldCharType="begin"/>
          </w:r>
          <w:r>
            <w:rPr>
              <w:color w:val="auto"/>
            </w:rPr>
            <w:instrText xml:space="preserve"> PAGEREF _Toc1070 \h </w:instrText>
          </w:r>
          <w:r>
            <w:rPr>
              <w:color w:val="auto"/>
            </w:rPr>
            <w:fldChar w:fldCharType="separate"/>
          </w:r>
          <w:r>
            <w:rPr>
              <w:color w:val="auto"/>
            </w:rPr>
            <w:t>11</w:t>
          </w:r>
          <w:r>
            <w:rPr>
              <w:color w:val="auto"/>
            </w:rPr>
            <w:fldChar w:fldCharType="end"/>
          </w:r>
          <w:r>
            <w:rPr>
              <w:color w:val="auto"/>
            </w:rPr>
            <w:fldChar w:fldCharType="end"/>
          </w:r>
        </w:p>
        <w:p w14:paraId="6FCFA786">
          <w:pPr>
            <w:pStyle w:val="16"/>
            <w:tabs>
              <w:tab w:val="right" w:leader="dot" w:pos="8306"/>
            </w:tabs>
            <w:rPr>
              <w:color w:val="auto"/>
            </w:rPr>
          </w:pPr>
          <w:r>
            <w:rPr>
              <w:color w:val="auto"/>
            </w:rPr>
            <w:fldChar w:fldCharType="begin"/>
          </w:r>
          <w:r>
            <w:rPr>
              <w:color w:val="auto"/>
            </w:rPr>
            <w:instrText xml:space="preserve"> HYPERLINK \l "_Toc17251" </w:instrText>
          </w:r>
          <w:r>
            <w:rPr>
              <w:color w:val="auto"/>
            </w:rPr>
            <w:fldChar w:fldCharType="separate"/>
          </w:r>
          <w:r>
            <w:rPr>
              <w:rFonts w:hint="eastAsia"/>
              <w:color w:val="auto"/>
            </w:rPr>
            <w:t>2.1 我省竹木产业发展总体情况</w:t>
          </w:r>
          <w:r>
            <w:rPr>
              <w:color w:val="auto"/>
            </w:rPr>
            <w:tab/>
          </w:r>
          <w:r>
            <w:rPr>
              <w:color w:val="auto"/>
            </w:rPr>
            <w:fldChar w:fldCharType="begin"/>
          </w:r>
          <w:r>
            <w:rPr>
              <w:color w:val="auto"/>
            </w:rPr>
            <w:instrText xml:space="preserve"> PAGEREF _Toc17251 \h </w:instrText>
          </w:r>
          <w:r>
            <w:rPr>
              <w:color w:val="auto"/>
            </w:rPr>
            <w:fldChar w:fldCharType="separate"/>
          </w:r>
          <w:r>
            <w:rPr>
              <w:color w:val="auto"/>
            </w:rPr>
            <w:t>11</w:t>
          </w:r>
          <w:r>
            <w:rPr>
              <w:color w:val="auto"/>
            </w:rPr>
            <w:fldChar w:fldCharType="end"/>
          </w:r>
          <w:r>
            <w:rPr>
              <w:color w:val="auto"/>
            </w:rPr>
            <w:fldChar w:fldCharType="end"/>
          </w:r>
        </w:p>
        <w:p w14:paraId="0D7A696E">
          <w:pPr>
            <w:pStyle w:val="16"/>
            <w:tabs>
              <w:tab w:val="right" w:leader="dot" w:pos="8306"/>
            </w:tabs>
            <w:rPr>
              <w:color w:val="auto"/>
            </w:rPr>
          </w:pPr>
          <w:r>
            <w:rPr>
              <w:color w:val="auto"/>
            </w:rPr>
            <w:fldChar w:fldCharType="begin"/>
          </w:r>
          <w:r>
            <w:rPr>
              <w:color w:val="auto"/>
            </w:rPr>
            <w:instrText xml:space="preserve"> HYPERLINK \l "_Toc18696" </w:instrText>
          </w:r>
          <w:r>
            <w:rPr>
              <w:color w:val="auto"/>
            </w:rPr>
            <w:fldChar w:fldCharType="separate"/>
          </w:r>
          <w:r>
            <w:rPr>
              <w:rFonts w:hint="eastAsia"/>
              <w:color w:val="auto"/>
            </w:rPr>
            <w:t>2.2 龙泉市竹木产业现状分析</w:t>
          </w:r>
          <w:r>
            <w:rPr>
              <w:color w:val="auto"/>
            </w:rPr>
            <w:tab/>
          </w:r>
          <w:r>
            <w:rPr>
              <w:color w:val="auto"/>
            </w:rPr>
            <w:fldChar w:fldCharType="begin"/>
          </w:r>
          <w:r>
            <w:rPr>
              <w:color w:val="auto"/>
            </w:rPr>
            <w:instrText xml:space="preserve"> PAGEREF _Toc18696 \h </w:instrText>
          </w:r>
          <w:r>
            <w:rPr>
              <w:color w:val="auto"/>
            </w:rPr>
            <w:fldChar w:fldCharType="separate"/>
          </w:r>
          <w:r>
            <w:rPr>
              <w:color w:val="auto"/>
            </w:rPr>
            <w:t>66</w:t>
          </w:r>
          <w:r>
            <w:rPr>
              <w:color w:val="auto"/>
            </w:rPr>
            <w:fldChar w:fldCharType="end"/>
          </w:r>
          <w:r>
            <w:rPr>
              <w:color w:val="auto"/>
            </w:rPr>
            <w:fldChar w:fldCharType="end"/>
          </w:r>
        </w:p>
        <w:p w14:paraId="415F21DE">
          <w:pPr>
            <w:pStyle w:val="16"/>
            <w:tabs>
              <w:tab w:val="right" w:leader="dot" w:pos="8306"/>
            </w:tabs>
            <w:rPr>
              <w:color w:val="auto"/>
            </w:rPr>
          </w:pPr>
          <w:r>
            <w:rPr>
              <w:color w:val="auto"/>
            </w:rPr>
            <w:fldChar w:fldCharType="begin"/>
          </w:r>
          <w:r>
            <w:rPr>
              <w:color w:val="auto"/>
            </w:rPr>
            <w:instrText xml:space="preserve"> HYPERLINK \l "_Toc2237" </w:instrText>
          </w:r>
          <w:r>
            <w:rPr>
              <w:color w:val="auto"/>
            </w:rPr>
            <w:fldChar w:fldCharType="separate"/>
          </w:r>
          <w:r>
            <w:rPr>
              <w:rFonts w:hint="eastAsia"/>
              <w:color w:val="auto"/>
            </w:rPr>
            <w:t>2.3 其他地区竹木产业分析</w:t>
          </w:r>
          <w:r>
            <w:rPr>
              <w:color w:val="auto"/>
            </w:rPr>
            <w:tab/>
          </w:r>
          <w:r>
            <w:rPr>
              <w:color w:val="auto"/>
            </w:rPr>
            <w:fldChar w:fldCharType="begin"/>
          </w:r>
          <w:r>
            <w:rPr>
              <w:color w:val="auto"/>
            </w:rPr>
            <w:instrText xml:space="preserve"> PAGEREF _Toc2237 \h </w:instrText>
          </w:r>
          <w:r>
            <w:rPr>
              <w:color w:val="auto"/>
            </w:rPr>
            <w:fldChar w:fldCharType="separate"/>
          </w:r>
          <w:r>
            <w:rPr>
              <w:color w:val="auto"/>
            </w:rPr>
            <w:t>126</w:t>
          </w:r>
          <w:r>
            <w:rPr>
              <w:color w:val="auto"/>
            </w:rPr>
            <w:fldChar w:fldCharType="end"/>
          </w:r>
          <w:r>
            <w:rPr>
              <w:color w:val="auto"/>
            </w:rPr>
            <w:fldChar w:fldCharType="end"/>
          </w:r>
        </w:p>
        <w:p w14:paraId="1F6B1C09">
          <w:pPr>
            <w:pStyle w:val="16"/>
            <w:tabs>
              <w:tab w:val="right" w:leader="dot" w:pos="8306"/>
            </w:tabs>
            <w:rPr>
              <w:color w:val="auto"/>
            </w:rPr>
          </w:pPr>
          <w:r>
            <w:rPr>
              <w:color w:val="auto"/>
            </w:rPr>
            <w:fldChar w:fldCharType="begin"/>
          </w:r>
          <w:r>
            <w:rPr>
              <w:color w:val="auto"/>
            </w:rPr>
            <w:instrText xml:space="preserve"> HYPERLINK \l "_Toc18529" </w:instrText>
          </w:r>
          <w:r>
            <w:rPr>
              <w:color w:val="auto"/>
            </w:rPr>
            <w:fldChar w:fldCharType="separate"/>
          </w:r>
          <w:r>
            <w:rPr>
              <w:rFonts w:hint="eastAsia"/>
              <w:color w:val="auto"/>
            </w:rPr>
            <w:t>2.4 龙泉市竹木产业SWOT分析</w:t>
          </w:r>
          <w:r>
            <w:rPr>
              <w:color w:val="auto"/>
            </w:rPr>
            <w:tab/>
          </w:r>
          <w:r>
            <w:rPr>
              <w:color w:val="auto"/>
            </w:rPr>
            <w:fldChar w:fldCharType="begin"/>
          </w:r>
          <w:r>
            <w:rPr>
              <w:color w:val="auto"/>
            </w:rPr>
            <w:instrText xml:space="preserve"> PAGEREF _Toc18529 \h </w:instrText>
          </w:r>
          <w:r>
            <w:rPr>
              <w:color w:val="auto"/>
            </w:rPr>
            <w:fldChar w:fldCharType="separate"/>
          </w:r>
          <w:r>
            <w:rPr>
              <w:color w:val="auto"/>
            </w:rPr>
            <w:t>1711</w:t>
          </w:r>
          <w:r>
            <w:rPr>
              <w:color w:val="auto"/>
            </w:rPr>
            <w:fldChar w:fldCharType="end"/>
          </w:r>
          <w:r>
            <w:rPr>
              <w:color w:val="auto"/>
            </w:rPr>
            <w:fldChar w:fldCharType="end"/>
          </w:r>
        </w:p>
        <w:p w14:paraId="3D702F5D">
          <w:pPr>
            <w:pStyle w:val="15"/>
            <w:tabs>
              <w:tab w:val="right" w:leader="dot" w:pos="8306"/>
            </w:tabs>
            <w:rPr>
              <w:color w:val="auto"/>
            </w:rPr>
          </w:pPr>
          <w:r>
            <w:rPr>
              <w:color w:val="auto"/>
            </w:rPr>
            <w:fldChar w:fldCharType="begin"/>
          </w:r>
          <w:r>
            <w:rPr>
              <w:color w:val="auto"/>
            </w:rPr>
            <w:instrText xml:space="preserve"> HYPERLINK \l "_Toc31517" </w:instrText>
          </w:r>
          <w:r>
            <w:rPr>
              <w:color w:val="auto"/>
            </w:rPr>
            <w:fldChar w:fldCharType="separate"/>
          </w:r>
          <w:r>
            <w:rPr>
              <w:rFonts w:hint="eastAsia" w:ascii="宋体" w:hAnsi="宋体"/>
              <w:bCs/>
              <w:color w:val="auto"/>
              <w:szCs w:val="32"/>
            </w:rPr>
            <w:t>第三章 发展思路</w:t>
          </w:r>
          <w:r>
            <w:rPr>
              <w:color w:val="auto"/>
            </w:rPr>
            <w:tab/>
          </w:r>
          <w:r>
            <w:rPr>
              <w:color w:val="auto"/>
            </w:rPr>
            <w:fldChar w:fldCharType="begin"/>
          </w:r>
          <w:r>
            <w:rPr>
              <w:color w:val="auto"/>
            </w:rPr>
            <w:instrText xml:space="preserve"> PAGEREF _Toc31517 \h </w:instrText>
          </w:r>
          <w:r>
            <w:rPr>
              <w:color w:val="auto"/>
            </w:rPr>
            <w:fldChar w:fldCharType="separate"/>
          </w:r>
          <w:r>
            <w:rPr>
              <w:color w:val="auto"/>
            </w:rPr>
            <w:t>2418</w:t>
          </w:r>
          <w:r>
            <w:rPr>
              <w:color w:val="auto"/>
            </w:rPr>
            <w:fldChar w:fldCharType="end"/>
          </w:r>
          <w:r>
            <w:rPr>
              <w:color w:val="auto"/>
            </w:rPr>
            <w:fldChar w:fldCharType="end"/>
          </w:r>
        </w:p>
        <w:p w14:paraId="2E76AA12">
          <w:pPr>
            <w:pStyle w:val="16"/>
            <w:tabs>
              <w:tab w:val="right" w:leader="dot" w:pos="8306"/>
            </w:tabs>
            <w:rPr>
              <w:color w:val="auto"/>
            </w:rPr>
          </w:pPr>
          <w:r>
            <w:rPr>
              <w:color w:val="auto"/>
            </w:rPr>
            <w:fldChar w:fldCharType="begin"/>
          </w:r>
          <w:r>
            <w:rPr>
              <w:color w:val="auto"/>
            </w:rPr>
            <w:instrText xml:space="preserve"> HYPERLINK \l "_Toc1057" </w:instrText>
          </w:r>
          <w:r>
            <w:rPr>
              <w:color w:val="auto"/>
            </w:rPr>
            <w:fldChar w:fldCharType="separate"/>
          </w:r>
          <w:r>
            <w:rPr>
              <w:rFonts w:hint="eastAsia"/>
              <w:color w:val="auto"/>
            </w:rPr>
            <w:t>3.1 指导思想</w:t>
          </w:r>
          <w:r>
            <w:rPr>
              <w:color w:val="auto"/>
            </w:rPr>
            <w:tab/>
          </w:r>
          <w:r>
            <w:rPr>
              <w:color w:val="auto"/>
            </w:rPr>
            <w:fldChar w:fldCharType="begin"/>
          </w:r>
          <w:r>
            <w:rPr>
              <w:color w:val="auto"/>
            </w:rPr>
            <w:instrText xml:space="preserve"> PAGEREF _Toc1057 \h </w:instrText>
          </w:r>
          <w:r>
            <w:rPr>
              <w:color w:val="auto"/>
            </w:rPr>
            <w:fldChar w:fldCharType="separate"/>
          </w:r>
          <w:r>
            <w:rPr>
              <w:color w:val="auto"/>
            </w:rPr>
            <w:t>2418</w:t>
          </w:r>
          <w:r>
            <w:rPr>
              <w:color w:val="auto"/>
            </w:rPr>
            <w:fldChar w:fldCharType="end"/>
          </w:r>
          <w:r>
            <w:rPr>
              <w:color w:val="auto"/>
            </w:rPr>
            <w:fldChar w:fldCharType="end"/>
          </w:r>
        </w:p>
        <w:p w14:paraId="278B0D09">
          <w:pPr>
            <w:pStyle w:val="16"/>
            <w:tabs>
              <w:tab w:val="right" w:leader="dot" w:pos="8306"/>
            </w:tabs>
            <w:rPr>
              <w:color w:val="auto"/>
            </w:rPr>
          </w:pPr>
          <w:r>
            <w:rPr>
              <w:color w:val="auto"/>
            </w:rPr>
            <w:fldChar w:fldCharType="begin"/>
          </w:r>
          <w:r>
            <w:rPr>
              <w:color w:val="auto"/>
            </w:rPr>
            <w:instrText xml:space="preserve"> HYPERLINK \l "_Toc25308" </w:instrText>
          </w:r>
          <w:r>
            <w:rPr>
              <w:color w:val="auto"/>
            </w:rPr>
            <w:fldChar w:fldCharType="separate"/>
          </w:r>
          <w:r>
            <w:rPr>
              <w:rFonts w:hint="eastAsia"/>
              <w:color w:val="auto"/>
            </w:rPr>
            <w:t>3.2 基本原则</w:t>
          </w:r>
          <w:r>
            <w:rPr>
              <w:color w:val="auto"/>
            </w:rPr>
            <w:tab/>
          </w:r>
          <w:r>
            <w:rPr>
              <w:color w:val="auto"/>
            </w:rPr>
            <w:fldChar w:fldCharType="begin"/>
          </w:r>
          <w:r>
            <w:rPr>
              <w:color w:val="auto"/>
            </w:rPr>
            <w:instrText xml:space="preserve"> PAGEREF _Toc25308 \h </w:instrText>
          </w:r>
          <w:r>
            <w:rPr>
              <w:color w:val="auto"/>
            </w:rPr>
            <w:fldChar w:fldCharType="separate"/>
          </w:r>
          <w:r>
            <w:rPr>
              <w:color w:val="auto"/>
            </w:rPr>
            <w:t>2418</w:t>
          </w:r>
          <w:r>
            <w:rPr>
              <w:color w:val="auto"/>
            </w:rPr>
            <w:fldChar w:fldCharType="end"/>
          </w:r>
          <w:r>
            <w:rPr>
              <w:color w:val="auto"/>
            </w:rPr>
            <w:fldChar w:fldCharType="end"/>
          </w:r>
        </w:p>
        <w:p w14:paraId="546709F2">
          <w:pPr>
            <w:pStyle w:val="16"/>
            <w:tabs>
              <w:tab w:val="right" w:leader="dot" w:pos="8306"/>
            </w:tabs>
            <w:rPr>
              <w:color w:val="auto"/>
            </w:rPr>
          </w:pPr>
          <w:r>
            <w:rPr>
              <w:color w:val="auto"/>
            </w:rPr>
            <w:fldChar w:fldCharType="begin"/>
          </w:r>
          <w:r>
            <w:rPr>
              <w:color w:val="auto"/>
            </w:rPr>
            <w:instrText xml:space="preserve"> HYPERLINK \l "_Toc263" </w:instrText>
          </w:r>
          <w:r>
            <w:rPr>
              <w:color w:val="auto"/>
            </w:rPr>
            <w:fldChar w:fldCharType="separate"/>
          </w:r>
          <w:r>
            <w:rPr>
              <w:rFonts w:hint="eastAsia"/>
              <w:color w:val="auto"/>
            </w:rPr>
            <w:t>3.3 规划依据</w:t>
          </w:r>
          <w:r>
            <w:rPr>
              <w:color w:val="auto"/>
            </w:rPr>
            <w:tab/>
          </w:r>
          <w:r>
            <w:rPr>
              <w:color w:val="auto"/>
            </w:rPr>
            <w:fldChar w:fldCharType="begin"/>
          </w:r>
          <w:r>
            <w:rPr>
              <w:color w:val="auto"/>
            </w:rPr>
            <w:instrText xml:space="preserve"> PAGEREF _Toc263 \h </w:instrText>
          </w:r>
          <w:r>
            <w:rPr>
              <w:color w:val="auto"/>
            </w:rPr>
            <w:fldChar w:fldCharType="separate"/>
          </w:r>
          <w:r>
            <w:rPr>
              <w:color w:val="auto"/>
            </w:rPr>
            <w:t>2519</w:t>
          </w:r>
          <w:r>
            <w:rPr>
              <w:color w:val="auto"/>
            </w:rPr>
            <w:fldChar w:fldCharType="end"/>
          </w:r>
          <w:r>
            <w:rPr>
              <w:color w:val="auto"/>
            </w:rPr>
            <w:fldChar w:fldCharType="end"/>
          </w:r>
        </w:p>
        <w:p w14:paraId="239EFC5F">
          <w:pPr>
            <w:pStyle w:val="16"/>
            <w:tabs>
              <w:tab w:val="right" w:leader="dot" w:pos="8306"/>
            </w:tabs>
            <w:rPr>
              <w:color w:val="auto"/>
            </w:rPr>
          </w:pPr>
          <w:r>
            <w:rPr>
              <w:color w:val="auto"/>
            </w:rPr>
            <w:fldChar w:fldCharType="begin"/>
          </w:r>
          <w:r>
            <w:rPr>
              <w:color w:val="auto"/>
            </w:rPr>
            <w:instrText xml:space="preserve"> HYPERLINK \l "_Toc16479" </w:instrText>
          </w:r>
          <w:r>
            <w:rPr>
              <w:color w:val="auto"/>
            </w:rPr>
            <w:fldChar w:fldCharType="separate"/>
          </w:r>
          <w:r>
            <w:rPr>
              <w:rFonts w:hint="eastAsia"/>
              <w:color w:val="auto"/>
            </w:rPr>
            <w:t>3.4规划期限</w:t>
          </w:r>
          <w:r>
            <w:rPr>
              <w:color w:val="auto"/>
            </w:rPr>
            <w:tab/>
          </w:r>
          <w:r>
            <w:rPr>
              <w:color w:val="auto"/>
            </w:rPr>
            <w:fldChar w:fldCharType="begin"/>
          </w:r>
          <w:r>
            <w:rPr>
              <w:color w:val="auto"/>
            </w:rPr>
            <w:instrText xml:space="preserve"> PAGEREF _Toc16479 \h </w:instrText>
          </w:r>
          <w:r>
            <w:rPr>
              <w:color w:val="auto"/>
            </w:rPr>
            <w:fldChar w:fldCharType="separate"/>
          </w:r>
          <w:r>
            <w:rPr>
              <w:color w:val="auto"/>
            </w:rPr>
            <w:t>2721</w:t>
          </w:r>
          <w:r>
            <w:rPr>
              <w:color w:val="auto"/>
            </w:rPr>
            <w:fldChar w:fldCharType="end"/>
          </w:r>
          <w:r>
            <w:rPr>
              <w:color w:val="auto"/>
            </w:rPr>
            <w:fldChar w:fldCharType="end"/>
          </w:r>
        </w:p>
        <w:p w14:paraId="0FD3261C">
          <w:pPr>
            <w:pStyle w:val="16"/>
            <w:tabs>
              <w:tab w:val="right" w:leader="dot" w:pos="8306"/>
            </w:tabs>
            <w:rPr>
              <w:color w:val="auto"/>
            </w:rPr>
          </w:pPr>
          <w:r>
            <w:rPr>
              <w:color w:val="auto"/>
            </w:rPr>
            <w:fldChar w:fldCharType="begin"/>
          </w:r>
          <w:r>
            <w:rPr>
              <w:color w:val="auto"/>
            </w:rPr>
            <w:instrText xml:space="preserve"> HYPERLINK \l "_Toc6657" </w:instrText>
          </w:r>
          <w:r>
            <w:rPr>
              <w:color w:val="auto"/>
            </w:rPr>
            <w:fldChar w:fldCharType="separate"/>
          </w:r>
          <w:r>
            <w:rPr>
              <w:rFonts w:hint="eastAsia"/>
              <w:color w:val="auto"/>
            </w:rPr>
            <w:t>3.5 发展目标</w:t>
          </w:r>
          <w:r>
            <w:rPr>
              <w:color w:val="auto"/>
            </w:rPr>
            <w:tab/>
          </w:r>
          <w:r>
            <w:rPr>
              <w:color w:val="auto"/>
            </w:rPr>
            <w:fldChar w:fldCharType="begin"/>
          </w:r>
          <w:r>
            <w:rPr>
              <w:color w:val="auto"/>
            </w:rPr>
            <w:instrText xml:space="preserve"> PAGEREF _Toc6657 \h </w:instrText>
          </w:r>
          <w:r>
            <w:rPr>
              <w:color w:val="auto"/>
            </w:rPr>
            <w:fldChar w:fldCharType="separate"/>
          </w:r>
          <w:r>
            <w:rPr>
              <w:color w:val="auto"/>
            </w:rPr>
            <w:t>2721</w:t>
          </w:r>
          <w:r>
            <w:rPr>
              <w:color w:val="auto"/>
            </w:rPr>
            <w:fldChar w:fldCharType="end"/>
          </w:r>
          <w:r>
            <w:rPr>
              <w:color w:val="auto"/>
            </w:rPr>
            <w:fldChar w:fldCharType="end"/>
          </w:r>
        </w:p>
        <w:p w14:paraId="1FD8F38B">
          <w:pPr>
            <w:pStyle w:val="15"/>
            <w:tabs>
              <w:tab w:val="right" w:leader="dot" w:pos="8306"/>
            </w:tabs>
            <w:rPr>
              <w:color w:val="auto"/>
            </w:rPr>
          </w:pPr>
          <w:r>
            <w:rPr>
              <w:color w:val="auto"/>
            </w:rPr>
            <w:fldChar w:fldCharType="begin"/>
          </w:r>
          <w:r>
            <w:rPr>
              <w:color w:val="auto"/>
            </w:rPr>
            <w:instrText xml:space="preserve"> HYPERLINK \l "_Toc22158" </w:instrText>
          </w:r>
          <w:r>
            <w:rPr>
              <w:color w:val="auto"/>
            </w:rPr>
            <w:fldChar w:fldCharType="separate"/>
          </w:r>
          <w:r>
            <w:rPr>
              <w:rFonts w:hint="eastAsia" w:ascii="宋体" w:hAnsi="宋体"/>
              <w:bCs/>
              <w:color w:val="auto"/>
              <w:szCs w:val="32"/>
            </w:rPr>
            <w:t>第四章 产业布局</w:t>
          </w:r>
          <w:r>
            <w:rPr>
              <w:color w:val="auto"/>
            </w:rPr>
            <w:tab/>
          </w:r>
          <w:r>
            <w:rPr>
              <w:color w:val="auto"/>
            </w:rPr>
            <w:fldChar w:fldCharType="begin"/>
          </w:r>
          <w:r>
            <w:rPr>
              <w:color w:val="auto"/>
            </w:rPr>
            <w:instrText xml:space="preserve"> PAGEREF _Toc22158 \h </w:instrText>
          </w:r>
          <w:r>
            <w:rPr>
              <w:color w:val="auto"/>
            </w:rPr>
            <w:fldChar w:fldCharType="separate"/>
          </w:r>
          <w:r>
            <w:rPr>
              <w:color w:val="auto"/>
            </w:rPr>
            <w:t>2923</w:t>
          </w:r>
          <w:r>
            <w:rPr>
              <w:color w:val="auto"/>
            </w:rPr>
            <w:fldChar w:fldCharType="end"/>
          </w:r>
          <w:r>
            <w:rPr>
              <w:color w:val="auto"/>
            </w:rPr>
            <w:fldChar w:fldCharType="end"/>
          </w:r>
        </w:p>
        <w:p w14:paraId="7C54FC64">
          <w:pPr>
            <w:pStyle w:val="15"/>
            <w:tabs>
              <w:tab w:val="right" w:leader="dot" w:pos="8306"/>
            </w:tabs>
            <w:rPr>
              <w:color w:val="auto"/>
            </w:rPr>
          </w:pPr>
          <w:r>
            <w:rPr>
              <w:color w:val="auto"/>
            </w:rPr>
            <w:fldChar w:fldCharType="begin"/>
          </w:r>
          <w:r>
            <w:rPr>
              <w:color w:val="auto"/>
            </w:rPr>
            <w:instrText xml:space="preserve"> HYPERLINK \l "_Toc21306" </w:instrText>
          </w:r>
          <w:r>
            <w:rPr>
              <w:color w:val="auto"/>
            </w:rPr>
            <w:fldChar w:fldCharType="separate"/>
          </w:r>
          <w:r>
            <w:rPr>
              <w:rFonts w:hint="eastAsia" w:ascii="宋体" w:hAnsi="宋体"/>
              <w:bCs/>
              <w:color w:val="auto"/>
              <w:szCs w:val="32"/>
            </w:rPr>
            <w:t>第五章 主要任务</w:t>
          </w:r>
          <w:r>
            <w:rPr>
              <w:color w:val="auto"/>
            </w:rPr>
            <w:tab/>
          </w:r>
          <w:r>
            <w:rPr>
              <w:color w:val="auto"/>
            </w:rPr>
            <w:fldChar w:fldCharType="begin"/>
          </w:r>
          <w:r>
            <w:rPr>
              <w:color w:val="auto"/>
            </w:rPr>
            <w:instrText xml:space="preserve"> PAGEREF _Toc21306 \h </w:instrText>
          </w:r>
          <w:r>
            <w:rPr>
              <w:color w:val="auto"/>
            </w:rPr>
            <w:fldChar w:fldCharType="separate"/>
          </w:r>
          <w:r>
            <w:rPr>
              <w:color w:val="auto"/>
            </w:rPr>
            <w:t>3125</w:t>
          </w:r>
          <w:r>
            <w:rPr>
              <w:color w:val="auto"/>
            </w:rPr>
            <w:fldChar w:fldCharType="end"/>
          </w:r>
          <w:r>
            <w:rPr>
              <w:color w:val="auto"/>
            </w:rPr>
            <w:fldChar w:fldCharType="end"/>
          </w:r>
        </w:p>
        <w:p w14:paraId="64CBE609">
          <w:pPr>
            <w:pStyle w:val="16"/>
            <w:tabs>
              <w:tab w:val="right" w:leader="dot" w:pos="8306"/>
            </w:tabs>
            <w:rPr>
              <w:color w:val="auto"/>
            </w:rPr>
          </w:pPr>
          <w:r>
            <w:rPr>
              <w:color w:val="auto"/>
            </w:rPr>
            <w:fldChar w:fldCharType="begin"/>
          </w:r>
          <w:r>
            <w:rPr>
              <w:color w:val="auto"/>
            </w:rPr>
            <w:instrText xml:space="preserve"> HYPERLINK \l "_Toc23083" </w:instrText>
          </w:r>
          <w:r>
            <w:rPr>
              <w:color w:val="auto"/>
            </w:rPr>
            <w:fldChar w:fldCharType="separate"/>
          </w:r>
          <w:r>
            <w:rPr>
              <w:rFonts w:hint="eastAsia"/>
              <w:color w:val="auto"/>
            </w:rPr>
            <w:t>5.1 优化提升竹林培育产业</w:t>
          </w:r>
          <w:r>
            <w:rPr>
              <w:color w:val="auto"/>
            </w:rPr>
            <w:tab/>
          </w:r>
          <w:r>
            <w:rPr>
              <w:color w:val="auto"/>
            </w:rPr>
            <w:fldChar w:fldCharType="begin"/>
          </w:r>
          <w:r>
            <w:rPr>
              <w:color w:val="auto"/>
            </w:rPr>
            <w:instrText xml:space="preserve"> PAGEREF _Toc23083 \h </w:instrText>
          </w:r>
          <w:r>
            <w:rPr>
              <w:color w:val="auto"/>
            </w:rPr>
            <w:fldChar w:fldCharType="separate"/>
          </w:r>
          <w:r>
            <w:rPr>
              <w:color w:val="auto"/>
            </w:rPr>
            <w:t>3125</w:t>
          </w:r>
          <w:r>
            <w:rPr>
              <w:color w:val="auto"/>
            </w:rPr>
            <w:fldChar w:fldCharType="end"/>
          </w:r>
          <w:r>
            <w:rPr>
              <w:color w:val="auto"/>
            </w:rPr>
            <w:fldChar w:fldCharType="end"/>
          </w:r>
        </w:p>
        <w:p w14:paraId="4AA404BE">
          <w:pPr>
            <w:pStyle w:val="16"/>
            <w:tabs>
              <w:tab w:val="right" w:leader="dot" w:pos="8306"/>
            </w:tabs>
            <w:rPr>
              <w:color w:val="auto"/>
            </w:rPr>
          </w:pPr>
          <w:r>
            <w:rPr>
              <w:color w:val="auto"/>
            </w:rPr>
            <w:fldChar w:fldCharType="begin"/>
          </w:r>
          <w:r>
            <w:rPr>
              <w:color w:val="auto"/>
            </w:rPr>
            <w:instrText xml:space="preserve"> HYPERLINK \l "_Toc21164" </w:instrText>
          </w:r>
          <w:r>
            <w:rPr>
              <w:color w:val="auto"/>
            </w:rPr>
            <w:fldChar w:fldCharType="separate"/>
          </w:r>
          <w:r>
            <w:rPr>
              <w:rFonts w:hint="eastAsia"/>
              <w:color w:val="auto"/>
            </w:rPr>
            <w:t>5.2 加快发展竹木加工产业</w:t>
          </w:r>
          <w:r>
            <w:rPr>
              <w:color w:val="auto"/>
            </w:rPr>
            <w:tab/>
          </w:r>
          <w:r>
            <w:rPr>
              <w:color w:val="auto"/>
            </w:rPr>
            <w:fldChar w:fldCharType="begin"/>
          </w:r>
          <w:r>
            <w:rPr>
              <w:color w:val="auto"/>
            </w:rPr>
            <w:instrText xml:space="preserve"> PAGEREF _Toc21164 \h </w:instrText>
          </w:r>
          <w:r>
            <w:rPr>
              <w:color w:val="auto"/>
            </w:rPr>
            <w:fldChar w:fldCharType="separate"/>
          </w:r>
          <w:r>
            <w:rPr>
              <w:color w:val="auto"/>
            </w:rPr>
            <w:t>3428</w:t>
          </w:r>
          <w:r>
            <w:rPr>
              <w:color w:val="auto"/>
            </w:rPr>
            <w:fldChar w:fldCharType="end"/>
          </w:r>
          <w:r>
            <w:rPr>
              <w:color w:val="auto"/>
            </w:rPr>
            <w:fldChar w:fldCharType="end"/>
          </w:r>
        </w:p>
        <w:p w14:paraId="4E91F4B5">
          <w:pPr>
            <w:pStyle w:val="16"/>
            <w:tabs>
              <w:tab w:val="right" w:leader="dot" w:pos="8306"/>
            </w:tabs>
            <w:rPr>
              <w:color w:val="auto"/>
            </w:rPr>
          </w:pPr>
          <w:r>
            <w:rPr>
              <w:color w:val="auto"/>
            </w:rPr>
            <w:fldChar w:fldCharType="begin"/>
          </w:r>
          <w:r>
            <w:rPr>
              <w:color w:val="auto"/>
            </w:rPr>
            <w:instrText xml:space="preserve"> HYPERLINK \l "_Toc29848" </w:instrText>
          </w:r>
          <w:r>
            <w:rPr>
              <w:color w:val="auto"/>
            </w:rPr>
            <w:fldChar w:fldCharType="separate"/>
          </w:r>
          <w:r>
            <w:rPr>
              <w:rFonts w:hint="eastAsia"/>
              <w:color w:val="auto"/>
            </w:rPr>
            <w:t>5.3 加大培育竹木文旅产业</w:t>
          </w:r>
          <w:r>
            <w:rPr>
              <w:color w:val="auto"/>
            </w:rPr>
            <w:tab/>
          </w:r>
          <w:r>
            <w:rPr>
              <w:color w:val="auto"/>
            </w:rPr>
            <w:fldChar w:fldCharType="begin"/>
          </w:r>
          <w:r>
            <w:rPr>
              <w:color w:val="auto"/>
            </w:rPr>
            <w:instrText xml:space="preserve"> PAGEREF _Toc29848 \h </w:instrText>
          </w:r>
          <w:r>
            <w:rPr>
              <w:color w:val="auto"/>
            </w:rPr>
            <w:fldChar w:fldCharType="separate"/>
          </w:r>
          <w:r>
            <w:rPr>
              <w:color w:val="auto"/>
            </w:rPr>
            <w:t>3832</w:t>
          </w:r>
          <w:r>
            <w:rPr>
              <w:color w:val="auto"/>
            </w:rPr>
            <w:fldChar w:fldCharType="end"/>
          </w:r>
          <w:r>
            <w:rPr>
              <w:color w:val="auto"/>
            </w:rPr>
            <w:fldChar w:fldCharType="end"/>
          </w:r>
        </w:p>
        <w:p w14:paraId="4B942C10">
          <w:pPr>
            <w:pStyle w:val="15"/>
            <w:tabs>
              <w:tab w:val="right" w:leader="dot" w:pos="8306"/>
            </w:tabs>
            <w:rPr>
              <w:color w:val="auto"/>
            </w:rPr>
          </w:pPr>
          <w:r>
            <w:rPr>
              <w:color w:val="auto"/>
            </w:rPr>
            <w:fldChar w:fldCharType="begin"/>
          </w:r>
          <w:r>
            <w:rPr>
              <w:color w:val="auto"/>
            </w:rPr>
            <w:instrText xml:space="preserve"> HYPERLINK \l "_Toc4669" </w:instrText>
          </w:r>
          <w:r>
            <w:rPr>
              <w:color w:val="auto"/>
            </w:rPr>
            <w:fldChar w:fldCharType="separate"/>
          </w:r>
          <w:r>
            <w:rPr>
              <w:rFonts w:hint="eastAsia" w:ascii="宋体" w:hAnsi="宋体"/>
              <w:bCs/>
              <w:color w:val="auto"/>
              <w:szCs w:val="32"/>
            </w:rPr>
            <w:t>第六章 重点工程</w:t>
          </w:r>
          <w:r>
            <w:rPr>
              <w:color w:val="auto"/>
            </w:rPr>
            <w:tab/>
          </w:r>
          <w:r>
            <w:rPr>
              <w:color w:val="auto"/>
            </w:rPr>
            <w:fldChar w:fldCharType="begin"/>
          </w:r>
          <w:r>
            <w:rPr>
              <w:color w:val="auto"/>
            </w:rPr>
            <w:instrText xml:space="preserve"> PAGEREF _Toc4669 \h </w:instrText>
          </w:r>
          <w:r>
            <w:rPr>
              <w:color w:val="auto"/>
            </w:rPr>
            <w:fldChar w:fldCharType="separate"/>
          </w:r>
          <w:r>
            <w:rPr>
              <w:color w:val="auto"/>
            </w:rPr>
            <w:t>4135</w:t>
          </w:r>
          <w:r>
            <w:rPr>
              <w:color w:val="auto"/>
            </w:rPr>
            <w:fldChar w:fldCharType="end"/>
          </w:r>
          <w:r>
            <w:rPr>
              <w:color w:val="auto"/>
            </w:rPr>
            <w:fldChar w:fldCharType="end"/>
          </w:r>
        </w:p>
        <w:p w14:paraId="58E0F78E">
          <w:pPr>
            <w:pStyle w:val="16"/>
            <w:tabs>
              <w:tab w:val="right" w:leader="dot" w:pos="8306"/>
            </w:tabs>
            <w:rPr>
              <w:color w:val="auto"/>
            </w:rPr>
          </w:pPr>
          <w:r>
            <w:rPr>
              <w:color w:val="auto"/>
            </w:rPr>
            <w:fldChar w:fldCharType="begin"/>
          </w:r>
          <w:r>
            <w:rPr>
              <w:color w:val="auto"/>
            </w:rPr>
            <w:instrText xml:space="preserve"> HYPERLINK \l "_Toc32265" </w:instrText>
          </w:r>
          <w:r>
            <w:rPr>
              <w:color w:val="auto"/>
            </w:rPr>
            <w:fldChar w:fldCharType="separate"/>
          </w:r>
          <w:r>
            <w:rPr>
              <w:rFonts w:hint="eastAsia"/>
              <w:color w:val="auto"/>
            </w:rPr>
            <w:t>6.1 特色笋用竹引种栽培示范工程</w:t>
          </w:r>
          <w:r>
            <w:rPr>
              <w:color w:val="auto"/>
            </w:rPr>
            <w:tab/>
          </w:r>
          <w:r>
            <w:rPr>
              <w:color w:val="auto"/>
            </w:rPr>
            <w:fldChar w:fldCharType="begin"/>
          </w:r>
          <w:r>
            <w:rPr>
              <w:color w:val="auto"/>
            </w:rPr>
            <w:instrText xml:space="preserve"> PAGEREF _Toc32265 \h </w:instrText>
          </w:r>
          <w:r>
            <w:rPr>
              <w:color w:val="auto"/>
            </w:rPr>
            <w:fldChar w:fldCharType="separate"/>
          </w:r>
          <w:r>
            <w:rPr>
              <w:color w:val="auto"/>
            </w:rPr>
            <w:t>4135</w:t>
          </w:r>
          <w:r>
            <w:rPr>
              <w:color w:val="auto"/>
            </w:rPr>
            <w:fldChar w:fldCharType="end"/>
          </w:r>
          <w:r>
            <w:rPr>
              <w:color w:val="auto"/>
            </w:rPr>
            <w:fldChar w:fldCharType="end"/>
          </w:r>
        </w:p>
        <w:p w14:paraId="23CF847D">
          <w:pPr>
            <w:pStyle w:val="16"/>
            <w:tabs>
              <w:tab w:val="right" w:leader="dot" w:pos="8306"/>
            </w:tabs>
            <w:rPr>
              <w:color w:val="auto"/>
            </w:rPr>
          </w:pPr>
          <w:r>
            <w:rPr>
              <w:color w:val="auto"/>
            </w:rPr>
            <w:fldChar w:fldCharType="begin"/>
          </w:r>
          <w:r>
            <w:rPr>
              <w:color w:val="auto"/>
            </w:rPr>
            <w:instrText xml:space="preserve"> HYPERLINK \l "_Toc16291" </w:instrText>
          </w:r>
          <w:r>
            <w:rPr>
              <w:color w:val="auto"/>
            </w:rPr>
            <w:fldChar w:fldCharType="separate"/>
          </w:r>
          <w:r>
            <w:rPr>
              <w:rFonts w:hint="eastAsia"/>
              <w:color w:val="auto"/>
            </w:rPr>
            <w:t>6.2竹林FSC认证基地创建工程</w:t>
          </w:r>
          <w:r>
            <w:rPr>
              <w:color w:val="auto"/>
            </w:rPr>
            <w:tab/>
          </w:r>
          <w:r>
            <w:rPr>
              <w:color w:val="auto"/>
            </w:rPr>
            <w:fldChar w:fldCharType="begin"/>
          </w:r>
          <w:r>
            <w:rPr>
              <w:color w:val="auto"/>
            </w:rPr>
            <w:instrText xml:space="preserve"> PAGEREF _Toc16291 \h </w:instrText>
          </w:r>
          <w:r>
            <w:rPr>
              <w:color w:val="auto"/>
            </w:rPr>
            <w:fldChar w:fldCharType="separate"/>
          </w:r>
          <w:r>
            <w:rPr>
              <w:color w:val="auto"/>
            </w:rPr>
            <w:t>4236</w:t>
          </w:r>
          <w:r>
            <w:rPr>
              <w:color w:val="auto"/>
            </w:rPr>
            <w:fldChar w:fldCharType="end"/>
          </w:r>
          <w:r>
            <w:rPr>
              <w:color w:val="auto"/>
            </w:rPr>
            <w:fldChar w:fldCharType="end"/>
          </w:r>
        </w:p>
        <w:p w14:paraId="10423B5B">
          <w:pPr>
            <w:pStyle w:val="16"/>
            <w:tabs>
              <w:tab w:val="right" w:leader="dot" w:pos="8306"/>
            </w:tabs>
            <w:rPr>
              <w:color w:val="auto"/>
            </w:rPr>
          </w:pPr>
          <w:r>
            <w:rPr>
              <w:color w:val="auto"/>
            </w:rPr>
            <w:fldChar w:fldCharType="begin"/>
          </w:r>
          <w:r>
            <w:rPr>
              <w:color w:val="auto"/>
            </w:rPr>
            <w:instrText xml:space="preserve"> HYPERLINK \l "_Toc12871" </w:instrText>
          </w:r>
          <w:r>
            <w:rPr>
              <w:color w:val="auto"/>
            </w:rPr>
            <w:fldChar w:fldCharType="separate"/>
          </w:r>
          <w:r>
            <w:rPr>
              <w:rFonts w:hint="eastAsia"/>
              <w:color w:val="auto"/>
            </w:rPr>
            <w:t>6.3省级林业机械创新试验示范基地创建工程</w:t>
          </w:r>
          <w:r>
            <w:rPr>
              <w:color w:val="auto"/>
            </w:rPr>
            <w:tab/>
          </w:r>
          <w:r>
            <w:rPr>
              <w:color w:val="auto"/>
            </w:rPr>
            <w:fldChar w:fldCharType="begin"/>
          </w:r>
          <w:r>
            <w:rPr>
              <w:color w:val="auto"/>
            </w:rPr>
            <w:instrText xml:space="preserve"> PAGEREF _Toc12871 \h </w:instrText>
          </w:r>
          <w:r>
            <w:rPr>
              <w:color w:val="auto"/>
            </w:rPr>
            <w:fldChar w:fldCharType="separate"/>
          </w:r>
          <w:r>
            <w:rPr>
              <w:color w:val="auto"/>
            </w:rPr>
            <w:t>4236</w:t>
          </w:r>
          <w:r>
            <w:rPr>
              <w:color w:val="auto"/>
            </w:rPr>
            <w:fldChar w:fldCharType="end"/>
          </w:r>
          <w:r>
            <w:rPr>
              <w:color w:val="auto"/>
            </w:rPr>
            <w:fldChar w:fldCharType="end"/>
          </w:r>
        </w:p>
        <w:p w14:paraId="42DF0C52">
          <w:pPr>
            <w:pStyle w:val="16"/>
            <w:tabs>
              <w:tab w:val="right" w:leader="dot" w:pos="8306"/>
            </w:tabs>
            <w:rPr>
              <w:color w:val="auto"/>
            </w:rPr>
          </w:pPr>
          <w:r>
            <w:rPr>
              <w:color w:val="auto"/>
            </w:rPr>
            <w:fldChar w:fldCharType="begin"/>
          </w:r>
          <w:r>
            <w:rPr>
              <w:color w:val="auto"/>
            </w:rPr>
            <w:instrText xml:space="preserve"> HYPERLINK \l "_Toc8369" </w:instrText>
          </w:r>
          <w:r>
            <w:rPr>
              <w:color w:val="auto"/>
            </w:rPr>
            <w:fldChar w:fldCharType="separate"/>
          </w:r>
          <w:r>
            <w:rPr>
              <w:rFonts w:hint="eastAsia"/>
              <w:color w:val="auto"/>
            </w:rPr>
            <w:t>6.4以竹代塑行动工程</w:t>
          </w:r>
          <w:r>
            <w:rPr>
              <w:color w:val="auto"/>
            </w:rPr>
            <w:tab/>
          </w:r>
          <w:r>
            <w:rPr>
              <w:color w:val="auto"/>
            </w:rPr>
            <w:fldChar w:fldCharType="begin"/>
          </w:r>
          <w:r>
            <w:rPr>
              <w:color w:val="auto"/>
            </w:rPr>
            <w:instrText xml:space="preserve"> PAGEREF _Toc8369 \h </w:instrText>
          </w:r>
          <w:r>
            <w:rPr>
              <w:color w:val="auto"/>
            </w:rPr>
            <w:fldChar w:fldCharType="separate"/>
          </w:r>
          <w:r>
            <w:rPr>
              <w:color w:val="auto"/>
            </w:rPr>
            <w:t>4337</w:t>
          </w:r>
          <w:r>
            <w:rPr>
              <w:color w:val="auto"/>
            </w:rPr>
            <w:fldChar w:fldCharType="end"/>
          </w:r>
          <w:r>
            <w:rPr>
              <w:color w:val="auto"/>
            </w:rPr>
            <w:fldChar w:fldCharType="end"/>
          </w:r>
        </w:p>
        <w:p w14:paraId="467CC653">
          <w:pPr>
            <w:pStyle w:val="16"/>
            <w:tabs>
              <w:tab w:val="right" w:leader="dot" w:pos="8306"/>
            </w:tabs>
            <w:rPr>
              <w:color w:val="auto"/>
            </w:rPr>
          </w:pPr>
          <w:r>
            <w:rPr>
              <w:color w:val="auto"/>
            </w:rPr>
            <w:fldChar w:fldCharType="begin"/>
          </w:r>
          <w:r>
            <w:rPr>
              <w:color w:val="auto"/>
            </w:rPr>
            <w:instrText xml:space="preserve"> HYPERLINK \l "_Toc31841" </w:instrText>
          </w:r>
          <w:r>
            <w:rPr>
              <w:color w:val="auto"/>
            </w:rPr>
            <w:fldChar w:fldCharType="separate"/>
          </w:r>
          <w:r>
            <w:rPr>
              <w:rFonts w:hint="eastAsia"/>
              <w:color w:val="auto"/>
            </w:rPr>
            <w:t>6.5竹材初加工点建设工程</w:t>
          </w:r>
          <w:r>
            <w:rPr>
              <w:color w:val="auto"/>
            </w:rPr>
            <w:tab/>
          </w:r>
          <w:r>
            <w:rPr>
              <w:color w:val="auto"/>
            </w:rPr>
            <w:fldChar w:fldCharType="begin"/>
          </w:r>
          <w:r>
            <w:rPr>
              <w:color w:val="auto"/>
            </w:rPr>
            <w:instrText xml:space="preserve"> PAGEREF _Toc31841 \h </w:instrText>
          </w:r>
          <w:r>
            <w:rPr>
              <w:color w:val="auto"/>
            </w:rPr>
            <w:fldChar w:fldCharType="separate"/>
          </w:r>
          <w:r>
            <w:rPr>
              <w:color w:val="auto"/>
            </w:rPr>
            <w:t>4539</w:t>
          </w:r>
          <w:r>
            <w:rPr>
              <w:color w:val="auto"/>
            </w:rPr>
            <w:fldChar w:fldCharType="end"/>
          </w:r>
          <w:r>
            <w:rPr>
              <w:color w:val="auto"/>
            </w:rPr>
            <w:fldChar w:fldCharType="end"/>
          </w:r>
        </w:p>
        <w:p w14:paraId="649D2530">
          <w:pPr>
            <w:pStyle w:val="16"/>
            <w:tabs>
              <w:tab w:val="right" w:leader="dot" w:pos="8306"/>
            </w:tabs>
            <w:rPr>
              <w:color w:val="auto"/>
            </w:rPr>
          </w:pPr>
          <w:r>
            <w:rPr>
              <w:color w:val="auto"/>
            </w:rPr>
            <w:fldChar w:fldCharType="begin"/>
          </w:r>
          <w:r>
            <w:rPr>
              <w:color w:val="auto"/>
            </w:rPr>
            <w:instrText xml:space="preserve"> HYPERLINK \l "_Toc18102" </w:instrText>
          </w:r>
          <w:r>
            <w:rPr>
              <w:color w:val="auto"/>
            </w:rPr>
            <w:fldChar w:fldCharType="separate"/>
          </w:r>
          <w:r>
            <w:rPr>
              <w:rFonts w:hint="eastAsia"/>
              <w:color w:val="auto"/>
            </w:rPr>
            <w:t>6.6竹木产品新质生产力提升工程</w:t>
          </w:r>
          <w:r>
            <w:rPr>
              <w:color w:val="auto"/>
            </w:rPr>
            <w:tab/>
          </w:r>
          <w:r>
            <w:rPr>
              <w:color w:val="auto"/>
            </w:rPr>
            <w:fldChar w:fldCharType="begin"/>
          </w:r>
          <w:r>
            <w:rPr>
              <w:color w:val="auto"/>
            </w:rPr>
            <w:instrText xml:space="preserve"> PAGEREF _Toc18102 \h </w:instrText>
          </w:r>
          <w:r>
            <w:rPr>
              <w:color w:val="auto"/>
            </w:rPr>
            <w:fldChar w:fldCharType="separate"/>
          </w:r>
          <w:r>
            <w:rPr>
              <w:color w:val="auto"/>
            </w:rPr>
            <w:t>4640</w:t>
          </w:r>
          <w:r>
            <w:rPr>
              <w:color w:val="auto"/>
            </w:rPr>
            <w:fldChar w:fldCharType="end"/>
          </w:r>
          <w:r>
            <w:rPr>
              <w:color w:val="auto"/>
            </w:rPr>
            <w:fldChar w:fldCharType="end"/>
          </w:r>
        </w:p>
        <w:p w14:paraId="02802CC5">
          <w:pPr>
            <w:pStyle w:val="16"/>
            <w:tabs>
              <w:tab w:val="right" w:leader="dot" w:pos="8306"/>
            </w:tabs>
            <w:rPr>
              <w:color w:val="auto"/>
            </w:rPr>
          </w:pPr>
          <w:r>
            <w:rPr>
              <w:color w:val="auto"/>
            </w:rPr>
            <w:fldChar w:fldCharType="begin"/>
          </w:r>
          <w:r>
            <w:rPr>
              <w:color w:val="auto"/>
            </w:rPr>
            <w:instrText xml:space="preserve"> HYPERLINK \l "_Toc6395" </w:instrText>
          </w:r>
          <w:r>
            <w:rPr>
              <w:color w:val="auto"/>
            </w:rPr>
            <w:fldChar w:fldCharType="separate"/>
          </w:r>
          <w:r>
            <w:rPr>
              <w:rFonts w:hint="eastAsia"/>
              <w:color w:val="auto"/>
            </w:rPr>
            <w:t>6.7</w:t>
          </w:r>
          <w:r>
            <w:rPr>
              <w:rFonts w:hint="eastAsia" w:ascii="宋体" w:hAnsi="宋体"/>
              <w:bCs/>
              <w:color w:val="auto"/>
              <w:kern w:val="44"/>
              <w:szCs w:val="28"/>
            </w:rPr>
            <w:t>特色</w:t>
          </w:r>
          <w:r>
            <w:rPr>
              <w:rFonts w:hint="eastAsia"/>
              <w:color w:val="auto"/>
            </w:rPr>
            <w:t>品牌创建工程</w:t>
          </w:r>
          <w:r>
            <w:rPr>
              <w:color w:val="auto"/>
            </w:rPr>
            <w:tab/>
          </w:r>
          <w:r>
            <w:rPr>
              <w:color w:val="auto"/>
            </w:rPr>
            <w:fldChar w:fldCharType="begin"/>
          </w:r>
          <w:r>
            <w:rPr>
              <w:color w:val="auto"/>
            </w:rPr>
            <w:instrText xml:space="preserve"> PAGEREF _Toc6395 \h </w:instrText>
          </w:r>
          <w:r>
            <w:rPr>
              <w:color w:val="auto"/>
            </w:rPr>
            <w:fldChar w:fldCharType="separate"/>
          </w:r>
          <w:r>
            <w:rPr>
              <w:color w:val="auto"/>
            </w:rPr>
            <w:t>4842</w:t>
          </w:r>
          <w:r>
            <w:rPr>
              <w:color w:val="auto"/>
            </w:rPr>
            <w:fldChar w:fldCharType="end"/>
          </w:r>
          <w:r>
            <w:rPr>
              <w:color w:val="auto"/>
            </w:rPr>
            <w:fldChar w:fldCharType="end"/>
          </w:r>
        </w:p>
        <w:p w14:paraId="1B863EB5">
          <w:pPr>
            <w:pStyle w:val="16"/>
            <w:tabs>
              <w:tab w:val="right" w:leader="dot" w:pos="8306"/>
            </w:tabs>
            <w:rPr>
              <w:color w:val="auto"/>
            </w:rPr>
          </w:pPr>
          <w:r>
            <w:rPr>
              <w:color w:val="auto"/>
            </w:rPr>
            <w:fldChar w:fldCharType="begin"/>
          </w:r>
          <w:r>
            <w:rPr>
              <w:color w:val="auto"/>
            </w:rPr>
            <w:instrText xml:space="preserve"> HYPERLINK \l "_Toc29196" </w:instrText>
          </w:r>
          <w:r>
            <w:rPr>
              <w:color w:val="auto"/>
            </w:rPr>
            <w:fldChar w:fldCharType="separate"/>
          </w:r>
          <w:r>
            <w:rPr>
              <w:rFonts w:hint="eastAsia"/>
              <w:color w:val="auto"/>
            </w:rPr>
            <w:t>6.8</w:t>
          </w:r>
          <w:r>
            <w:rPr>
              <w:rFonts w:hint="eastAsia" w:ascii="宋体" w:hAnsi="宋体"/>
              <w:bCs/>
              <w:color w:val="auto"/>
              <w:kern w:val="44"/>
              <w:szCs w:val="28"/>
            </w:rPr>
            <w:t>龙头企业引领带动行动</w:t>
          </w:r>
          <w:r>
            <w:rPr>
              <w:rFonts w:hint="eastAsia"/>
              <w:color w:val="auto"/>
            </w:rPr>
            <w:t>工程</w:t>
          </w:r>
          <w:r>
            <w:rPr>
              <w:color w:val="auto"/>
            </w:rPr>
            <w:tab/>
          </w:r>
          <w:r>
            <w:rPr>
              <w:color w:val="auto"/>
            </w:rPr>
            <w:fldChar w:fldCharType="begin"/>
          </w:r>
          <w:r>
            <w:rPr>
              <w:color w:val="auto"/>
            </w:rPr>
            <w:instrText xml:space="preserve"> PAGEREF _Toc29196 \h </w:instrText>
          </w:r>
          <w:r>
            <w:rPr>
              <w:color w:val="auto"/>
            </w:rPr>
            <w:fldChar w:fldCharType="separate"/>
          </w:r>
          <w:r>
            <w:rPr>
              <w:color w:val="auto"/>
            </w:rPr>
            <w:t>4943</w:t>
          </w:r>
          <w:r>
            <w:rPr>
              <w:color w:val="auto"/>
            </w:rPr>
            <w:fldChar w:fldCharType="end"/>
          </w:r>
          <w:r>
            <w:rPr>
              <w:color w:val="auto"/>
            </w:rPr>
            <w:fldChar w:fldCharType="end"/>
          </w:r>
        </w:p>
        <w:p w14:paraId="65B04C31">
          <w:pPr>
            <w:pStyle w:val="15"/>
            <w:tabs>
              <w:tab w:val="right" w:leader="dot" w:pos="8306"/>
            </w:tabs>
            <w:rPr>
              <w:color w:val="auto"/>
            </w:rPr>
          </w:pPr>
          <w:r>
            <w:rPr>
              <w:color w:val="auto"/>
            </w:rPr>
            <w:fldChar w:fldCharType="begin"/>
          </w:r>
          <w:r>
            <w:rPr>
              <w:color w:val="auto"/>
            </w:rPr>
            <w:instrText xml:space="preserve"> HYPERLINK \l "_Toc3112" </w:instrText>
          </w:r>
          <w:r>
            <w:rPr>
              <w:color w:val="auto"/>
            </w:rPr>
            <w:fldChar w:fldCharType="separate"/>
          </w:r>
          <w:r>
            <w:rPr>
              <w:rFonts w:hint="eastAsia" w:ascii="宋体" w:hAnsi="宋体"/>
              <w:bCs/>
              <w:color w:val="auto"/>
              <w:szCs w:val="32"/>
            </w:rPr>
            <w:t>第七章 投资概算与效益分析</w:t>
          </w:r>
          <w:r>
            <w:rPr>
              <w:color w:val="auto"/>
            </w:rPr>
            <w:tab/>
          </w:r>
          <w:r>
            <w:rPr>
              <w:color w:val="auto"/>
            </w:rPr>
            <w:fldChar w:fldCharType="begin"/>
          </w:r>
          <w:r>
            <w:rPr>
              <w:color w:val="auto"/>
            </w:rPr>
            <w:instrText xml:space="preserve"> PAGEREF _Toc3112 \h </w:instrText>
          </w:r>
          <w:r>
            <w:rPr>
              <w:color w:val="auto"/>
            </w:rPr>
            <w:fldChar w:fldCharType="separate"/>
          </w:r>
          <w:r>
            <w:rPr>
              <w:color w:val="auto"/>
            </w:rPr>
            <w:t>5145</w:t>
          </w:r>
          <w:r>
            <w:rPr>
              <w:color w:val="auto"/>
            </w:rPr>
            <w:fldChar w:fldCharType="end"/>
          </w:r>
          <w:r>
            <w:rPr>
              <w:color w:val="auto"/>
            </w:rPr>
            <w:fldChar w:fldCharType="end"/>
          </w:r>
        </w:p>
        <w:p w14:paraId="6031591C">
          <w:pPr>
            <w:pStyle w:val="16"/>
            <w:tabs>
              <w:tab w:val="right" w:leader="dot" w:pos="8306"/>
            </w:tabs>
            <w:rPr>
              <w:color w:val="auto"/>
            </w:rPr>
          </w:pPr>
          <w:r>
            <w:rPr>
              <w:color w:val="auto"/>
            </w:rPr>
            <w:fldChar w:fldCharType="begin"/>
          </w:r>
          <w:r>
            <w:rPr>
              <w:color w:val="auto"/>
            </w:rPr>
            <w:instrText xml:space="preserve"> HYPERLINK \l "_Toc20250" </w:instrText>
          </w:r>
          <w:r>
            <w:rPr>
              <w:color w:val="auto"/>
            </w:rPr>
            <w:fldChar w:fldCharType="separate"/>
          </w:r>
          <w:r>
            <w:rPr>
              <w:rFonts w:hint="eastAsia"/>
              <w:color w:val="auto"/>
            </w:rPr>
            <w:t>7.1投资概算</w:t>
          </w:r>
          <w:r>
            <w:rPr>
              <w:color w:val="auto"/>
            </w:rPr>
            <w:tab/>
          </w:r>
          <w:r>
            <w:rPr>
              <w:color w:val="auto"/>
            </w:rPr>
            <w:fldChar w:fldCharType="begin"/>
          </w:r>
          <w:r>
            <w:rPr>
              <w:color w:val="auto"/>
            </w:rPr>
            <w:instrText xml:space="preserve"> PAGEREF _Toc20250 \h </w:instrText>
          </w:r>
          <w:r>
            <w:rPr>
              <w:color w:val="auto"/>
            </w:rPr>
            <w:fldChar w:fldCharType="separate"/>
          </w:r>
          <w:r>
            <w:rPr>
              <w:color w:val="auto"/>
            </w:rPr>
            <w:t>5145</w:t>
          </w:r>
          <w:r>
            <w:rPr>
              <w:color w:val="auto"/>
            </w:rPr>
            <w:fldChar w:fldCharType="end"/>
          </w:r>
          <w:r>
            <w:rPr>
              <w:color w:val="auto"/>
            </w:rPr>
            <w:fldChar w:fldCharType="end"/>
          </w:r>
        </w:p>
        <w:p w14:paraId="69EC6A8F">
          <w:pPr>
            <w:pStyle w:val="16"/>
            <w:tabs>
              <w:tab w:val="right" w:leader="dot" w:pos="8306"/>
            </w:tabs>
            <w:rPr>
              <w:color w:val="auto"/>
            </w:rPr>
          </w:pPr>
          <w:r>
            <w:rPr>
              <w:color w:val="auto"/>
            </w:rPr>
            <w:fldChar w:fldCharType="begin"/>
          </w:r>
          <w:r>
            <w:rPr>
              <w:color w:val="auto"/>
            </w:rPr>
            <w:instrText xml:space="preserve"> HYPERLINK \l "_Toc3815" </w:instrText>
          </w:r>
          <w:r>
            <w:rPr>
              <w:color w:val="auto"/>
            </w:rPr>
            <w:fldChar w:fldCharType="separate"/>
          </w:r>
          <w:r>
            <w:rPr>
              <w:rFonts w:hint="eastAsia"/>
              <w:color w:val="auto"/>
            </w:rPr>
            <w:t>7.2效益分析</w:t>
          </w:r>
          <w:r>
            <w:rPr>
              <w:color w:val="auto"/>
            </w:rPr>
            <w:tab/>
          </w:r>
          <w:r>
            <w:rPr>
              <w:color w:val="auto"/>
            </w:rPr>
            <w:fldChar w:fldCharType="begin"/>
          </w:r>
          <w:r>
            <w:rPr>
              <w:color w:val="auto"/>
            </w:rPr>
            <w:instrText xml:space="preserve"> PAGEREF _Toc3815 \h </w:instrText>
          </w:r>
          <w:r>
            <w:rPr>
              <w:color w:val="auto"/>
            </w:rPr>
            <w:fldChar w:fldCharType="separate"/>
          </w:r>
          <w:r>
            <w:rPr>
              <w:color w:val="auto"/>
            </w:rPr>
            <w:t>5145</w:t>
          </w:r>
          <w:r>
            <w:rPr>
              <w:color w:val="auto"/>
            </w:rPr>
            <w:fldChar w:fldCharType="end"/>
          </w:r>
          <w:r>
            <w:rPr>
              <w:color w:val="auto"/>
            </w:rPr>
            <w:fldChar w:fldCharType="end"/>
          </w:r>
        </w:p>
        <w:p w14:paraId="20BF787A">
          <w:pPr>
            <w:pStyle w:val="15"/>
            <w:tabs>
              <w:tab w:val="right" w:leader="dot" w:pos="8306"/>
            </w:tabs>
            <w:rPr>
              <w:color w:val="auto"/>
            </w:rPr>
          </w:pPr>
          <w:r>
            <w:rPr>
              <w:color w:val="auto"/>
            </w:rPr>
            <w:fldChar w:fldCharType="begin"/>
          </w:r>
          <w:r>
            <w:rPr>
              <w:color w:val="auto"/>
            </w:rPr>
            <w:instrText xml:space="preserve"> HYPERLINK \l "_Toc16456" </w:instrText>
          </w:r>
          <w:r>
            <w:rPr>
              <w:color w:val="auto"/>
            </w:rPr>
            <w:fldChar w:fldCharType="separate"/>
          </w:r>
          <w:r>
            <w:rPr>
              <w:rFonts w:hint="eastAsia" w:ascii="宋体" w:hAnsi="宋体"/>
              <w:bCs/>
              <w:color w:val="auto"/>
              <w:szCs w:val="32"/>
            </w:rPr>
            <w:t>第八章 保障措施</w:t>
          </w:r>
          <w:r>
            <w:rPr>
              <w:color w:val="auto"/>
            </w:rPr>
            <w:tab/>
          </w:r>
          <w:r>
            <w:rPr>
              <w:color w:val="auto"/>
            </w:rPr>
            <w:fldChar w:fldCharType="begin"/>
          </w:r>
          <w:r>
            <w:rPr>
              <w:color w:val="auto"/>
            </w:rPr>
            <w:instrText xml:space="preserve"> PAGEREF _Toc16456 \h </w:instrText>
          </w:r>
          <w:r>
            <w:rPr>
              <w:color w:val="auto"/>
            </w:rPr>
            <w:fldChar w:fldCharType="separate"/>
          </w:r>
          <w:r>
            <w:rPr>
              <w:color w:val="auto"/>
            </w:rPr>
            <w:t>5448</w:t>
          </w:r>
          <w:r>
            <w:rPr>
              <w:color w:val="auto"/>
            </w:rPr>
            <w:fldChar w:fldCharType="end"/>
          </w:r>
          <w:r>
            <w:rPr>
              <w:color w:val="auto"/>
            </w:rPr>
            <w:fldChar w:fldCharType="end"/>
          </w:r>
        </w:p>
        <w:p w14:paraId="77187D18">
          <w:pPr>
            <w:pStyle w:val="16"/>
            <w:tabs>
              <w:tab w:val="right" w:leader="dot" w:pos="8306"/>
            </w:tabs>
            <w:rPr>
              <w:color w:val="auto"/>
            </w:rPr>
          </w:pPr>
          <w:r>
            <w:rPr>
              <w:color w:val="auto"/>
            </w:rPr>
            <w:fldChar w:fldCharType="begin"/>
          </w:r>
          <w:r>
            <w:rPr>
              <w:color w:val="auto"/>
            </w:rPr>
            <w:instrText xml:space="preserve"> HYPERLINK \l "_Toc31166" </w:instrText>
          </w:r>
          <w:r>
            <w:rPr>
              <w:color w:val="auto"/>
            </w:rPr>
            <w:fldChar w:fldCharType="separate"/>
          </w:r>
          <w:r>
            <w:rPr>
              <w:rFonts w:hint="eastAsia"/>
              <w:color w:val="auto"/>
            </w:rPr>
            <w:t>8.1强化组织领导</w:t>
          </w:r>
          <w:r>
            <w:rPr>
              <w:color w:val="auto"/>
            </w:rPr>
            <w:tab/>
          </w:r>
          <w:r>
            <w:rPr>
              <w:color w:val="auto"/>
            </w:rPr>
            <w:fldChar w:fldCharType="begin"/>
          </w:r>
          <w:r>
            <w:rPr>
              <w:color w:val="auto"/>
            </w:rPr>
            <w:instrText xml:space="preserve"> PAGEREF _Toc31166 \h </w:instrText>
          </w:r>
          <w:r>
            <w:rPr>
              <w:color w:val="auto"/>
            </w:rPr>
            <w:fldChar w:fldCharType="separate"/>
          </w:r>
          <w:r>
            <w:rPr>
              <w:color w:val="auto"/>
            </w:rPr>
            <w:t>5448</w:t>
          </w:r>
          <w:r>
            <w:rPr>
              <w:color w:val="auto"/>
            </w:rPr>
            <w:fldChar w:fldCharType="end"/>
          </w:r>
          <w:r>
            <w:rPr>
              <w:color w:val="auto"/>
            </w:rPr>
            <w:fldChar w:fldCharType="end"/>
          </w:r>
        </w:p>
        <w:p w14:paraId="4407C2C4">
          <w:pPr>
            <w:pStyle w:val="16"/>
            <w:tabs>
              <w:tab w:val="right" w:leader="dot" w:pos="8306"/>
            </w:tabs>
            <w:rPr>
              <w:color w:val="auto"/>
            </w:rPr>
          </w:pPr>
          <w:r>
            <w:rPr>
              <w:color w:val="auto"/>
            </w:rPr>
            <w:fldChar w:fldCharType="begin"/>
          </w:r>
          <w:r>
            <w:rPr>
              <w:color w:val="auto"/>
            </w:rPr>
            <w:instrText xml:space="preserve"> HYPERLINK \l "_Toc17595" </w:instrText>
          </w:r>
          <w:r>
            <w:rPr>
              <w:color w:val="auto"/>
            </w:rPr>
            <w:fldChar w:fldCharType="separate"/>
          </w:r>
          <w:r>
            <w:rPr>
              <w:rFonts w:hint="eastAsia"/>
              <w:color w:val="auto"/>
            </w:rPr>
            <w:t>8.2落实扶持政策</w:t>
          </w:r>
          <w:r>
            <w:rPr>
              <w:color w:val="auto"/>
            </w:rPr>
            <w:tab/>
          </w:r>
          <w:r>
            <w:rPr>
              <w:color w:val="auto"/>
            </w:rPr>
            <w:fldChar w:fldCharType="begin"/>
          </w:r>
          <w:r>
            <w:rPr>
              <w:color w:val="auto"/>
            </w:rPr>
            <w:instrText xml:space="preserve"> PAGEREF _Toc17595 \h </w:instrText>
          </w:r>
          <w:r>
            <w:rPr>
              <w:color w:val="auto"/>
            </w:rPr>
            <w:fldChar w:fldCharType="separate"/>
          </w:r>
          <w:r>
            <w:rPr>
              <w:color w:val="auto"/>
            </w:rPr>
            <w:t>5448</w:t>
          </w:r>
          <w:r>
            <w:rPr>
              <w:color w:val="auto"/>
            </w:rPr>
            <w:fldChar w:fldCharType="end"/>
          </w:r>
          <w:r>
            <w:rPr>
              <w:color w:val="auto"/>
            </w:rPr>
            <w:fldChar w:fldCharType="end"/>
          </w:r>
        </w:p>
        <w:p w14:paraId="37325CF9">
          <w:pPr>
            <w:pStyle w:val="16"/>
            <w:tabs>
              <w:tab w:val="right" w:leader="dot" w:pos="8306"/>
            </w:tabs>
            <w:rPr>
              <w:color w:val="auto"/>
            </w:rPr>
          </w:pPr>
          <w:r>
            <w:rPr>
              <w:color w:val="auto"/>
            </w:rPr>
            <w:fldChar w:fldCharType="begin"/>
          </w:r>
          <w:r>
            <w:rPr>
              <w:color w:val="auto"/>
            </w:rPr>
            <w:instrText xml:space="preserve"> HYPERLINK \l "_Toc7442" </w:instrText>
          </w:r>
          <w:r>
            <w:rPr>
              <w:color w:val="auto"/>
            </w:rPr>
            <w:fldChar w:fldCharType="separate"/>
          </w:r>
          <w:r>
            <w:rPr>
              <w:rFonts w:hint="eastAsia"/>
              <w:color w:val="auto"/>
            </w:rPr>
            <w:t>8.3响应以竹代塑</w:t>
          </w:r>
          <w:r>
            <w:rPr>
              <w:color w:val="auto"/>
            </w:rPr>
            <w:tab/>
          </w:r>
          <w:r>
            <w:rPr>
              <w:color w:val="auto"/>
            </w:rPr>
            <w:fldChar w:fldCharType="begin"/>
          </w:r>
          <w:r>
            <w:rPr>
              <w:color w:val="auto"/>
            </w:rPr>
            <w:instrText xml:space="preserve"> PAGEREF _Toc7442 \h </w:instrText>
          </w:r>
          <w:r>
            <w:rPr>
              <w:color w:val="auto"/>
            </w:rPr>
            <w:fldChar w:fldCharType="separate"/>
          </w:r>
          <w:r>
            <w:rPr>
              <w:color w:val="auto"/>
            </w:rPr>
            <w:t>5448</w:t>
          </w:r>
          <w:r>
            <w:rPr>
              <w:color w:val="auto"/>
            </w:rPr>
            <w:fldChar w:fldCharType="end"/>
          </w:r>
          <w:r>
            <w:rPr>
              <w:color w:val="auto"/>
            </w:rPr>
            <w:fldChar w:fldCharType="end"/>
          </w:r>
        </w:p>
        <w:p w14:paraId="6F81D1B2">
          <w:pPr>
            <w:pStyle w:val="16"/>
            <w:tabs>
              <w:tab w:val="right" w:leader="dot" w:pos="8306"/>
            </w:tabs>
            <w:rPr>
              <w:color w:val="auto"/>
            </w:rPr>
          </w:pPr>
          <w:r>
            <w:rPr>
              <w:color w:val="auto"/>
            </w:rPr>
            <w:fldChar w:fldCharType="begin"/>
          </w:r>
          <w:r>
            <w:rPr>
              <w:color w:val="auto"/>
            </w:rPr>
            <w:instrText xml:space="preserve"> HYPERLINK \l "_Toc18904" </w:instrText>
          </w:r>
          <w:r>
            <w:rPr>
              <w:color w:val="auto"/>
            </w:rPr>
            <w:fldChar w:fldCharType="separate"/>
          </w:r>
          <w:r>
            <w:rPr>
              <w:rFonts w:hint="eastAsia"/>
              <w:color w:val="auto"/>
            </w:rPr>
            <w:t>8.4紧抓绩效考核</w:t>
          </w:r>
          <w:r>
            <w:rPr>
              <w:color w:val="auto"/>
            </w:rPr>
            <w:tab/>
          </w:r>
          <w:r>
            <w:rPr>
              <w:color w:val="auto"/>
            </w:rPr>
            <w:fldChar w:fldCharType="begin"/>
          </w:r>
          <w:r>
            <w:rPr>
              <w:color w:val="auto"/>
            </w:rPr>
            <w:instrText xml:space="preserve"> PAGEREF _Toc18904 \h </w:instrText>
          </w:r>
          <w:r>
            <w:rPr>
              <w:color w:val="auto"/>
            </w:rPr>
            <w:fldChar w:fldCharType="separate"/>
          </w:r>
          <w:r>
            <w:rPr>
              <w:color w:val="auto"/>
            </w:rPr>
            <w:t>5549</w:t>
          </w:r>
          <w:r>
            <w:rPr>
              <w:color w:val="auto"/>
            </w:rPr>
            <w:fldChar w:fldCharType="end"/>
          </w:r>
          <w:r>
            <w:rPr>
              <w:color w:val="auto"/>
            </w:rPr>
            <w:fldChar w:fldCharType="end"/>
          </w:r>
        </w:p>
        <w:p w14:paraId="7C733214">
          <w:pPr>
            <w:pStyle w:val="16"/>
            <w:tabs>
              <w:tab w:val="right" w:leader="dot" w:pos="8306"/>
            </w:tabs>
            <w:rPr>
              <w:color w:val="auto"/>
            </w:rPr>
          </w:pPr>
          <w:r>
            <w:rPr>
              <w:color w:val="auto"/>
            </w:rPr>
            <w:fldChar w:fldCharType="begin"/>
          </w:r>
          <w:r>
            <w:rPr>
              <w:color w:val="auto"/>
            </w:rPr>
            <w:instrText xml:space="preserve"> HYPERLINK \l "_Toc15639" </w:instrText>
          </w:r>
          <w:r>
            <w:rPr>
              <w:color w:val="auto"/>
            </w:rPr>
            <w:fldChar w:fldCharType="separate"/>
          </w:r>
          <w:r>
            <w:rPr>
              <w:rFonts w:hint="eastAsia"/>
              <w:color w:val="auto"/>
            </w:rPr>
            <w:t>8.5加大品牌宣传</w:t>
          </w:r>
          <w:r>
            <w:rPr>
              <w:color w:val="auto"/>
            </w:rPr>
            <w:tab/>
          </w:r>
          <w:r>
            <w:rPr>
              <w:color w:val="auto"/>
            </w:rPr>
            <w:fldChar w:fldCharType="begin"/>
          </w:r>
          <w:r>
            <w:rPr>
              <w:color w:val="auto"/>
            </w:rPr>
            <w:instrText xml:space="preserve"> PAGEREF _Toc15639 \h </w:instrText>
          </w:r>
          <w:r>
            <w:rPr>
              <w:color w:val="auto"/>
            </w:rPr>
            <w:fldChar w:fldCharType="separate"/>
          </w:r>
          <w:r>
            <w:rPr>
              <w:color w:val="auto"/>
            </w:rPr>
            <w:t>5549</w:t>
          </w:r>
          <w:r>
            <w:rPr>
              <w:color w:val="auto"/>
            </w:rPr>
            <w:fldChar w:fldCharType="end"/>
          </w:r>
          <w:r>
            <w:rPr>
              <w:color w:val="auto"/>
            </w:rPr>
            <w:fldChar w:fldCharType="end"/>
          </w:r>
        </w:p>
        <w:p w14:paraId="4CFBF7A5">
          <w:pPr>
            <w:pStyle w:val="16"/>
            <w:tabs>
              <w:tab w:val="right" w:leader="dot" w:pos="8306"/>
            </w:tabs>
            <w:rPr>
              <w:color w:val="auto"/>
            </w:rPr>
          </w:pPr>
          <w:r>
            <w:rPr>
              <w:color w:val="auto"/>
            </w:rPr>
            <w:fldChar w:fldCharType="begin"/>
          </w:r>
          <w:r>
            <w:rPr>
              <w:color w:val="auto"/>
            </w:rPr>
            <w:instrText xml:space="preserve"> HYPERLINK \l "_Toc26067" </w:instrText>
          </w:r>
          <w:r>
            <w:rPr>
              <w:color w:val="auto"/>
            </w:rPr>
            <w:fldChar w:fldCharType="separate"/>
          </w:r>
          <w:r>
            <w:rPr>
              <w:rFonts w:hint="eastAsia"/>
              <w:color w:val="auto"/>
            </w:rPr>
            <w:t>8.6龙头带动产业</w:t>
          </w:r>
          <w:r>
            <w:rPr>
              <w:color w:val="auto"/>
            </w:rPr>
            <w:tab/>
          </w:r>
          <w:r>
            <w:rPr>
              <w:color w:val="auto"/>
            </w:rPr>
            <w:fldChar w:fldCharType="begin"/>
          </w:r>
          <w:r>
            <w:rPr>
              <w:color w:val="auto"/>
            </w:rPr>
            <w:instrText xml:space="preserve"> PAGEREF _Toc26067 \h </w:instrText>
          </w:r>
          <w:r>
            <w:rPr>
              <w:color w:val="auto"/>
            </w:rPr>
            <w:fldChar w:fldCharType="separate"/>
          </w:r>
          <w:r>
            <w:rPr>
              <w:color w:val="auto"/>
            </w:rPr>
            <w:t>5650</w:t>
          </w:r>
          <w:r>
            <w:rPr>
              <w:color w:val="auto"/>
            </w:rPr>
            <w:fldChar w:fldCharType="end"/>
          </w:r>
          <w:r>
            <w:rPr>
              <w:color w:val="auto"/>
            </w:rPr>
            <w:fldChar w:fldCharType="end"/>
          </w:r>
        </w:p>
        <w:p w14:paraId="1D43BFE4">
          <w:pPr>
            <w:pStyle w:val="16"/>
            <w:tabs>
              <w:tab w:val="right" w:leader="dot" w:pos="8306"/>
            </w:tabs>
            <w:rPr>
              <w:color w:val="auto"/>
            </w:rPr>
          </w:pPr>
          <w:r>
            <w:rPr>
              <w:color w:val="auto"/>
            </w:rPr>
            <w:fldChar w:fldCharType="begin"/>
          </w:r>
          <w:r>
            <w:rPr>
              <w:color w:val="auto"/>
            </w:rPr>
            <w:instrText xml:space="preserve"> HYPERLINK \l "_Toc22177" </w:instrText>
          </w:r>
          <w:r>
            <w:rPr>
              <w:color w:val="auto"/>
            </w:rPr>
            <w:fldChar w:fldCharType="separate"/>
          </w:r>
          <w:r>
            <w:rPr>
              <w:rFonts w:hint="eastAsia"/>
              <w:color w:val="auto"/>
            </w:rPr>
            <w:t>8.7加速科技创新</w:t>
          </w:r>
          <w:r>
            <w:rPr>
              <w:color w:val="auto"/>
            </w:rPr>
            <w:tab/>
          </w:r>
          <w:r>
            <w:rPr>
              <w:color w:val="auto"/>
            </w:rPr>
            <w:fldChar w:fldCharType="begin"/>
          </w:r>
          <w:r>
            <w:rPr>
              <w:color w:val="auto"/>
            </w:rPr>
            <w:instrText xml:space="preserve"> PAGEREF _Toc22177 \h </w:instrText>
          </w:r>
          <w:r>
            <w:rPr>
              <w:color w:val="auto"/>
            </w:rPr>
            <w:fldChar w:fldCharType="separate"/>
          </w:r>
          <w:r>
            <w:rPr>
              <w:color w:val="auto"/>
            </w:rPr>
            <w:t>5650</w:t>
          </w:r>
          <w:r>
            <w:rPr>
              <w:color w:val="auto"/>
            </w:rPr>
            <w:fldChar w:fldCharType="end"/>
          </w:r>
          <w:r>
            <w:rPr>
              <w:color w:val="auto"/>
            </w:rPr>
            <w:fldChar w:fldCharType="end"/>
          </w:r>
        </w:p>
        <w:p w14:paraId="196F7AC1">
          <w:pPr>
            <w:pStyle w:val="16"/>
            <w:tabs>
              <w:tab w:val="right" w:leader="dot" w:pos="8306"/>
            </w:tabs>
            <w:rPr>
              <w:color w:val="auto"/>
            </w:rPr>
          </w:pPr>
          <w:r>
            <w:rPr>
              <w:color w:val="auto"/>
            </w:rPr>
            <w:fldChar w:fldCharType="begin"/>
          </w:r>
          <w:r>
            <w:rPr>
              <w:color w:val="auto"/>
            </w:rPr>
            <w:instrText xml:space="preserve"> HYPERLINK \l "_Toc11232" </w:instrText>
          </w:r>
          <w:r>
            <w:rPr>
              <w:color w:val="auto"/>
            </w:rPr>
            <w:fldChar w:fldCharType="separate"/>
          </w:r>
          <w:r>
            <w:rPr>
              <w:rFonts w:hint="eastAsia"/>
              <w:color w:val="auto"/>
            </w:rPr>
            <w:t>8.8三产融合发展</w:t>
          </w:r>
          <w:r>
            <w:rPr>
              <w:color w:val="auto"/>
            </w:rPr>
            <w:tab/>
          </w:r>
          <w:r>
            <w:rPr>
              <w:color w:val="auto"/>
            </w:rPr>
            <w:fldChar w:fldCharType="begin"/>
          </w:r>
          <w:r>
            <w:rPr>
              <w:color w:val="auto"/>
            </w:rPr>
            <w:instrText xml:space="preserve"> PAGEREF _Toc11232 \h </w:instrText>
          </w:r>
          <w:r>
            <w:rPr>
              <w:color w:val="auto"/>
            </w:rPr>
            <w:fldChar w:fldCharType="separate"/>
          </w:r>
          <w:r>
            <w:rPr>
              <w:color w:val="auto"/>
            </w:rPr>
            <w:t>5650</w:t>
          </w:r>
          <w:r>
            <w:rPr>
              <w:color w:val="auto"/>
            </w:rPr>
            <w:fldChar w:fldCharType="end"/>
          </w:r>
          <w:r>
            <w:rPr>
              <w:color w:val="auto"/>
            </w:rPr>
            <w:fldChar w:fldCharType="end"/>
          </w:r>
        </w:p>
        <w:p w14:paraId="173B619F">
          <w:pPr>
            <w:pStyle w:val="15"/>
            <w:tabs>
              <w:tab w:val="right" w:leader="dot" w:pos="8306"/>
            </w:tabs>
            <w:rPr>
              <w:color w:val="auto"/>
            </w:rPr>
          </w:pPr>
          <w:r>
            <w:rPr>
              <w:color w:val="auto"/>
            </w:rPr>
            <w:fldChar w:fldCharType="begin"/>
          </w:r>
          <w:r>
            <w:rPr>
              <w:color w:val="auto"/>
            </w:rPr>
            <w:instrText xml:space="preserve"> HYPERLINK \l "_Toc15130" </w:instrText>
          </w:r>
          <w:r>
            <w:rPr>
              <w:color w:val="auto"/>
            </w:rPr>
            <w:fldChar w:fldCharType="separate"/>
          </w:r>
          <w:r>
            <w:rPr>
              <w:rFonts w:hint="eastAsia" w:ascii="宋体" w:hAnsi="宋体"/>
              <w:bCs/>
              <w:color w:val="auto"/>
              <w:szCs w:val="32"/>
            </w:rPr>
            <w:t>附件</w:t>
          </w:r>
          <w:r>
            <w:rPr>
              <w:color w:val="auto"/>
            </w:rPr>
            <w:tab/>
          </w:r>
          <w:r>
            <w:rPr>
              <w:color w:val="auto"/>
            </w:rPr>
            <w:fldChar w:fldCharType="begin"/>
          </w:r>
          <w:r>
            <w:rPr>
              <w:color w:val="auto"/>
            </w:rPr>
            <w:instrText xml:space="preserve"> PAGEREF _Toc15130 \h </w:instrText>
          </w:r>
          <w:r>
            <w:rPr>
              <w:color w:val="auto"/>
            </w:rPr>
            <w:fldChar w:fldCharType="separate"/>
          </w:r>
          <w:r>
            <w:rPr>
              <w:color w:val="auto"/>
            </w:rPr>
            <w:t>5852</w:t>
          </w:r>
          <w:r>
            <w:rPr>
              <w:color w:val="auto"/>
            </w:rPr>
            <w:fldChar w:fldCharType="end"/>
          </w:r>
          <w:r>
            <w:rPr>
              <w:color w:val="auto"/>
            </w:rPr>
            <w:fldChar w:fldCharType="end"/>
          </w:r>
        </w:p>
        <w:p w14:paraId="0A262B7E">
          <w:pPr>
            <w:pStyle w:val="20"/>
            <w:ind w:left="0" w:leftChars="0" w:firstLineChars="200"/>
            <w:rPr>
              <w:color w:val="auto"/>
              <w:kern w:val="2"/>
              <w:sz w:val="28"/>
              <w:szCs w:val="20"/>
            </w:rPr>
          </w:pPr>
          <w:r>
            <w:rPr>
              <w:rFonts w:hint="eastAsia"/>
              <w:color w:val="auto"/>
              <w:kern w:val="2"/>
              <w:szCs w:val="20"/>
            </w:rPr>
            <w:fldChar w:fldCharType="end"/>
          </w:r>
        </w:p>
      </w:sdtContent>
    </w:sdt>
    <w:p w14:paraId="07B3F27E">
      <w:pPr>
        <w:pStyle w:val="20"/>
        <w:ind w:left="0" w:leftChars="0" w:firstLine="560" w:firstLineChars="200"/>
        <w:rPr>
          <w:color w:val="auto"/>
          <w:kern w:val="2"/>
          <w:sz w:val="28"/>
          <w:szCs w:val="20"/>
        </w:rPr>
      </w:pPr>
    </w:p>
    <w:p w14:paraId="57606F2F">
      <w:pPr>
        <w:pStyle w:val="20"/>
        <w:ind w:left="0" w:leftChars="0" w:firstLine="560" w:firstLineChars="200"/>
        <w:rPr>
          <w:color w:val="auto"/>
          <w:kern w:val="2"/>
          <w:sz w:val="28"/>
          <w:szCs w:val="20"/>
        </w:rPr>
        <w:sectPr>
          <w:pgSz w:w="11906" w:h="16838"/>
          <w:pgMar w:top="1440" w:right="1800" w:bottom="1440" w:left="1800" w:header="851" w:footer="992" w:gutter="0"/>
          <w:cols w:space="425" w:num="1"/>
          <w:docGrid w:type="lines" w:linePitch="312" w:charSpace="0"/>
        </w:sectPr>
      </w:pPr>
    </w:p>
    <w:p w14:paraId="124B2AA7">
      <w:pPr>
        <w:pStyle w:val="10"/>
        <w:rPr>
          <w:color w:val="auto"/>
        </w:rPr>
      </w:pPr>
    </w:p>
    <w:p w14:paraId="609D5499">
      <w:pPr>
        <w:pStyle w:val="35"/>
        <w:numPr>
          <w:ilvl w:val="0"/>
          <w:numId w:val="1"/>
        </w:numPr>
        <w:spacing w:line="500" w:lineRule="exact"/>
        <w:ind w:firstLineChars="0"/>
        <w:jc w:val="center"/>
        <w:outlineLvl w:val="0"/>
        <w:rPr>
          <w:rFonts w:ascii="宋体" w:hAnsi="宋体"/>
          <w:b/>
          <w:bCs/>
          <w:color w:val="auto"/>
          <w:sz w:val="32"/>
          <w:szCs w:val="32"/>
        </w:rPr>
      </w:pPr>
      <w:bookmarkStart w:id="4" w:name="_Toc161954050"/>
      <w:r>
        <w:rPr>
          <w:rFonts w:hint="eastAsia" w:ascii="宋体" w:hAnsi="宋体"/>
          <w:b/>
          <w:bCs/>
          <w:color w:val="auto"/>
          <w:sz w:val="32"/>
          <w:szCs w:val="32"/>
        </w:rPr>
        <w:t xml:space="preserve"> </w:t>
      </w:r>
      <w:bookmarkStart w:id="5" w:name="_Toc12169"/>
      <w:r>
        <w:rPr>
          <w:rFonts w:hint="eastAsia" w:ascii="宋体" w:hAnsi="宋体"/>
          <w:b/>
          <w:bCs/>
          <w:color w:val="auto"/>
          <w:sz w:val="32"/>
          <w:szCs w:val="32"/>
        </w:rPr>
        <w:t>规划背景</w:t>
      </w:r>
      <w:bookmarkEnd w:id="4"/>
      <w:bookmarkEnd w:id="5"/>
    </w:p>
    <w:p w14:paraId="48DBBC2E">
      <w:pPr>
        <w:pStyle w:val="10"/>
        <w:ind w:firstLine="0"/>
        <w:outlineLvl w:val="1"/>
        <w:rPr>
          <w:color w:val="auto"/>
        </w:rPr>
      </w:pPr>
      <w:bookmarkStart w:id="6" w:name="_Toc161954051"/>
      <w:bookmarkStart w:id="7" w:name="_Toc3483"/>
      <w:r>
        <w:rPr>
          <w:rFonts w:hint="eastAsia"/>
          <w:color w:val="auto"/>
        </w:rPr>
        <w:t>1.1 外部经济社会发展</w:t>
      </w:r>
      <w:bookmarkEnd w:id="6"/>
      <w:r>
        <w:rPr>
          <w:rFonts w:hint="eastAsia"/>
          <w:color w:val="auto"/>
        </w:rPr>
        <w:t>情况</w:t>
      </w:r>
      <w:bookmarkEnd w:id="7"/>
    </w:p>
    <w:p w14:paraId="7BA41FDA">
      <w:pPr>
        <w:pStyle w:val="20"/>
        <w:ind w:left="0" w:leftChars="0" w:firstLine="560" w:firstLineChars="200"/>
        <w:rPr>
          <w:color w:val="auto"/>
          <w:kern w:val="2"/>
          <w:sz w:val="28"/>
          <w:szCs w:val="20"/>
        </w:rPr>
      </w:pPr>
      <w:r>
        <w:rPr>
          <w:rFonts w:hint="eastAsia"/>
          <w:color w:val="auto"/>
          <w:kern w:val="2"/>
          <w:sz w:val="28"/>
          <w:szCs w:val="20"/>
        </w:rPr>
        <w:t>2023年全年国内生产总值（GDP）1260582亿元，比上年增长5.2%。其中，第一产业增加值89755亿元，比上年增长4.1%；第二产业增加值482589亿元，增长4.7%；第三产业增加值688238亿元，增长5.8%。全年人均国内生产总值89358元，比上年增长5.4%。城镇新增就业1244万人，城镇调查失业率平均为5.2%。居民消费价格上涨0.2%。我国现代化产业体系建设取得新进展。传统产业转型升级，新兴产业加快培育，2023年制造业技术改造投资比上年增长3.8%，高技术制造业、装备制造业占规模以上工业增加值比重分别升至15.7%、33.6%。科技创新实现新突破，绿色低碳转型持续深入。2023年，全社会研究与试验发展（R&amp;D）经费支出3.3万亿元，与GDP之比达2.64%；清洁能源消费量占能源消费总量比重达26.4%，比上年上升0.4个百分点。2023年，我国GDP占全球经济的比重约为19%，稳居世界第二大经济体。</w:t>
      </w:r>
    </w:p>
    <w:p w14:paraId="3439E9CE">
      <w:pPr>
        <w:pStyle w:val="20"/>
        <w:ind w:left="0" w:leftChars="0" w:firstLine="560" w:firstLineChars="200"/>
        <w:rPr>
          <w:color w:val="auto"/>
          <w:kern w:val="2"/>
          <w:sz w:val="28"/>
          <w:szCs w:val="20"/>
        </w:rPr>
      </w:pPr>
      <w:r>
        <w:rPr>
          <w:rFonts w:hint="eastAsia"/>
          <w:color w:val="auto"/>
          <w:kern w:val="2"/>
          <w:sz w:val="28"/>
          <w:szCs w:val="20"/>
        </w:rPr>
        <w:t>202</w:t>
      </w:r>
      <w:r>
        <w:rPr>
          <w:color w:val="auto"/>
          <w:kern w:val="2"/>
          <w:sz w:val="28"/>
          <w:szCs w:val="20"/>
        </w:rPr>
        <w:t>3</w:t>
      </w:r>
      <w:r>
        <w:rPr>
          <w:rFonts w:hint="eastAsia"/>
          <w:color w:val="auto"/>
          <w:kern w:val="2"/>
          <w:sz w:val="28"/>
          <w:szCs w:val="20"/>
        </w:rPr>
        <w:t>年，浙江省全省生产总值为82553亿元，比上年增长</w:t>
      </w:r>
      <w:r>
        <w:rPr>
          <w:color w:val="auto"/>
          <w:kern w:val="2"/>
          <w:sz w:val="28"/>
          <w:szCs w:val="20"/>
        </w:rPr>
        <w:t>6.0</w:t>
      </w:r>
      <w:r>
        <w:rPr>
          <w:rFonts w:hint="eastAsia"/>
          <w:color w:val="auto"/>
          <w:kern w:val="2"/>
          <w:sz w:val="28"/>
          <w:szCs w:val="20"/>
        </w:rPr>
        <w:t>%。分产业看，第一、二、三产业增加值分别为2332、33953和46268亿元，分别增长4.2%、5.0%和6.7%，三次产业结构为2.8:41.1:56.1。人均地区生产总值为125043元（按年平均汇率折算为17745美元），增长5.3%。产业转型升级加快推进。全年以新产业、新业态、新模式为主要特征的“三新”经济增加值预计占全省生产总值的28.3%。数字经济核心产业增加值9867亿元，比上年增长10.1%。</w:t>
      </w:r>
    </w:p>
    <w:p w14:paraId="32DF2C1E">
      <w:pPr>
        <w:pStyle w:val="20"/>
        <w:ind w:left="0" w:leftChars="0" w:firstLine="560" w:firstLineChars="200"/>
        <w:rPr>
          <w:color w:val="auto"/>
          <w:kern w:val="2"/>
          <w:sz w:val="28"/>
          <w:szCs w:val="20"/>
        </w:rPr>
      </w:pPr>
      <w:r>
        <w:rPr>
          <w:color w:val="auto"/>
          <w:kern w:val="2"/>
          <w:sz w:val="28"/>
          <w:szCs w:val="20"/>
        </w:rPr>
        <w:t>中国经济正处于重大转型时期。这个转型</w:t>
      </w:r>
      <w:r>
        <w:rPr>
          <w:rFonts w:hint="eastAsia"/>
          <w:color w:val="auto"/>
          <w:kern w:val="2"/>
          <w:sz w:val="28"/>
          <w:szCs w:val="20"/>
        </w:rPr>
        <w:t>面临三个背景。第一个大背景</w:t>
      </w:r>
      <w:r>
        <w:rPr>
          <w:color w:val="auto"/>
          <w:kern w:val="2"/>
          <w:sz w:val="28"/>
          <w:szCs w:val="20"/>
        </w:rPr>
        <w:t>，是从过去以人口增长和快速城镇化为基础，高速而简单粗暴的数量级增长，转型为有质量的增长。这里面包含了许多内涵，例如以国内大循环为主的双循环、科技创新，共同富裕，高水平对外开放，制造业转型升级，房地产深度调整等等。第二个大背景，是过去三年我们经历了疫情和经济困难时期，这对中国经济和民众生活造成了伤害，甚至对心理也造成了很大影响。这种伤害和影响虽然不能说是不可逆的，但可能未来三五年，甚至更长时间内都会存在。第三个大背景，是全球政治经济形势更加复杂多变，外部环境严峻而且不稳定，尤其是全球经济衰退和美西方“脱钩”的负面影响。在这三个最重要大背景下，我们可以将2023年视为中国经济新时代的起点。</w:t>
      </w:r>
      <w:r>
        <w:rPr>
          <w:rFonts w:hint="eastAsia"/>
          <w:color w:val="auto"/>
          <w:kern w:val="2"/>
          <w:sz w:val="28"/>
          <w:szCs w:val="20"/>
        </w:rPr>
        <w:t>在继续保持产业体系完备、产业链配套能力全球领先、制造业规模居世界首位等优势基础上，我国推动传统产业转型升级，推动战略性新兴产业、先进制造业快速发展，推动数字经济健康发展，科技创新能力显著提高，经济结构持续优化。充分利用我国超大规模市场优势，统筹扩大内需和深化供给侧结构性改革，形成需求牵引供给、供给创造需求的更高水平动态平衡，将不断推动我国经济结构优化升级，增强我们稳住经济基本盘、赢得发展主动权的内生动力。</w:t>
      </w:r>
    </w:p>
    <w:p w14:paraId="392A4049">
      <w:pPr>
        <w:pStyle w:val="20"/>
        <w:ind w:left="0" w:leftChars="0" w:firstLine="560" w:firstLineChars="200"/>
        <w:rPr>
          <w:color w:val="auto"/>
          <w:kern w:val="2"/>
          <w:sz w:val="28"/>
          <w:szCs w:val="20"/>
        </w:rPr>
      </w:pPr>
      <w:r>
        <w:rPr>
          <w:color w:val="auto"/>
          <w:kern w:val="2"/>
          <w:sz w:val="28"/>
          <w:szCs w:val="20"/>
        </w:rPr>
        <w:t>浙江省经济发展势头强劲，特色民营经济占全省GDP的67</w:t>
      </w:r>
      <w:r>
        <w:rPr>
          <w:rFonts w:hint="eastAsia"/>
          <w:color w:val="auto"/>
          <w:kern w:val="2"/>
          <w:sz w:val="28"/>
          <w:szCs w:val="20"/>
        </w:rPr>
        <w:t>.2</w:t>
      </w:r>
      <w:r>
        <w:rPr>
          <w:color w:val="auto"/>
          <w:kern w:val="2"/>
          <w:sz w:val="28"/>
          <w:szCs w:val="20"/>
        </w:rPr>
        <w:t>%，数字经济核心产业增长</w:t>
      </w:r>
      <w:r>
        <w:rPr>
          <w:rFonts w:hint="eastAsia"/>
          <w:color w:val="auto"/>
          <w:kern w:val="2"/>
          <w:sz w:val="28"/>
          <w:szCs w:val="20"/>
        </w:rPr>
        <w:t>10.1</w:t>
      </w:r>
      <w:r>
        <w:rPr>
          <w:color w:val="auto"/>
          <w:kern w:val="2"/>
          <w:sz w:val="28"/>
          <w:szCs w:val="20"/>
        </w:rPr>
        <w:t>%。</w:t>
      </w:r>
      <w:r>
        <w:rPr>
          <w:rFonts w:hint="eastAsia"/>
          <w:color w:val="auto"/>
          <w:kern w:val="2"/>
          <w:sz w:val="28"/>
          <w:szCs w:val="20"/>
        </w:rPr>
        <w:t>2023年浙江全体居民人均可支配收入63830元，比上年增加3528元，增长5.9%，增速较上年回升1.1个百分点。随着城乡一体化融合发展和共同富裕示范区建设工作的稳步推进，全省收入分配格局不断优化，城乡居民收入比进一步缩小。2023年浙江城乡居民收入比为1.86，比上年缩小0.04，已连续11年呈缩小态势。2023年，浙江省人均地区生产总值</w:t>
      </w:r>
      <w:r>
        <w:rPr>
          <w:color w:val="auto"/>
          <w:kern w:val="2"/>
          <w:sz w:val="28"/>
          <w:szCs w:val="20"/>
        </w:rPr>
        <w:t>为125043元，</w:t>
      </w:r>
      <w:r>
        <w:rPr>
          <w:rFonts w:hint="eastAsia"/>
          <w:color w:val="auto"/>
          <w:kern w:val="2"/>
          <w:sz w:val="28"/>
          <w:szCs w:val="20"/>
        </w:rPr>
        <w:t>达到17</w:t>
      </w:r>
      <w:r>
        <w:rPr>
          <w:color w:val="auto"/>
          <w:kern w:val="2"/>
          <w:sz w:val="28"/>
          <w:szCs w:val="20"/>
        </w:rPr>
        <w:t>745</w:t>
      </w:r>
      <w:r>
        <w:rPr>
          <w:rFonts w:hint="eastAsia"/>
          <w:color w:val="auto"/>
          <w:kern w:val="2"/>
          <w:sz w:val="28"/>
          <w:szCs w:val="20"/>
        </w:rPr>
        <w:t>美元，超过世界银行定义的高收入经济体门槛。浙江省经济发展水平在全国处于领先地位，人民生活水平也相对较高，这也使得浙江省成为吸引外来人口和投资的重要地区。浙江省是长三角地区和“一带一路”建设的重要参与者，其进出口总额占全国的8%。</w:t>
      </w:r>
      <w:r>
        <w:rPr>
          <w:color w:val="auto"/>
          <w:kern w:val="2"/>
          <w:sz w:val="28"/>
          <w:szCs w:val="20"/>
        </w:rPr>
        <w:t>浙江省作为全国经济发展的重要引擎之一，其经济发展势头强劲，收入水平较高，地区地理优势明显，城市潜力巨大，未来发展潜力大，特色经济优势明显。</w:t>
      </w:r>
      <w:r>
        <w:rPr>
          <w:rFonts w:hint="eastAsia"/>
          <w:color w:val="auto"/>
          <w:kern w:val="2"/>
          <w:sz w:val="28"/>
          <w:szCs w:val="20"/>
        </w:rPr>
        <w:t>浙江省将继续坚持创新驱动，加强区域协同，有望成为全国的第三大经济体。未来，浙江省经济还将继续保持强劲的发展势头，坚持创新发展，不断加强与周边地区的合作，努力成为全国经济的重要支柱。</w:t>
      </w:r>
    </w:p>
    <w:p w14:paraId="723DAA32">
      <w:pPr>
        <w:pStyle w:val="10"/>
        <w:ind w:firstLine="0"/>
        <w:outlineLvl w:val="1"/>
        <w:rPr>
          <w:color w:val="auto"/>
        </w:rPr>
      </w:pPr>
      <w:bookmarkStart w:id="8" w:name="_Toc25012"/>
      <w:bookmarkStart w:id="9" w:name="_Toc161954053"/>
      <w:r>
        <w:rPr>
          <w:rFonts w:hint="eastAsia"/>
          <w:color w:val="auto"/>
        </w:rPr>
        <w:t>1.2 龙泉市经济社会总体概况</w:t>
      </w:r>
      <w:bookmarkEnd w:id="8"/>
      <w:bookmarkEnd w:id="9"/>
    </w:p>
    <w:p w14:paraId="335C8442">
      <w:pPr>
        <w:pStyle w:val="20"/>
        <w:ind w:left="0" w:leftChars="0" w:firstLine="560" w:firstLineChars="200"/>
        <w:rPr>
          <w:color w:val="auto"/>
          <w:kern w:val="2"/>
          <w:sz w:val="28"/>
          <w:szCs w:val="20"/>
        </w:rPr>
      </w:pPr>
      <w:r>
        <w:rPr>
          <w:rFonts w:hint="eastAsia"/>
          <w:color w:val="auto"/>
          <w:kern w:val="2"/>
          <w:sz w:val="28"/>
          <w:szCs w:val="20"/>
        </w:rPr>
        <w:t>1.2.1 地理环境</w:t>
      </w:r>
    </w:p>
    <w:p w14:paraId="30F9A0A2">
      <w:pPr>
        <w:pStyle w:val="20"/>
        <w:ind w:left="0" w:leftChars="0" w:firstLine="560" w:firstLineChars="200"/>
        <w:jc w:val="left"/>
        <w:rPr>
          <w:color w:val="auto"/>
          <w:kern w:val="2"/>
          <w:sz w:val="28"/>
          <w:szCs w:val="20"/>
        </w:rPr>
      </w:pPr>
      <w:r>
        <w:rPr>
          <w:rFonts w:hint="eastAsia"/>
          <w:color w:val="auto"/>
          <w:kern w:val="2"/>
          <w:sz w:val="28"/>
          <w:szCs w:val="20"/>
        </w:rPr>
        <w:t>龙泉市，隶属于浙江省丽水市，位于浙江省西南部，地处浙闽赣边境，东邻云和县、景宁畲族自治县，南连庆元县，北接遂昌县、松阳县，西与福建省南平市浦城县相连，介于北纬27°42′～28°20′，东经118°42′～119°25′之间。全境东西宽70.25千米，南北宽70.8千米，总面积3059平方千米。市内拥有1座高铁站和多条高速公路，2024年将接入衢丽铁路网，正式进入杭州3小时交通圈。</w:t>
      </w:r>
    </w:p>
    <w:p w14:paraId="64EF06B7">
      <w:pPr>
        <w:pStyle w:val="20"/>
        <w:ind w:left="0" w:leftChars="0" w:firstLine="560" w:firstLineChars="200"/>
        <w:rPr>
          <w:color w:val="auto"/>
          <w:kern w:val="2"/>
          <w:sz w:val="28"/>
          <w:szCs w:val="20"/>
        </w:rPr>
      </w:pPr>
      <w:r>
        <w:rPr>
          <w:rFonts w:hint="eastAsia"/>
          <w:color w:val="auto"/>
          <w:kern w:val="2"/>
          <w:sz w:val="28"/>
          <w:szCs w:val="20"/>
        </w:rPr>
        <w:t>龙泉属中亚热带季风气候区，温暖湿润，四季分明，雨量充沛，气候宜人。年平均温度17.6℃，7月平均气温27.9℃，1月平均气温6.5℃，极端最高气温达40.7℃，极端最低气温-8.5℃，全年日平均气温≥35℃的日数为29.4天。境内河流分属瓯江、钱塘江、闽江三江水系。龙泉市素有“浙南林海”之称，是浙江省最大的林区县（市）。全市林业用地26.5万公顷，占土地面积的87.1%。</w:t>
      </w:r>
    </w:p>
    <w:p w14:paraId="0C5F13A4">
      <w:pPr>
        <w:pStyle w:val="20"/>
        <w:ind w:left="0" w:leftChars="0" w:firstLine="560" w:firstLineChars="200"/>
        <w:rPr>
          <w:color w:val="auto"/>
          <w:kern w:val="2"/>
          <w:sz w:val="28"/>
          <w:szCs w:val="20"/>
        </w:rPr>
      </w:pPr>
      <w:r>
        <w:rPr>
          <w:rFonts w:hint="eastAsia"/>
          <w:color w:val="auto"/>
          <w:kern w:val="2"/>
          <w:sz w:val="28"/>
          <w:szCs w:val="20"/>
        </w:rPr>
        <w:t>1.2.2 经济社会</w:t>
      </w:r>
    </w:p>
    <w:p w14:paraId="5B5B555F">
      <w:pPr>
        <w:pStyle w:val="20"/>
        <w:ind w:left="0" w:leftChars="0" w:firstLine="560" w:firstLineChars="200"/>
        <w:rPr>
          <w:color w:val="auto"/>
          <w:kern w:val="2"/>
          <w:sz w:val="28"/>
          <w:szCs w:val="20"/>
        </w:rPr>
      </w:pPr>
      <w:r>
        <w:rPr>
          <w:rFonts w:hint="eastAsia"/>
          <w:color w:val="auto"/>
          <w:kern w:val="2"/>
          <w:sz w:val="28"/>
          <w:szCs w:val="20"/>
        </w:rPr>
        <w:t>境内面积3059平方公里，下辖7乡8镇4街道，人口29万，由浙江省丽水市代管。2023年，龙泉国内生产总值（GDP）183.5亿元，比上年增长8.1%，分别比全国（5.2%）、全省（6.0%）、丽水（7.5%）高2.9、2.1、0.6个百分点；列丽水第2位,创2014年以来最好成绩。分产业看，第一产业增加值17.79亿元，增长5.0%；第二产业增加值62.55亿元，增长7.5%；第三产业增加值103.19亿元，增长9.2%。三次产业占比调整为9.7:34.1:56.2。</w:t>
      </w:r>
    </w:p>
    <w:p w14:paraId="3DBB5791">
      <w:pPr>
        <w:pStyle w:val="20"/>
        <w:ind w:left="0" w:leftChars="0" w:firstLine="560" w:firstLineChars="200"/>
        <w:rPr>
          <w:color w:val="auto"/>
          <w:kern w:val="2"/>
          <w:sz w:val="28"/>
          <w:szCs w:val="20"/>
        </w:rPr>
      </w:pPr>
      <w:r>
        <w:rPr>
          <w:rFonts w:hint="eastAsia"/>
          <w:color w:val="auto"/>
          <w:kern w:val="2"/>
          <w:sz w:val="28"/>
          <w:szCs w:val="20"/>
        </w:rPr>
        <w:t>全市拥有林业用地393.41万亩，其中毛竹林面积61万亩。全年实现森林面积386.93万亩、森林覆盖率84.74%、森林蓄积量2402.07万立方米、林木蓄积量2519.61万立方米，林木蓄积量年增量55.44万立方米。全市环境空气质量综合指数2.07，位列全省第一。环境空气优良天数比例100%。PM2.5年均值仅18微克/立方米左右，PM10年平均浓度为29微克/立方米，负氧离子浓度最高达12万个/立方厘米，被誉为“中国天然氧吧”和“全国百佳深呼吸小城”。</w:t>
      </w:r>
    </w:p>
    <w:p w14:paraId="1A8E054E">
      <w:pPr>
        <w:pStyle w:val="20"/>
        <w:ind w:left="0" w:leftChars="0" w:firstLine="560" w:firstLineChars="200"/>
        <w:rPr>
          <w:color w:val="auto"/>
          <w:kern w:val="2"/>
          <w:sz w:val="28"/>
          <w:szCs w:val="20"/>
        </w:rPr>
      </w:pPr>
      <w:r>
        <w:rPr>
          <w:rFonts w:hint="eastAsia"/>
          <w:color w:val="auto"/>
          <w:kern w:val="2"/>
          <w:sz w:val="28"/>
          <w:szCs w:val="20"/>
        </w:rPr>
        <w:t>2023年全年实现财政总收入18.60亿元，比上年增长10.35%。全年民生支出50.44亿元，占全部支出的78.69%。2023年，工业增加值46.25亿元，比上年增长4.6%，占GDP比重25.2%。其中，规模以上工业增加值比上年增长7.0%。规模以上工业亿元以上企业29家。全年规模以上工业总产值比上年下降1.1%，29家亿元企业产值占规模以上工业总产值的51.8%。</w:t>
      </w:r>
    </w:p>
    <w:p w14:paraId="2757EF0D">
      <w:pPr>
        <w:pStyle w:val="20"/>
        <w:ind w:left="0" w:leftChars="0" w:firstLine="560" w:firstLineChars="200"/>
        <w:rPr>
          <w:color w:val="auto"/>
          <w:kern w:val="2"/>
          <w:sz w:val="28"/>
          <w:szCs w:val="20"/>
        </w:rPr>
      </w:pPr>
      <w:r>
        <w:rPr>
          <w:rFonts w:hint="eastAsia"/>
          <w:color w:val="auto"/>
          <w:kern w:val="2"/>
          <w:sz w:val="28"/>
          <w:szCs w:val="20"/>
        </w:rPr>
        <w:t>实施农业八大产业提质增效行动，持续加强“茶菌蔬”主导产业和“蜂果药牧渔”特色产业培育。2023年，龙泉市实现农业总产值27.4亿元，比上年增长5.2%。农林牧渔业发展较为稳定，其中：农业产值17.29亿元，比上年增长3.6%；林业产值5.62亿元，比上年增长4.2%；畜牧业产值3.8亿元，比上年增长13.3%；渔业产值0.40亿元，比上年增长1.7%。</w:t>
      </w:r>
    </w:p>
    <w:p w14:paraId="2008459B">
      <w:pPr>
        <w:pStyle w:val="20"/>
        <w:ind w:left="0" w:leftChars="0" w:firstLine="560" w:firstLineChars="200"/>
        <w:rPr>
          <w:color w:val="auto"/>
          <w:kern w:val="2"/>
          <w:sz w:val="28"/>
          <w:szCs w:val="20"/>
        </w:rPr>
      </w:pPr>
      <w:r>
        <w:rPr>
          <w:rFonts w:hint="eastAsia"/>
          <w:color w:val="auto"/>
          <w:kern w:val="2"/>
          <w:sz w:val="28"/>
          <w:szCs w:val="20"/>
        </w:rPr>
        <w:t>2023年，龙泉市规模以上工业中三大主导产业工业总产值比上年增长0.2%，占全部工业总产值的78.1%。其中：精密制造产业工业总产值比上年增长6.6%；时尚产业工业总产值分别比上年下降12.7%；健康医药产业工业总产值比上年下降9.6%。另外全市战略性新兴产业工业总产值比上年下降7.14%。</w:t>
      </w:r>
    </w:p>
    <w:p w14:paraId="0ADA5973">
      <w:pPr>
        <w:pStyle w:val="20"/>
        <w:shd w:val="clear" w:color="auto" w:fill="FFFFFF"/>
        <w:spacing w:after="0" w:line="444" w:lineRule="atLeast"/>
        <w:ind w:left="0" w:leftChars="0" w:firstLine="560" w:firstLineChars="200"/>
        <w:rPr>
          <w:color w:val="auto"/>
          <w:kern w:val="2"/>
          <w:sz w:val="28"/>
          <w:szCs w:val="20"/>
        </w:rPr>
      </w:pPr>
      <w:r>
        <w:rPr>
          <w:rFonts w:hint="eastAsia"/>
          <w:color w:val="auto"/>
          <w:kern w:val="2"/>
          <w:sz w:val="28"/>
          <w:szCs w:val="20"/>
          <w:shd w:val="clear" w:color="auto" w:fill="FFFFFF"/>
        </w:rPr>
        <w:t>截至2023年，已对企业亟需攻关的57个技术难题进行了“张榜招贤”并成功揭榜。推进浙江大学与龙泉市合作，双方在第十一届“智汇丽水”人才科技峰会开幕式上成功签约，支持龙泉产业创新研究院建设。全年认定国家高新技术企业40家（新认定18家，重新认定22家）、省级科技型中小企业80家、省级高新技术企业研究开发中心4家；完成省级新产品试制计划项目立项61个；组织科技特派员项目工业9个、农业项目22个（省级14个、丽水市5个、省团队科技特派员项目3个）。争取省科技发展专项资金411万元，下达市本级科技专项资金6804.47174 万元。全年实现高新技术产业增加值比上年增长5.2%。2023年，龙泉市专利授权量1031件，比上年下降19.52%，其中发明专利68件，比上年增长21.42%。</w:t>
      </w:r>
    </w:p>
    <w:p w14:paraId="323DF3FD">
      <w:pPr>
        <w:pStyle w:val="20"/>
        <w:ind w:left="0" w:leftChars="0" w:firstLine="560" w:firstLineChars="200"/>
        <w:rPr>
          <w:color w:val="auto"/>
          <w:kern w:val="2"/>
          <w:sz w:val="28"/>
          <w:szCs w:val="20"/>
        </w:rPr>
      </w:pPr>
      <w:r>
        <w:rPr>
          <w:rFonts w:hint="eastAsia"/>
          <w:color w:val="auto"/>
          <w:kern w:val="2"/>
          <w:sz w:val="28"/>
          <w:szCs w:val="20"/>
        </w:rPr>
        <w:t>1.2.3 交通现状</w:t>
      </w:r>
    </w:p>
    <w:p w14:paraId="4316E306">
      <w:pPr>
        <w:pStyle w:val="20"/>
        <w:ind w:left="0" w:leftChars="0" w:firstLine="560" w:firstLineChars="200"/>
        <w:rPr>
          <w:color w:val="auto"/>
          <w:kern w:val="2"/>
          <w:sz w:val="28"/>
          <w:szCs w:val="20"/>
        </w:rPr>
      </w:pPr>
      <w:r>
        <w:rPr>
          <w:rFonts w:hint="eastAsia"/>
          <w:color w:val="auto"/>
          <w:kern w:val="2"/>
          <w:sz w:val="28"/>
          <w:szCs w:val="20"/>
        </w:rPr>
        <w:t>龙泉市是浙西南交通枢纽，素有“瓯婺八闽通衢”、“驿马要道、商旅咽喉”之称，是浙江进入江西、福建两省的主要通道。有龙丽高速公路、龙浦高速公路和龙庆高速公路3条高速，51、53、54省道从东、西、南、北通向境外，还有8条乡村道与毗邻县相连结，形成对外交通的主干架。截至2023年末 ，境内等级公路里程2515.47公里，其中：高速公路里程88.68公里。2020年9月27日，衢宁铁路在境内设龙泉市站。</w:t>
      </w:r>
    </w:p>
    <w:p w14:paraId="4DD513C2">
      <w:pPr>
        <w:pStyle w:val="20"/>
        <w:ind w:left="0" w:leftChars="0" w:firstLine="560" w:firstLineChars="200"/>
        <w:rPr>
          <w:color w:val="auto"/>
          <w:kern w:val="2"/>
          <w:sz w:val="28"/>
          <w:szCs w:val="20"/>
        </w:rPr>
      </w:pPr>
      <w:r>
        <w:rPr>
          <w:rFonts w:hint="eastAsia"/>
          <w:color w:val="auto"/>
          <w:kern w:val="2"/>
          <w:sz w:val="28"/>
          <w:szCs w:val="20"/>
        </w:rPr>
        <w:t>1.2.4 文化特色</w:t>
      </w:r>
    </w:p>
    <w:p w14:paraId="7574AA4A">
      <w:pPr>
        <w:pStyle w:val="20"/>
        <w:ind w:left="0" w:leftChars="0" w:firstLine="560" w:firstLineChars="200"/>
        <w:rPr>
          <w:color w:val="auto"/>
          <w:kern w:val="2"/>
          <w:sz w:val="28"/>
          <w:szCs w:val="20"/>
        </w:rPr>
      </w:pPr>
      <w:r>
        <w:rPr>
          <w:rFonts w:hint="eastAsia"/>
          <w:color w:val="auto"/>
          <w:kern w:val="2"/>
          <w:sz w:val="28"/>
          <w:szCs w:val="20"/>
        </w:rPr>
        <w:t>龙泉因剑得名，据《越绝书》记载：“欧冶子、干将凿茨山、泄其溪、取铁英，作铁剑三枚，一曰龙渊，二曰泰阿，三曰工布。”晋代以“龙渊”剑名在欧冶子铸剑地设立“龙渊乡”，唐朝因避高祖李渊讳把“龙渊乡”改为“龙泉乡”，唐乾元二年（759年）置“龙泉县”，1990年撤县设市。龙泉市是中国陶瓷文化历史文化名城和浙江省历史文化名城，以青瓷文化、宝剑文化、香菇文化闻名于世。龙泉宝剑始创于春秋战国时期，以“坚韧锋利、刚柔并寓、寒光逼人、纹饰巧致”四大特色而成为“中华第一剑”。龙泉青瓷始于三国两晋，盛于宋元，以“清澈如秋空、宁静似深海”的哥、弟窑瓷器享誉海内外，其中“哥窑”与著名的官、汝、定、钧并称宋代五大名窑。龙泉也是中国香菇文化的发源地，人工栽培香菇的祖师爷“吴三公”是原龙泉龙岩村人，龙泉人何澹被称为“香菇文化之父”。2009年，龙泉被评为“全国十大食用菌生产基地县（市）。截至2023年12月，龙泉市有人类非遗代表性项目1项（龙泉青瓷传统烧制技艺）</w:t>
      </w:r>
      <w:bookmarkStart w:id="10" w:name="ref_20_414038"/>
      <w:r>
        <w:rPr>
          <w:rFonts w:hint="eastAsia"/>
          <w:color w:val="auto"/>
          <w:kern w:val="2"/>
          <w:sz w:val="28"/>
          <w:szCs w:val="20"/>
        </w:rPr>
        <w:t>，国家级非遗代表性项目2项（龙泉青瓷烧制技艺、龙泉宝剑锻制技艺）</w:t>
      </w:r>
      <w:bookmarkEnd w:id="10"/>
      <w:r>
        <w:rPr>
          <w:rFonts w:hint="eastAsia"/>
          <w:color w:val="auto"/>
          <w:kern w:val="2"/>
          <w:sz w:val="28"/>
          <w:szCs w:val="20"/>
        </w:rPr>
        <w:t> ，省级非遗代表性项目11项，丽水市级非遗代表性项目37项，龙泉市级非遗代表性项目68项。</w:t>
      </w:r>
    </w:p>
    <w:p w14:paraId="4B8FD6C4">
      <w:pPr>
        <w:pStyle w:val="20"/>
        <w:ind w:left="0" w:leftChars="0" w:firstLine="560" w:firstLineChars="200"/>
        <w:rPr>
          <w:color w:val="auto"/>
          <w:kern w:val="2"/>
          <w:sz w:val="28"/>
          <w:szCs w:val="20"/>
        </w:rPr>
      </w:pPr>
    </w:p>
    <w:p w14:paraId="443E7EF9">
      <w:pPr>
        <w:pStyle w:val="20"/>
        <w:ind w:left="0" w:leftChars="0" w:firstLine="560" w:firstLineChars="200"/>
        <w:rPr>
          <w:color w:val="auto"/>
          <w:kern w:val="2"/>
          <w:sz w:val="28"/>
          <w:szCs w:val="20"/>
        </w:rPr>
        <w:sectPr>
          <w:footerReference r:id="rId5" w:type="default"/>
          <w:pgSz w:w="11906" w:h="16838"/>
          <w:pgMar w:top="1440" w:right="1800" w:bottom="1440" w:left="1800" w:header="851" w:footer="992" w:gutter="0"/>
          <w:pgNumType w:start="1"/>
          <w:cols w:space="425" w:num="1"/>
          <w:docGrid w:type="lines" w:linePitch="312" w:charSpace="0"/>
        </w:sectPr>
      </w:pPr>
    </w:p>
    <w:p w14:paraId="3CDD03CD">
      <w:pPr>
        <w:pStyle w:val="35"/>
        <w:numPr>
          <w:ilvl w:val="0"/>
          <w:numId w:val="1"/>
        </w:numPr>
        <w:spacing w:line="500" w:lineRule="exact"/>
        <w:ind w:firstLineChars="0"/>
        <w:jc w:val="center"/>
        <w:outlineLvl w:val="0"/>
        <w:rPr>
          <w:rFonts w:ascii="宋体" w:hAnsi="宋体"/>
          <w:b/>
          <w:bCs/>
          <w:color w:val="auto"/>
          <w:sz w:val="32"/>
          <w:szCs w:val="32"/>
        </w:rPr>
      </w:pPr>
      <w:bookmarkStart w:id="11" w:name="_Toc161954054"/>
      <w:r>
        <w:rPr>
          <w:rFonts w:hint="eastAsia" w:ascii="宋体" w:hAnsi="宋体"/>
          <w:b/>
          <w:bCs/>
          <w:color w:val="auto"/>
          <w:sz w:val="32"/>
          <w:szCs w:val="32"/>
        </w:rPr>
        <w:t xml:space="preserve"> </w:t>
      </w:r>
      <w:bookmarkStart w:id="12" w:name="_Toc1070"/>
      <w:r>
        <w:rPr>
          <w:rFonts w:hint="eastAsia" w:ascii="宋体" w:hAnsi="宋体"/>
          <w:b/>
          <w:bCs/>
          <w:color w:val="auto"/>
          <w:sz w:val="32"/>
          <w:szCs w:val="32"/>
        </w:rPr>
        <w:t>产业分析</w:t>
      </w:r>
      <w:bookmarkEnd w:id="11"/>
      <w:bookmarkEnd w:id="12"/>
    </w:p>
    <w:p w14:paraId="4809E76D">
      <w:pPr>
        <w:pStyle w:val="10"/>
        <w:ind w:firstLine="0"/>
        <w:outlineLvl w:val="1"/>
        <w:rPr>
          <w:color w:val="auto"/>
        </w:rPr>
      </w:pPr>
      <w:bookmarkStart w:id="13" w:name="_Toc17251"/>
      <w:bookmarkStart w:id="14" w:name="_Toc161954055"/>
      <w:r>
        <w:rPr>
          <w:rFonts w:hint="eastAsia"/>
          <w:color w:val="auto"/>
        </w:rPr>
        <w:t>2.1 我省竹木产业发展总体情况</w:t>
      </w:r>
      <w:bookmarkEnd w:id="13"/>
    </w:p>
    <w:p w14:paraId="76227680">
      <w:pPr>
        <w:pStyle w:val="20"/>
        <w:ind w:left="0" w:leftChars="0" w:firstLine="560" w:firstLineChars="200"/>
        <w:rPr>
          <w:color w:val="auto"/>
          <w:kern w:val="2"/>
          <w:sz w:val="28"/>
          <w:szCs w:val="20"/>
        </w:rPr>
      </w:pPr>
      <w:r>
        <w:rPr>
          <w:rFonts w:hint="eastAsia"/>
          <w:color w:val="auto"/>
          <w:kern w:val="2"/>
          <w:sz w:val="28"/>
          <w:szCs w:val="20"/>
        </w:rPr>
        <w:t>（1）竹木资源情况</w:t>
      </w:r>
    </w:p>
    <w:p w14:paraId="523DF65E">
      <w:pPr>
        <w:pStyle w:val="20"/>
        <w:ind w:left="0" w:leftChars="0" w:firstLine="560" w:firstLineChars="200"/>
        <w:rPr>
          <w:color w:val="auto"/>
          <w:kern w:val="2"/>
          <w:sz w:val="28"/>
          <w:szCs w:val="20"/>
        </w:rPr>
      </w:pPr>
      <w:r>
        <w:rPr>
          <w:rFonts w:hint="eastAsia"/>
          <w:color w:val="auto"/>
          <w:kern w:val="2"/>
          <w:sz w:val="28"/>
          <w:szCs w:val="20"/>
        </w:rPr>
        <w:t>浙江全省林地面积9890.25万亩，其中森林面积9118.2万亩；活立木蓄积4.01亿立方米，其中森林蓄积3.61亿立方米；毛竹总株数32.36亿株。全省乔木林单位面积蓄积量5.57立方米/亩，其中：天然乔木林5.37立方米/亩，人工乔木林6.1立方米/亩。乔木林分平均郁闭度0.64，毛竹林每亩立竹量240株。全省活立木蓄积总生长量与总消耗量之比为2.02∶1，继续保持生长量显著大于消耗量的趋势，活立木蓄积量持续稳定增长。全省森林覆盖率按浙江省以往同比口径计算，达到61.15%，继续位居全国前列。</w:t>
      </w:r>
    </w:p>
    <w:p w14:paraId="461A517B">
      <w:pPr>
        <w:pStyle w:val="20"/>
        <w:ind w:left="0" w:leftChars="0" w:firstLine="560" w:firstLineChars="200"/>
        <w:rPr>
          <w:color w:val="auto"/>
          <w:kern w:val="2"/>
          <w:sz w:val="28"/>
          <w:szCs w:val="20"/>
        </w:rPr>
      </w:pPr>
      <w:r>
        <w:rPr>
          <w:rFonts w:hint="eastAsia"/>
          <w:color w:val="auto"/>
          <w:kern w:val="2"/>
          <w:sz w:val="28"/>
          <w:szCs w:val="20"/>
        </w:rPr>
        <w:t>全省活立木蓄积40102.35万立方米，其中：森林蓄积36087.01万立方米，疏林蓄积42.94万立方米，散生木蓄积2460.50万立方米，四旁树蓄积1511.90万立方米。按组成树种分：松木类8602.33万立方米，杉木类10366.68万立方米，阔叶树类18300.75万立方米，经济树种类1963.56万立方米，灌木树种类869.03万立方米。</w:t>
      </w:r>
    </w:p>
    <w:p w14:paraId="042EF9FA">
      <w:pPr>
        <w:pStyle w:val="20"/>
        <w:ind w:left="0" w:leftChars="0" w:firstLine="560" w:firstLineChars="200"/>
        <w:rPr>
          <w:color w:val="auto"/>
          <w:kern w:val="2"/>
          <w:sz w:val="28"/>
          <w:szCs w:val="20"/>
        </w:rPr>
      </w:pPr>
      <w:r>
        <w:rPr>
          <w:rFonts w:hint="eastAsia"/>
          <w:color w:val="auto"/>
          <w:kern w:val="2"/>
          <w:sz w:val="28"/>
          <w:szCs w:val="20"/>
        </w:rPr>
        <w:t>浙江省竹林面积1411.35万亩，占森林面积的15.48%；其中：毛竹林1238.7万亩，杂竹林172.6万亩，总株数323630万株，毛竹林每亩立竹量180株，当年生新竹占毛竹总株数的18.08%。全省竹林面积约占全国竹林面积的六分之一，毛竹是浙江主要竹类品种，占全省竹林面积的88%；全省有14个县市区竹林面积超过2万公顷。浙江省安吉县、临安</w:t>
      </w:r>
      <w:r>
        <w:rPr>
          <w:rFonts w:hint="eastAsia"/>
          <w:color w:val="auto"/>
          <w:kern w:val="2"/>
          <w:sz w:val="28"/>
          <w:szCs w:val="20"/>
          <w:lang w:eastAsia="zh-CN"/>
        </w:rPr>
        <w:t>区</w:t>
      </w:r>
      <w:r>
        <w:rPr>
          <w:rFonts w:hint="eastAsia"/>
          <w:color w:val="auto"/>
          <w:kern w:val="2"/>
          <w:sz w:val="28"/>
          <w:szCs w:val="20"/>
        </w:rPr>
        <w:t>、龙游县、德清县、余杭区5个县市区是“中国竹子之乡”。全省毛竹年采伐量约2亿根，竹材产量约40万吨，竹笋（主要包括毛竹笋、杂竹笋等）产量约20万吨。我省竹资源趋于稳定，浙江省竹子栽培和利用历史悠久，竹林培育和竹加工利用水平、竹制品产量和出口额均位居前茅。</w:t>
      </w:r>
    </w:p>
    <w:p w14:paraId="69BB0D49">
      <w:pPr>
        <w:pStyle w:val="20"/>
        <w:ind w:left="0" w:leftChars="0" w:firstLine="560" w:firstLineChars="200"/>
        <w:rPr>
          <w:color w:val="auto"/>
          <w:kern w:val="2"/>
          <w:sz w:val="28"/>
          <w:szCs w:val="20"/>
        </w:rPr>
      </w:pPr>
      <w:r>
        <w:rPr>
          <w:rFonts w:hint="eastAsia"/>
          <w:color w:val="auto"/>
          <w:kern w:val="2"/>
          <w:sz w:val="28"/>
          <w:szCs w:val="20"/>
        </w:rPr>
        <w:t>（2）产值总体情况</w:t>
      </w:r>
    </w:p>
    <w:p w14:paraId="5D230739">
      <w:pPr>
        <w:pStyle w:val="20"/>
        <w:ind w:left="0" w:leftChars="0" w:firstLine="560" w:firstLineChars="200"/>
        <w:rPr>
          <w:color w:val="auto"/>
          <w:kern w:val="2"/>
          <w:sz w:val="28"/>
          <w:szCs w:val="20"/>
        </w:rPr>
      </w:pPr>
      <w:r>
        <w:rPr>
          <w:rFonts w:hint="eastAsia"/>
          <w:color w:val="auto"/>
          <w:kern w:val="2"/>
          <w:sz w:val="28"/>
          <w:szCs w:val="20"/>
        </w:rPr>
        <w:t>2023年，我省林业产业发展良好。木材产业近年也得到了快速发展，形成了一些典型产业集聚地，如南浔木地板、江山木门、东阳红木、云和木玩等产业集聚地。数字化、智能化成为木材加工行业的发展方向。随着信息技术和自动化技术的不断发展，木材加工企业可以借助数字化、智能化的技术实现生产过程的自动化、高效化和精准化。例如，采用机器人、自动化设备等提高生产效率和质量，同时也可以减少人工成本和操作误差。绿色环保成为木材加工行业的重要趋势。随着环保意识的不断提高，消费者对木材加工产品的需求也逐渐转向环保、可持续的方向。</w:t>
      </w:r>
    </w:p>
    <w:p w14:paraId="781BDB92">
      <w:pPr>
        <w:pStyle w:val="20"/>
        <w:ind w:left="0" w:leftChars="0" w:firstLine="560" w:firstLineChars="200"/>
        <w:rPr>
          <w:color w:val="auto"/>
          <w:kern w:val="2"/>
          <w:sz w:val="28"/>
          <w:szCs w:val="20"/>
        </w:rPr>
      </w:pPr>
      <w:r>
        <w:rPr>
          <w:rFonts w:hint="eastAsia"/>
          <w:color w:val="auto"/>
          <w:kern w:val="2"/>
          <w:sz w:val="28"/>
          <w:szCs w:val="20"/>
        </w:rPr>
        <w:t>我国竹产业产值整体上稳中有升，与此同时，我省竹产业发展整体上有一定程度发展，但整体发展速度相较于全国较缓。近年来，竹产业产值一直保持平稳发展的状态，2022全省竹业总产值520.5亿元，同比下降3.11%，占全省林业总产值（5680.1亿元）的9.16%，占全国竹业总产值的12.53%，位居全国第三。全省有40多个县（市、区）的竹业产值超亿元，其中安吉、临安、余杭、龙游、德清、庆元、龙泉、衢江、奉化、遂昌等10个县（市、区）超过10亿元。</w:t>
      </w:r>
    </w:p>
    <w:p w14:paraId="57FA166F">
      <w:pPr>
        <w:jc w:val="center"/>
        <w:rPr>
          <w:rFonts w:ascii="宋体" w:hAnsi="宋体" w:cs="宋体"/>
          <w:b/>
          <w:color w:val="auto"/>
          <w:sz w:val="24"/>
        </w:rPr>
      </w:pPr>
      <w:r>
        <w:rPr>
          <w:rFonts w:hint="eastAsia" w:ascii="宋体" w:hAnsi="宋体" w:cs="宋体"/>
          <w:b/>
          <w:color w:val="auto"/>
          <w:sz w:val="24"/>
        </w:rPr>
        <w:t xml:space="preserve"> 近10年全国及浙江省竹业产值表</w:t>
      </w:r>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809"/>
        <w:gridCol w:w="809"/>
        <w:gridCol w:w="809"/>
        <w:gridCol w:w="809"/>
        <w:gridCol w:w="809"/>
        <w:gridCol w:w="809"/>
        <w:gridCol w:w="810"/>
        <w:gridCol w:w="809"/>
        <w:gridCol w:w="809"/>
        <w:gridCol w:w="809"/>
      </w:tblGrid>
      <w:tr w14:paraId="1FB4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14:paraId="073CB69C">
            <w:pPr>
              <w:widowControl w:val="0"/>
              <w:jc w:val="center"/>
              <w:rPr>
                <w:rFonts w:eastAsiaTheme="majorEastAsia"/>
                <w:bCs/>
                <w:color w:val="auto"/>
                <w:kern w:val="44"/>
                <w:szCs w:val="21"/>
              </w:rPr>
            </w:pPr>
            <w:r>
              <w:rPr>
                <w:rFonts w:eastAsiaTheme="majorEastAsia"/>
                <w:bCs/>
                <w:color w:val="auto"/>
                <w:kern w:val="44"/>
                <w:szCs w:val="21"/>
              </w:rPr>
              <w:t>年份</w:t>
            </w:r>
          </w:p>
        </w:tc>
        <w:tc>
          <w:tcPr>
            <w:tcW w:w="809" w:type="dxa"/>
            <w:tcBorders>
              <w:top w:val="single" w:color="auto" w:sz="4" w:space="0"/>
              <w:left w:val="single" w:color="auto" w:sz="4" w:space="0"/>
              <w:bottom w:val="single" w:color="auto" w:sz="4" w:space="0"/>
              <w:right w:val="single" w:color="auto" w:sz="4" w:space="0"/>
            </w:tcBorders>
            <w:vAlign w:val="center"/>
          </w:tcPr>
          <w:p w14:paraId="6019311F">
            <w:pPr>
              <w:widowControl/>
              <w:jc w:val="center"/>
              <w:textAlignment w:val="top"/>
              <w:rPr>
                <w:rFonts w:eastAsiaTheme="majorEastAsia"/>
                <w:bCs/>
                <w:color w:val="auto"/>
                <w:kern w:val="44"/>
                <w:szCs w:val="21"/>
              </w:rPr>
            </w:pPr>
            <w:r>
              <w:rPr>
                <w:color w:val="auto"/>
                <w:kern w:val="0"/>
                <w:szCs w:val="21"/>
              </w:rPr>
              <w:t>2013</w:t>
            </w:r>
          </w:p>
        </w:tc>
        <w:tc>
          <w:tcPr>
            <w:tcW w:w="809" w:type="dxa"/>
            <w:tcBorders>
              <w:top w:val="single" w:color="auto" w:sz="4" w:space="0"/>
              <w:left w:val="single" w:color="auto" w:sz="4" w:space="0"/>
              <w:bottom w:val="single" w:color="auto" w:sz="4" w:space="0"/>
              <w:right w:val="single" w:color="auto" w:sz="4" w:space="0"/>
            </w:tcBorders>
            <w:vAlign w:val="center"/>
          </w:tcPr>
          <w:p w14:paraId="4797F38E">
            <w:pPr>
              <w:widowControl/>
              <w:jc w:val="center"/>
              <w:textAlignment w:val="top"/>
              <w:rPr>
                <w:rFonts w:eastAsiaTheme="majorEastAsia"/>
                <w:bCs/>
                <w:color w:val="auto"/>
                <w:kern w:val="44"/>
                <w:szCs w:val="21"/>
              </w:rPr>
            </w:pPr>
            <w:r>
              <w:rPr>
                <w:color w:val="auto"/>
                <w:kern w:val="0"/>
                <w:szCs w:val="21"/>
              </w:rPr>
              <w:t>2014</w:t>
            </w:r>
          </w:p>
        </w:tc>
        <w:tc>
          <w:tcPr>
            <w:tcW w:w="809" w:type="dxa"/>
            <w:tcBorders>
              <w:top w:val="single" w:color="auto" w:sz="4" w:space="0"/>
              <w:left w:val="single" w:color="auto" w:sz="4" w:space="0"/>
              <w:bottom w:val="single" w:color="auto" w:sz="4" w:space="0"/>
              <w:right w:val="single" w:color="auto" w:sz="4" w:space="0"/>
            </w:tcBorders>
            <w:vAlign w:val="center"/>
          </w:tcPr>
          <w:p w14:paraId="1C2A1601">
            <w:pPr>
              <w:widowControl/>
              <w:jc w:val="center"/>
              <w:textAlignment w:val="top"/>
              <w:rPr>
                <w:rFonts w:eastAsiaTheme="majorEastAsia"/>
                <w:bCs/>
                <w:color w:val="auto"/>
                <w:kern w:val="44"/>
                <w:szCs w:val="21"/>
              </w:rPr>
            </w:pPr>
            <w:r>
              <w:rPr>
                <w:color w:val="auto"/>
                <w:kern w:val="0"/>
                <w:szCs w:val="21"/>
              </w:rPr>
              <w:t>2015</w:t>
            </w:r>
          </w:p>
        </w:tc>
        <w:tc>
          <w:tcPr>
            <w:tcW w:w="809" w:type="dxa"/>
            <w:tcBorders>
              <w:top w:val="single" w:color="auto" w:sz="4" w:space="0"/>
              <w:left w:val="single" w:color="auto" w:sz="4" w:space="0"/>
              <w:bottom w:val="single" w:color="auto" w:sz="4" w:space="0"/>
              <w:right w:val="single" w:color="auto" w:sz="4" w:space="0"/>
            </w:tcBorders>
            <w:vAlign w:val="center"/>
          </w:tcPr>
          <w:p w14:paraId="73AEAFF7">
            <w:pPr>
              <w:widowControl/>
              <w:jc w:val="center"/>
              <w:textAlignment w:val="top"/>
              <w:rPr>
                <w:rFonts w:eastAsiaTheme="majorEastAsia"/>
                <w:bCs/>
                <w:color w:val="auto"/>
                <w:kern w:val="44"/>
                <w:szCs w:val="21"/>
              </w:rPr>
            </w:pPr>
            <w:r>
              <w:rPr>
                <w:color w:val="auto"/>
                <w:kern w:val="0"/>
                <w:szCs w:val="21"/>
              </w:rPr>
              <w:t>2016</w:t>
            </w:r>
          </w:p>
        </w:tc>
        <w:tc>
          <w:tcPr>
            <w:tcW w:w="809" w:type="dxa"/>
            <w:tcBorders>
              <w:top w:val="single" w:color="auto" w:sz="4" w:space="0"/>
              <w:left w:val="single" w:color="auto" w:sz="4" w:space="0"/>
              <w:bottom w:val="single" w:color="auto" w:sz="4" w:space="0"/>
              <w:right w:val="single" w:color="auto" w:sz="4" w:space="0"/>
            </w:tcBorders>
            <w:vAlign w:val="center"/>
          </w:tcPr>
          <w:p w14:paraId="68E4A7A9">
            <w:pPr>
              <w:widowControl/>
              <w:jc w:val="center"/>
              <w:textAlignment w:val="top"/>
              <w:rPr>
                <w:rFonts w:eastAsiaTheme="majorEastAsia"/>
                <w:bCs/>
                <w:color w:val="auto"/>
                <w:kern w:val="44"/>
                <w:szCs w:val="21"/>
              </w:rPr>
            </w:pPr>
            <w:r>
              <w:rPr>
                <w:color w:val="auto"/>
                <w:kern w:val="0"/>
                <w:szCs w:val="21"/>
              </w:rPr>
              <w:t>2017</w:t>
            </w:r>
          </w:p>
        </w:tc>
        <w:tc>
          <w:tcPr>
            <w:tcW w:w="809" w:type="dxa"/>
            <w:tcBorders>
              <w:top w:val="single" w:color="auto" w:sz="4" w:space="0"/>
              <w:left w:val="single" w:color="auto" w:sz="4" w:space="0"/>
              <w:bottom w:val="single" w:color="auto" w:sz="4" w:space="0"/>
              <w:right w:val="single" w:color="auto" w:sz="4" w:space="0"/>
            </w:tcBorders>
            <w:vAlign w:val="center"/>
          </w:tcPr>
          <w:p w14:paraId="063409C2">
            <w:pPr>
              <w:widowControl/>
              <w:jc w:val="center"/>
              <w:textAlignment w:val="top"/>
              <w:rPr>
                <w:rFonts w:eastAsiaTheme="majorEastAsia"/>
                <w:bCs/>
                <w:color w:val="auto"/>
                <w:kern w:val="44"/>
                <w:szCs w:val="21"/>
              </w:rPr>
            </w:pPr>
            <w:r>
              <w:rPr>
                <w:color w:val="auto"/>
                <w:kern w:val="0"/>
                <w:szCs w:val="21"/>
              </w:rPr>
              <w:t>2018</w:t>
            </w:r>
          </w:p>
        </w:tc>
        <w:tc>
          <w:tcPr>
            <w:tcW w:w="810" w:type="dxa"/>
            <w:tcBorders>
              <w:top w:val="single" w:color="auto" w:sz="4" w:space="0"/>
              <w:left w:val="single" w:color="auto" w:sz="4" w:space="0"/>
              <w:bottom w:val="single" w:color="auto" w:sz="4" w:space="0"/>
              <w:right w:val="single" w:color="auto" w:sz="4" w:space="0"/>
            </w:tcBorders>
            <w:vAlign w:val="center"/>
          </w:tcPr>
          <w:p w14:paraId="76FC462D">
            <w:pPr>
              <w:widowControl/>
              <w:jc w:val="center"/>
              <w:textAlignment w:val="top"/>
              <w:rPr>
                <w:rFonts w:eastAsiaTheme="majorEastAsia"/>
                <w:bCs/>
                <w:color w:val="auto"/>
                <w:kern w:val="44"/>
                <w:szCs w:val="21"/>
              </w:rPr>
            </w:pPr>
            <w:r>
              <w:rPr>
                <w:color w:val="auto"/>
                <w:kern w:val="0"/>
                <w:szCs w:val="21"/>
              </w:rPr>
              <w:t>2019</w:t>
            </w:r>
          </w:p>
        </w:tc>
        <w:tc>
          <w:tcPr>
            <w:tcW w:w="809" w:type="dxa"/>
            <w:tcBorders>
              <w:top w:val="single" w:color="auto" w:sz="4" w:space="0"/>
              <w:left w:val="single" w:color="auto" w:sz="4" w:space="0"/>
              <w:bottom w:val="single" w:color="auto" w:sz="4" w:space="0"/>
              <w:right w:val="single" w:color="auto" w:sz="4" w:space="0"/>
            </w:tcBorders>
            <w:vAlign w:val="center"/>
          </w:tcPr>
          <w:p w14:paraId="7CBE10C4">
            <w:pPr>
              <w:widowControl/>
              <w:jc w:val="center"/>
              <w:textAlignment w:val="top"/>
              <w:rPr>
                <w:rFonts w:eastAsiaTheme="majorEastAsia"/>
                <w:bCs/>
                <w:color w:val="auto"/>
                <w:kern w:val="44"/>
                <w:szCs w:val="21"/>
              </w:rPr>
            </w:pPr>
            <w:r>
              <w:rPr>
                <w:rFonts w:hint="eastAsia" w:eastAsiaTheme="majorEastAsia"/>
                <w:bCs/>
                <w:color w:val="auto"/>
                <w:kern w:val="44"/>
                <w:szCs w:val="21"/>
              </w:rPr>
              <w:t>2020</w:t>
            </w:r>
          </w:p>
        </w:tc>
        <w:tc>
          <w:tcPr>
            <w:tcW w:w="809" w:type="dxa"/>
            <w:tcBorders>
              <w:top w:val="single" w:color="auto" w:sz="4" w:space="0"/>
              <w:left w:val="single" w:color="auto" w:sz="4" w:space="0"/>
              <w:bottom w:val="single" w:color="auto" w:sz="4" w:space="0"/>
              <w:right w:val="single" w:color="auto" w:sz="4" w:space="0"/>
            </w:tcBorders>
            <w:vAlign w:val="center"/>
          </w:tcPr>
          <w:p w14:paraId="1239FDE3">
            <w:pPr>
              <w:widowControl/>
              <w:jc w:val="center"/>
              <w:textAlignment w:val="top"/>
              <w:rPr>
                <w:rFonts w:eastAsiaTheme="majorEastAsia"/>
                <w:bCs/>
                <w:color w:val="auto"/>
                <w:kern w:val="44"/>
                <w:szCs w:val="21"/>
              </w:rPr>
            </w:pPr>
            <w:r>
              <w:rPr>
                <w:rFonts w:hint="eastAsia" w:eastAsiaTheme="majorEastAsia"/>
                <w:bCs/>
                <w:color w:val="auto"/>
                <w:kern w:val="44"/>
                <w:szCs w:val="21"/>
              </w:rPr>
              <w:t>2021</w:t>
            </w:r>
          </w:p>
        </w:tc>
        <w:tc>
          <w:tcPr>
            <w:tcW w:w="809" w:type="dxa"/>
            <w:tcBorders>
              <w:top w:val="single" w:color="auto" w:sz="4" w:space="0"/>
              <w:left w:val="single" w:color="auto" w:sz="4" w:space="0"/>
              <w:bottom w:val="single" w:color="auto" w:sz="4" w:space="0"/>
              <w:right w:val="single" w:color="auto" w:sz="4" w:space="0"/>
            </w:tcBorders>
            <w:vAlign w:val="center"/>
          </w:tcPr>
          <w:p w14:paraId="7797EAF5">
            <w:pPr>
              <w:widowControl/>
              <w:jc w:val="center"/>
              <w:textAlignment w:val="top"/>
              <w:rPr>
                <w:rFonts w:eastAsiaTheme="majorEastAsia"/>
                <w:bCs/>
                <w:color w:val="auto"/>
                <w:kern w:val="44"/>
                <w:szCs w:val="21"/>
              </w:rPr>
            </w:pPr>
            <w:r>
              <w:rPr>
                <w:rFonts w:hint="eastAsia" w:eastAsiaTheme="majorEastAsia"/>
                <w:bCs/>
                <w:color w:val="auto"/>
                <w:kern w:val="44"/>
                <w:szCs w:val="21"/>
              </w:rPr>
              <w:t>2022</w:t>
            </w:r>
          </w:p>
        </w:tc>
      </w:tr>
      <w:tr w14:paraId="68A8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14:paraId="18E2F31B">
            <w:pPr>
              <w:widowControl w:val="0"/>
              <w:jc w:val="center"/>
              <w:rPr>
                <w:rFonts w:eastAsiaTheme="majorEastAsia"/>
                <w:bCs/>
                <w:color w:val="auto"/>
                <w:kern w:val="44"/>
                <w:szCs w:val="21"/>
              </w:rPr>
            </w:pPr>
            <w:r>
              <w:rPr>
                <w:rFonts w:eastAsiaTheme="majorEastAsia"/>
                <w:bCs/>
                <w:color w:val="auto"/>
                <w:kern w:val="44"/>
                <w:szCs w:val="21"/>
              </w:rPr>
              <w:t>全国</w:t>
            </w:r>
          </w:p>
          <w:p w14:paraId="032C56CA">
            <w:pPr>
              <w:widowControl w:val="0"/>
              <w:jc w:val="center"/>
              <w:rPr>
                <w:rFonts w:eastAsiaTheme="majorEastAsia"/>
                <w:bCs/>
                <w:color w:val="auto"/>
                <w:kern w:val="44"/>
                <w:szCs w:val="21"/>
              </w:rPr>
            </w:pPr>
            <w:r>
              <w:rPr>
                <w:rFonts w:hint="eastAsia" w:eastAsiaTheme="majorEastAsia"/>
                <w:bCs/>
                <w:color w:val="auto"/>
                <w:kern w:val="44"/>
                <w:szCs w:val="21"/>
              </w:rPr>
              <w:t>（亿元）</w:t>
            </w:r>
          </w:p>
        </w:tc>
        <w:tc>
          <w:tcPr>
            <w:tcW w:w="809" w:type="dxa"/>
            <w:tcBorders>
              <w:top w:val="single" w:color="auto" w:sz="4" w:space="0"/>
              <w:left w:val="single" w:color="auto" w:sz="4" w:space="0"/>
              <w:bottom w:val="single" w:color="auto" w:sz="4" w:space="0"/>
              <w:right w:val="single" w:color="auto" w:sz="4" w:space="0"/>
            </w:tcBorders>
            <w:vAlign w:val="center"/>
          </w:tcPr>
          <w:p w14:paraId="5CA54942">
            <w:pPr>
              <w:widowControl/>
              <w:jc w:val="center"/>
              <w:textAlignment w:val="top"/>
              <w:rPr>
                <w:rFonts w:eastAsiaTheme="majorEastAsia"/>
                <w:bCs/>
                <w:color w:val="auto"/>
                <w:kern w:val="44"/>
                <w:szCs w:val="21"/>
              </w:rPr>
            </w:pPr>
            <w:r>
              <w:rPr>
                <w:color w:val="auto"/>
                <w:kern w:val="0"/>
                <w:szCs w:val="21"/>
              </w:rPr>
              <w:t>1670.</w:t>
            </w:r>
            <w:r>
              <w:rPr>
                <w:rFonts w:hint="eastAsia"/>
                <w:color w:val="auto"/>
                <w:kern w:val="0"/>
                <w:szCs w:val="21"/>
              </w:rPr>
              <w:t>8</w:t>
            </w:r>
          </w:p>
        </w:tc>
        <w:tc>
          <w:tcPr>
            <w:tcW w:w="809" w:type="dxa"/>
            <w:tcBorders>
              <w:top w:val="single" w:color="auto" w:sz="4" w:space="0"/>
              <w:left w:val="single" w:color="auto" w:sz="4" w:space="0"/>
              <w:bottom w:val="single" w:color="auto" w:sz="4" w:space="0"/>
              <w:right w:val="single" w:color="auto" w:sz="4" w:space="0"/>
            </w:tcBorders>
            <w:vAlign w:val="center"/>
          </w:tcPr>
          <w:p w14:paraId="07B70F7A">
            <w:pPr>
              <w:widowControl/>
              <w:jc w:val="center"/>
              <w:textAlignment w:val="top"/>
              <w:rPr>
                <w:rFonts w:eastAsiaTheme="majorEastAsia"/>
                <w:bCs/>
                <w:color w:val="auto"/>
                <w:kern w:val="44"/>
                <w:szCs w:val="21"/>
              </w:rPr>
            </w:pPr>
            <w:r>
              <w:rPr>
                <w:color w:val="auto"/>
                <w:kern w:val="0"/>
                <w:szCs w:val="21"/>
              </w:rPr>
              <w:t>1845.1</w:t>
            </w:r>
          </w:p>
        </w:tc>
        <w:tc>
          <w:tcPr>
            <w:tcW w:w="809" w:type="dxa"/>
            <w:tcBorders>
              <w:top w:val="single" w:color="auto" w:sz="4" w:space="0"/>
              <w:left w:val="single" w:color="auto" w:sz="4" w:space="0"/>
              <w:bottom w:val="single" w:color="auto" w:sz="4" w:space="0"/>
              <w:right w:val="single" w:color="auto" w:sz="4" w:space="0"/>
            </w:tcBorders>
            <w:vAlign w:val="center"/>
          </w:tcPr>
          <w:p w14:paraId="74B6FCA0">
            <w:pPr>
              <w:widowControl/>
              <w:jc w:val="center"/>
              <w:textAlignment w:val="top"/>
              <w:rPr>
                <w:rFonts w:eastAsiaTheme="majorEastAsia"/>
                <w:bCs/>
                <w:color w:val="auto"/>
                <w:kern w:val="44"/>
                <w:szCs w:val="21"/>
              </w:rPr>
            </w:pPr>
            <w:r>
              <w:rPr>
                <w:color w:val="auto"/>
                <w:kern w:val="0"/>
                <w:szCs w:val="21"/>
              </w:rPr>
              <w:t>192</w:t>
            </w:r>
            <w:r>
              <w:rPr>
                <w:rFonts w:hint="eastAsia"/>
                <w:color w:val="auto"/>
                <w:kern w:val="0"/>
                <w:szCs w:val="21"/>
              </w:rPr>
              <w:t>3</w:t>
            </w:r>
          </w:p>
        </w:tc>
        <w:tc>
          <w:tcPr>
            <w:tcW w:w="809" w:type="dxa"/>
            <w:tcBorders>
              <w:top w:val="single" w:color="auto" w:sz="4" w:space="0"/>
              <w:left w:val="single" w:color="auto" w:sz="4" w:space="0"/>
              <w:bottom w:val="single" w:color="auto" w:sz="4" w:space="0"/>
              <w:right w:val="single" w:color="auto" w:sz="4" w:space="0"/>
            </w:tcBorders>
            <w:vAlign w:val="center"/>
          </w:tcPr>
          <w:p w14:paraId="55791C0B">
            <w:pPr>
              <w:widowControl/>
              <w:jc w:val="center"/>
              <w:textAlignment w:val="top"/>
              <w:rPr>
                <w:rFonts w:eastAsiaTheme="majorEastAsia"/>
                <w:bCs/>
                <w:color w:val="auto"/>
                <w:kern w:val="44"/>
                <w:szCs w:val="21"/>
              </w:rPr>
            </w:pPr>
            <w:r>
              <w:rPr>
                <w:color w:val="auto"/>
                <w:kern w:val="0"/>
                <w:szCs w:val="21"/>
              </w:rPr>
              <w:t>2109.</w:t>
            </w:r>
            <w:r>
              <w:rPr>
                <w:rFonts w:hint="eastAsia"/>
                <w:color w:val="auto"/>
                <w:kern w:val="0"/>
                <w:szCs w:val="21"/>
              </w:rPr>
              <w:t>3</w:t>
            </w:r>
          </w:p>
        </w:tc>
        <w:tc>
          <w:tcPr>
            <w:tcW w:w="809" w:type="dxa"/>
            <w:tcBorders>
              <w:top w:val="single" w:color="auto" w:sz="4" w:space="0"/>
              <w:left w:val="single" w:color="auto" w:sz="4" w:space="0"/>
              <w:bottom w:val="single" w:color="auto" w:sz="4" w:space="0"/>
              <w:right w:val="single" w:color="auto" w:sz="4" w:space="0"/>
            </w:tcBorders>
            <w:vAlign w:val="center"/>
          </w:tcPr>
          <w:p w14:paraId="7C718DB9">
            <w:pPr>
              <w:widowControl/>
              <w:jc w:val="center"/>
              <w:textAlignment w:val="top"/>
              <w:rPr>
                <w:rFonts w:eastAsiaTheme="majorEastAsia"/>
                <w:bCs/>
                <w:color w:val="auto"/>
                <w:kern w:val="44"/>
                <w:szCs w:val="21"/>
              </w:rPr>
            </w:pPr>
            <w:r>
              <w:rPr>
                <w:color w:val="auto"/>
                <w:kern w:val="0"/>
                <w:szCs w:val="21"/>
              </w:rPr>
              <w:t>2346</w:t>
            </w:r>
          </w:p>
        </w:tc>
        <w:tc>
          <w:tcPr>
            <w:tcW w:w="809" w:type="dxa"/>
            <w:tcBorders>
              <w:top w:val="single" w:color="auto" w:sz="4" w:space="0"/>
              <w:left w:val="single" w:color="auto" w:sz="4" w:space="0"/>
              <w:bottom w:val="single" w:color="auto" w:sz="4" w:space="0"/>
              <w:right w:val="single" w:color="auto" w:sz="4" w:space="0"/>
            </w:tcBorders>
            <w:vAlign w:val="center"/>
          </w:tcPr>
          <w:p w14:paraId="2B605772">
            <w:pPr>
              <w:widowControl/>
              <w:jc w:val="center"/>
              <w:textAlignment w:val="top"/>
              <w:rPr>
                <w:rFonts w:eastAsiaTheme="majorEastAsia"/>
                <w:bCs/>
                <w:color w:val="auto"/>
                <w:kern w:val="44"/>
                <w:szCs w:val="21"/>
              </w:rPr>
            </w:pPr>
            <w:r>
              <w:rPr>
                <w:color w:val="auto"/>
                <w:kern w:val="0"/>
                <w:szCs w:val="21"/>
              </w:rPr>
              <w:t>2456</w:t>
            </w:r>
          </w:p>
        </w:tc>
        <w:tc>
          <w:tcPr>
            <w:tcW w:w="810" w:type="dxa"/>
            <w:tcBorders>
              <w:top w:val="single" w:color="auto" w:sz="4" w:space="0"/>
              <w:left w:val="single" w:color="auto" w:sz="4" w:space="0"/>
              <w:bottom w:val="single" w:color="auto" w:sz="4" w:space="0"/>
              <w:right w:val="single" w:color="auto" w:sz="4" w:space="0"/>
            </w:tcBorders>
            <w:vAlign w:val="center"/>
          </w:tcPr>
          <w:p w14:paraId="294E6970">
            <w:pPr>
              <w:widowControl/>
              <w:jc w:val="center"/>
              <w:textAlignment w:val="top"/>
              <w:rPr>
                <w:rFonts w:eastAsiaTheme="majorEastAsia"/>
                <w:bCs/>
                <w:color w:val="auto"/>
                <w:kern w:val="44"/>
                <w:szCs w:val="21"/>
              </w:rPr>
            </w:pPr>
            <w:r>
              <w:rPr>
                <w:rStyle w:val="44"/>
                <w:rFonts w:hint="default" w:ascii="Times New Roman" w:hAnsi="Times New Roman" w:cs="Times New Roman"/>
                <w:color w:val="auto"/>
              </w:rPr>
              <w:t>3000</w:t>
            </w:r>
          </w:p>
        </w:tc>
        <w:tc>
          <w:tcPr>
            <w:tcW w:w="809" w:type="dxa"/>
            <w:tcBorders>
              <w:top w:val="single" w:color="auto" w:sz="4" w:space="0"/>
              <w:left w:val="single" w:color="auto" w:sz="4" w:space="0"/>
              <w:bottom w:val="single" w:color="auto" w:sz="4" w:space="0"/>
              <w:right w:val="single" w:color="auto" w:sz="4" w:space="0"/>
            </w:tcBorders>
            <w:vAlign w:val="center"/>
          </w:tcPr>
          <w:p w14:paraId="2D7A2F7F">
            <w:pPr>
              <w:widowControl/>
              <w:jc w:val="center"/>
              <w:textAlignment w:val="top"/>
              <w:rPr>
                <w:rFonts w:eastAsiaTheme="majorEastAsia"/>
                <w:bCs/>
                <w:color w:val="auto"/>
                <w:kern w:val="44"/>
                <w:szCs w:val="21"/>
              </w:rPr>
            </w:pPr>
            <w:r>
              <w:rPr>
                <w:rFonts w:hint="eastAsia" w:eastAsiaTheme="majorEastAsia"/>
                <w:bCs/>
                <w:color w:val="auto"/>
                <w:kern w:val="44"/>
                <w:szCs w:val="21"/>
              </w:rPr>
              <w:t>3199</w:t>
            </w:r>
          </w:p>
        </w:tc>
        <w:tc>
          <w:tcPr>
            <w:tcW w:w="809" w:type="dxa"/>
            <w:tcBorders>
              <w:top w:val="single" w:color="auto" w:sz="4" w:space="0"/>
              <w:left w:val="single" w:color="auto" w:sz="4" w:space="0"/>
              <w:bottom w:val="single" w:color="auto" w:sz="4" w:space="0"/>
              <w:right w:val="single" w:color="auto" w:sz="4" w:space="0"/>
            </w:tcBorders>
            <w:vAlign w:val="center"/>
          </w:tcPr>
          <w:p w14:paraId="68C2048D">
            <w:pPr>
              <w:widowControl/>
              <w:jc w:val="center"/>
              <w:textAlignment w:val="top"/>
              <w:rPr>
                <w:rFonts w:eastAsiaTheme="majorEastAsia"/>
                <w:bCs/>
                <w:color w:val="auto"/>
                <w:kern w:val="44"/>
                <w:szCs w:val="21"/>
              </w:rPr>
            </w:pPr>
            <w:r>
              <w:rPr>
                <w:rFonts w:hint="eastAsia" w:eastAsiaTheme="majorEastAsia"/>
                <w:bCs/>
                <w:color w:val="auto"/>
                <w:kern w:val="44"/>
                <w:szCs w:val="21"/>
              </w:rPr>
              <w:t>3606</w:t>
            </w:r>
          </w:p>
        </w:tc>
        <w:tc>
          <w:tcPr>
            <w:tcW w:w="809" w:type="dxa"/>
            <w:tcBorders>
              <w:top w:val="single" w:color="auto" w:sz="4" w:space="0"/>
              <w:left w:val="single" w:color="auto" w:sz="4" w:space="0"/>
              <w:bottom w:val="single" w:color="auto" w:sz="4" w:space="0"/>
              <w:right w:val="single" w:color="auto" w:sz="4" w:space="0"/>
            </w:tcBorders>
            <w:vAlign w:val="center"/>
          </w:tcPr>
          <w:p w14:paraId="19896018">
            <w:pPr>
              <w:widowControl/>
              <w:jc w:val="center"/>
              <w:textAlignment w:val="top"/>
              <w:rPr>
                <w:rFonts w:eastAsiaTheme="majorEastAsia"/>
                <w:bCs/>
                <w:color w:val="auto"/>
                <w:kern w:val="44"/>
                <w:szCs w:val="21"/>
              </w:rPr>
            </w:pPr>
            <w:r>
              <w:rPr>
                <w:rFonts w:hint="eastAsia" w:eastAsiaTheme="majorEastAsia"/>
                <w:bCs/>
                <w:color w:val="auto"/>
                <w:kern w:val="44"/>
                <w:szCs w:val="21"/>
              </w:rPr>
              <w:t>4153</w:t>
            </w:r>
          </w:p>
        </w:tc>
      </w:tr>
      <w:tr w14:paraId="7DFD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9"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14:paraId="66A9D993">
            <w:pPr>
              <w:widowControl w:val="0"/>
              <w:jc w:val="center"/>
              <w:rPr>
                <w:rFonts w:eastAsiaTheme="majorEastAsia"/>
                <w:bCs/>
                <w:color w:val="auto"/>
                <w:kern w:val="44"/>
                <w:szCs w:val="21"/>
              </w:rPr>
            </w:pPr>
            <w:r>
              <w:rPr>
                <w:rFonts w:eastAsiaTheme="majorEastAsia"/>
                <w:bCs/>
                <w:color w:val="auto"/>
                <w:kern w:val="44"/>
                <w:szCs w:val="21"/>
              </w:rPr>
              <w:t>浙江</w:t>
            </w:r>
          </w:p>
          <w:p w14:paraId="37B2A7A7">
            <w:pPr>
              <w:widowControl w:val="0"/>
              <w:jc w:val="center"/>
              <w:rPr>
                <w:rFonts w:eastAsiaTheme="majorEastAsia"/>
                <w:bCs/>
                <w:color w:val="auto"/>
                <w:kern w:val="44"/>
                <w:szCs w:val="21"/>
              </w:rPr>
            </w:pPr>
            <w:r>
              <w:rPr>
                <w:rFonts w:hint="eastAsia" w:eastAsiaTheme="majorEastAsia"/>
                <w:bCs/>
                <w:color w:val="auto"/>
                <w:kern w:val="44"/>
                <w:szCs w:val="21"/>
              </w:rPr>
              <w:t>（亿元）</w:t>
            </w:r>
          </w:p>
        </w:tc>
        <w:tc>
          <w:tcPr>
            <w:tcW w:w="809" w:type="dxa"/>
            <w:tcBorders>
              <w:top w:val="single" w:color="auto" w:sz="4" w:space="0"/>
              <w:left w:val="single" w:color="auto" w:sz="4" w:space="0"/>
              <w:bottom w:val="single" w:color="auto" w:sz="4" w:space="0"/>
              <w:right w:val="single" w:color="auto" w:sz="4" w:space="0"/>
            </w:tcBorders>
            <w:vAlign w:val="center"/>
          </w:tcPr>
          <w:p w14:paraId="20F3BC69">
            <w:pPr>
              <w:widowControl/>
              <w:jc w:val="center"/>
              <w:textAlignment w:val="top"/>
              <w:rPr>
                <w:rFonts w:eastAsiaTheme="majorEastAsia"/>
                <w:bCs/>
                <w:color w:val="auto"/>
                <w:kern w:val="44"/>
                <w:szCs w:val="21"/>
              </w:rPr>
            </w:pPr>
            <w:r>
              <w:rPr>
                <w:color w:val="auto"/>
                <w:kern w:val="0"/>
                <w:szCs w:val="21"/>
              </w:rPr>
              <w:t>409.9</w:t>
            </w:r>
          </w:p>
        </w:tc>
        <w:tc>
          <w:tcPr>
            <w:tcW w:w="809" w:type="dxa"/>
            <w:tcBorders>
              <w:top w:val="single" w:color="auto" w:sz="4" w:space="0"/>
              <w:left w:val="single" w:color="auto" w:sz="4" w:space="0"/>
              <w:bottom w:val="single" w:color="auto" w:sz="4" w:space="0"/>
              <w:right w:val="single" w:color="auto" w:sz="4" w:space="0"/>
            </w:tcBorders>
            <w:vAlign w:val="center"/>
          </w:tcPr>
          <w:p w14:paraId="70637E8A">
            <w:pPr>
              <w:widowControl w:val="0"/>
              <w:jc w:val="center"/>
              <w:rPr>
                <w:rFonts w:eastAsiaTheme="majorEastAsia"/>
                <w:bCs/>
                <w:color w:val="auto"/>
                <w:kern w:val="44"/>
                <w:szCs w:val="21"/>
              </w:rPr>
            </w:pPr>
            <w:r>
              <w:rPr>
                <w:rFonts w:eastAsiaTheme="majorEastAsia"/>
                <w:bCs/>
                <w:color w:val="auto"/>
                <w:kern w:val="44"/>
                <w:szCs w:val="21"/>
              </w:rPr>
              <w:t>451.8</w:t>
            </w:r>
          </w:p>
        </w:tc>
        <w:tc>
          <w:tcPr>
            <w:tcW w:w="809" w:type="dxa"/>
            <w:tcBorders>
              <w:top w:val="single" w:color="auto" w:sz="4" w:space="0"/>
              <w:left w:val="single" w:color="auto" w:sz="4" w:space="0"/>
              <w:bottom w:val="single" w:color="auto" w:sz="4" w:space="0"/>
              <w:right w:val="single" w:color="auto" w:sz="4" w:space="0"/>
            </w:tcBorders>
            <w:vAlign w:val="center"/>
          </w:tcPr>
          <w:p w14:paraId="59E2F645">
            <w:pPr>
              <w:widowControl w:val="0"/>
              <w:jc w:val="center"/>
              <w:rPr>
                <w:rFonts w:eastAsiaTheme="majorEastAsia"/>
                <w:bCs/>
                <w:color w:val="auto"/>
                <w:kern w:val="44"/>
                <w:szCs w:val="21"/>
              </w:rPr>
            </w:pPr>
            <w:r>
              <w:rPr>
                <w:rFonts w:eastAsiaTheme="majorEastAsia"/>
                <w:bCs/>
                <w:color w:val="auto"/>
                <w:kern w:val="44"/>
                <w:szCs w:val="21"/>
              </w:rPr>
              <w:t>420.1</w:t>
            </w:r>
          </w:p>
        </w:tc>
        <w:tc>
          <w:tcPr>
            <w:tcW w:w="809" w:type="dxa"/>
            <w:tcBorders>
              <w:top w:val="single" w:color="auto" w:sz="4" w:space="0"/>
              <w:left w:val="single" w:color="auto" w:sz="4" w:space="0"/>
              <w:bottom w:val="single" w:color="auto" w:sz="4" w:space="0"/>
              <w:right w:val="single" w:color="auto" w:sz="4" w:space="0"/>
            </w:tcBorders>
            <w:vAlign w:val="center"/>
          </w:tcPr>
          <w:p w14:paraId="0D72C13F">
            <w:pPr>
              <w:widowControl/>
              <w:jc w:val="center"/>
              <w:textAlignment w:val="top"/>
              <w:rPr>
                <w:rFonts w:eastAsiaTheme="majorEastAsia"/>
                <w:bCs/>
                <w:color w:val="auto"/>
                <w:kern w:val="44"/>
                <w:szCs w:val="21"/>
              </w:rPr>
            </w:pPr>
            <w:r>
              <w:rPr>
                <w:color w:val="auto"/>
                <w:kern w:val="0"/>
                <w:szCs w:val="21"/>
              </w:rPr>
              <w:t>469.6</w:t>
            </w:r>
          </w:p>
        </w:tc>
        <w:tc>
          <w:tcPr>
            <w:tcW w:w="809" w:type="dxa"/>
            <w:tcBorders>
              <w:top w:val="single" w:color="auto" w:sz="4" w:space="0"/>
              <w:left w:val="single" w:color="auto" w:sz="4" w:space="0"/>
              <w:bottom w:val="single" w:color="auto" w:sz="4" w:space="0"/>
              <w:right w:val="single" w:color="auto" w:sz="4" w:space="0"/>
            </w:tcBorders>
            <w:vAlign w:val="center"/>
          </w:tcPr>
          <w:p w14:paraId="6EED6A17">
            <w:pPr>
              <w:widowControl/>
              <w:jc w:val="center"/>
              <w:textAlignment w:val="top"/>
              <w:rPr>
                <w:rFonts w:eastAsiaTheme="majorEastAsia"/>
                <w:bCs/>
                <w:color w:val="auto"/>
                <w:kern w:val="44"/>
                <w:szCs w:val="21"/>
              </w:rPr>
            </w:pPr>
            <w:r>
              <w:rPr>
                <w:color w:val="auto"/>
                <w:kern w:val="0"/>
                <w:szCs w:val="21"/>
              </w:rPr>
              <w:t>485.5</w:t>
            </w:r>
          </w:p>
        </w:tc>
        <w:tc>
          <w:tcPr>
            <w:tcW w:w="809" w:type="dxa"/>
            <w:tcBorders>
              <w:top w:val="single" w:color="auto" w:sz="4" w:space="0"/>
              <w:left w:val="single" w:color="auto" w:sz="4" w:space="0"/>
              <w:bottom w:val="single" w:color="auto" w:sz="4" w:space="0"/>
              <w:right w:val="single" w:color="auto" w:sz="4" w:space="0"/>
            </w:tcBorders>
            <w:vAlign w:val="center"/>
          </w:tcPr>
          <w:p w14:paraId="53962557">
            <w:pPr>
              <w:widowControl/>
              <w:jc w:val="center"/>
              <w:textAlignment w:val="top"/>
              <w:rPr>
                <w:rFonts w:eastAsiaTheme="majorEastAsia"/>
                <w:bCs/>
                <w:color w:val="auto"/>
                <w:kern w:val="44"/>
                <w:szCs w:val="21"/>
              </w:rPr>
            </w:pPr>
            <w:r>
              <w:rPr>
                <w:color w:val="auto"/>
                <w:kern w:val="0"/>
                <w:szCs w:val="21"/>
              </w:rPr>
              <w:t>401.5</w:t>
            </w:r>
          </w:p>
        </w:tc>
        <w:tc>
          <w:tcPr>
            <w:tcW w:w="810" w:type="dxa"/>
            <w:tcBorders>
              <w:top w:val="single" w:color="auto" w:sz="4" w:space="0"/>
              <w:left w:val="single" w:color="auto" w:sz="4" w:space="0"/>
              <w:bottom w:val="single" w:color="auto" w:sz="4" w:space="0"/>
              <w:right w:val="single" w:color="auto" w:sz="4" w:space="0"/>
            </w:tcBorders>
            <w:vAlign w:val="center"/>
          </w:tcPr>
          <w:p w14:paraId="0C776DBF">
            <w:pPr>
              <w:widowControl/>
              <w:jc w:val="center"/>
              <w:textAlignment w:val="top"/>
              <w:rPr>
                <w:color w:val="auto"/>
                <w:kern w:val="0"/>
                <w:szCs w:val="21"/>
              </w:rPr>
            </w:pPr>
            <w:r>
              <w:rPr>
                <w:color w:val="auto"/>
                <w:kern w:val="0"/>
                <w:szCs w:val="21"/>
              </w:rPr>
              <w:t>438.7</w:t>
            </w:r>
          </w:p>
        </w:tc>
        <w:tc>
          <w:tcPr>
            <w:tcW w:w="809" w:type="dxa"/>
            <w:tcBorders>
              <w:top w:val="single" w:color="auto" w:sz="4" w:space="0"/>
              <w:left w:val="single" w:color="auto" w:sz="4" w:space="0"/>
              <w:bottom w:val="single" w:color="auto" w:sz="4" w:space="0"/>
              <w:right w:val="single" w:color="auto" w:sz="4" w:space="0"/>
            </w:tcBorders>
            <w:vAlign w:val="center"/>
          </w:tcPr>
          <w:p w14:paraId="401FA09C">
            <w:pPr>
              <w:widowControl/>
              <w:jc w:val="center"/>
              <w:textAlignment w:val="top"/>
              <w:rPr>
                <w:color w:val="auto"/>
                <w:kern w:val="0"/>
                <w:szCs w:val="21"/>
              </w:rPr>
            </w:pPr>
            <w:r>
              <w:rPr>
                <w:rFonts w:hint="eastAsia"/>
                <w:color w:val="auto"/>
                <w:kern w:val="0"/>
                <w:szCs w:val="21"/>
              </w:rPr>
              <w:t>532</w:t>
            </w:r>
          </w:p>
        </w:tc>
        <w:tc>
          <w:tcPr>
            <w:tcW w:w="809" w:type="dxa"/>
            <w:tcBorders>
              <w:top w:val="single" w:color="auto" w:sz="4" w:space="0"/>
              <w:left w:val="single" w:color="auto" w:sz="4" w:space="0"/>
              <w:bottom w:val="single" w:color="auto" w:sz="4" w:space="0"/>
              <w:right w:val="single" w:color="auto" w:sz="4" w:space="0"/>
            </w:tcBorders>
            <w:vAlign w:val="center"/>
          </w:tcPr>
          <w:p w14:paraId="42D5077B">
            <w:pPr>
              <w:widowControl/>
              <w:jc w:val="center"/>
              <w:textAlignment w:val="top"/>
              <w:rPr>
                <w:color w:val="auto"/>
                <w:kern w:val="0"/>
                <w:szCs w:val="21"/>
              </w:rPr>
            </w:pPr>
            <w:r>
              <w:rPr>
                <w:rFonts w:hint="eastAsia"/>
                <w:color w:val="auto"/>
                <w:kern w:val="0"/>
                <w:szCs w:val="21"/>
              </w:rPr>
              <w:t>537.2</w:t>
            </w:r>
          </w:p>
        </w:tc>
        <w:tc>
          <w:tcPr>
            <w:tcW w:w="809" w:type="dxa"/>
            <w:tcBorders>
              <w:top w:val="single" w:color="auto" w:sz="4" w:space="0"/>
              <w:left w:val="single" w:color="auto" w:sz="4" w:space="0"/>
              <w:bottom w:val="single" w:color="auto" w:sz="4" w:space="0"/>
              <w:right w:val="single" w:color="auto" w:sz="4" w:space="0"/>
            </w:tcBorders>
            <w:vAlign w:val="center"/>
          </w:tcPr>
          <w:p w14:paraId="41228785">
            <w:pPr>
              <w:widowControl/>
              <w:jc w:val="center"/>
              <w:textAlignment w:val="top"/>
              <w:rPr>
                <w:color w:val="auto"/>
                <w:kern w:val="0"/>
                <w:szCs w:val="21"/>
              </w:rPr>
            </w:pPr>
            <w:r>
              <w:rPr>
                <w:rFonts w:hint="eastAsia"/>
                <w:color w:val="auto"/>
                <w:kern w:val="0"/>
                <w:szCs w:val="21"/>
              </w:rPr>
              <w:t>520.5</w:t>
            </w:r>
          </w:p>
        </w:tc>
      </w:tr>
      <w:tr w14:paraId="6838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14:paraId="743C6512">
            <w:pPr>
              <w:widowControl/>
              <w:jc w:val="center"/>
              <w:textAlignment w:val="center"/>
              <w:rPr>
                <w:color w:val="auto"/>
                <w:kern w:val="0"/>
                <w:szCs w:val="21"/>
              </w:rPr>
            </w:pPr>
            <w:r>
              <w:rPr>
                <w:color w:val="auto"/>
                <w:kern w:val="0"/>
                <w:szCs w:val="21"/>
              </w:rPr>
              <w:t>比例</w:t>
            </w:r>
          </w:p>
          <w:p w14:paraId="402AB4AC">
            <w:pPr>
              <w:widowControl/>
              <w:jc w:val="center"/>
              <w:textAlignment w:val="center"/>
              <w:rPr>
                <w:rFonts w:eastAsiaTheme="majorEastAsia"/>
                <w:bCs/>
                <w:color w:val="auto"/>
                <w:kern w:val="44"/>
                <w:szCs w:val="21"/>
              </w:rPr>
            </w:pPr>
            <w:r>
              <w:rPr>
                <w:rFonts w:hint="eastAsia"/>
                <w:color w:val="auto"/>
                <w:kern w:val="0"/>
                <w:szCs w:val="21"/>
              </w:rPr>
              <w:t>（</w:t>
            </w:r>
            <w:r>
              <w:rPr>
                <w:color w:val="auto"/>
                <w:kern w:val="0"/>
                <w:szCs w:val="21"/>
              </w:rPr>
              <w:t>%</w:t>
            </w:r>
            <w:r>
              <w:rPr>
                <w:rFonts w:hint="eastAsia"/>
                <w:color w:val="auto"/>
                <w:kern w:val="0"/>
                <w:szCs w:val="21"/>
              </w:rPr>
              <w:t>）</w:t>
            </w:r>
          </w:p>
        </w:tc>
        <w:tc>
          <w:tcPr>
            <w:tcW w:w="809" w:type="dxa"/>
            <w:tcBorders>
              <w:top w:val="single" w:color="auto" w:sz="4" w:space="0"/>
              <w:left w:val="single" w:color="auto" w:sz="4" w:space="0"/>
              <w:bottom w:val="single" w:color="auto" w:sz="4" w:space="0"/>
              <w:right w:val="single" w:color="auto" w:sz="4" w:space="0"/>
            </w:tcBorders>
            <w:vAlign w:val="center"/>
          </w:tcPr>
          <w:p w14:paraId="462FD085">
            <w:pPr>
              <w:widowControl/>
              <w:jc w:val="center"/>
              <w:textAlignment w:val="center"/>
              <w:rPr>
                <w:color w:val="auto"/>
                <w:kern w:val="0"/>
                <w:szCs w:val="21"/>
              </w:rPr>
            </w:pPr>
            <w:r>
              <w:rPr>
                <w:color w:val="auto"/>
                <w:kern w:val="0"/>
                <w:szCs w:val="21"/>
              </w:rPr>
              <w:t>24.53</w:t>
            </w:r>
          </w:p>
        </w:tc>
        <w:tc>
          <w:tcPr>
            <w:tcW w:w="809" w:type="dxa"/>
            <w:tcBorders>
              <w:top w:val="single" w:color="auto" w:sz="4" w:space="0"/>
              <w:left w:val="single" w:color="auto" w:sz="4" w:space="0"/>
              <w:bottom w:val="single" w:color="auto" w:sz="4" w:space="0"/>
              <w:right w:val="single" w:color="auto" w:sz="4" w:space="0"/>
            </w:tcBorders>
            <w:vAlign w:val="center"/>
          </w:tcPr>
          <w:p w14:paraId="14633C64">
            <w:pPr>
              <w:widowControl/>
              <w:jc w:val="center"/>
              <w:textAlignment w:val="center"/>
              <w:rPr>
                <w:rFonts w:eastAsiaTheme="majorEastAsia"/>
                <w:bCs/>
                <w:color w:val="auto"/>
                <w:kern w:val="44"/>
                <w:szCs w:val="21"/>
              </w:rPr>
            </w:pPr>
            <w:r>
              <w:rPr>
                <w:color w:val="auto"/>
                <w:kern w:val="0"/>
                <w:szCs w:val="21"/>
              </w:rPr>
              <w:t>22.77</w:t>
            </w:r>
          </w:p>
        </w:tc>
        <w:tc>
          <w:tcPr>
            <w:tcW w:w="809" w:type="dxa"/>
            <w:tcBorders>
              <w:top w:val="single" w:color="auto" w:sz="4" w:space="0"/>
              <w:left w:val="single" w:color="auto" w:sz="4" w:space="0"/>
              <w:bottom w:val="single" w:color="auto" w:sz="4" w:space="0"/>
              <w:right w:val="single" w:color="auto" w:sz="4" w:space="0"/>
            </w:tcBorders>
            <w:vAlign w:val="center"/>
          </w:tcPr>
          <w:p w14:paraId="3B30677F">
            <w:pPr>
              <w:widowControl/>
              <w:jc w:val="center"/>
              <w:textAlignment w:val="center"/>
              <w:rPr>
                <w:rFonts w:eastAsiaTheme="majorEastAsia"/>
                <w:bCs/>
                <w:color w:val="auto"/>
                <w:kern w:val="44"/>
                <w:szCs w:val="21"/>
              </w:rPr>
            </w:pPr>
            <w:r>
              <w:rPr>
                <w:color w:val="auto"/>
                <w:kern w:val="0"/>
                <w:szCs w:val="21"/>
              </w:rPr>
              <w:t>24.42</w:t>
            </w:r>
          </w:p>
        </w:tc>
        <w:tc>
          <w:tcPr>
            <w:tcW w:w="809" w:type="dxa"/>
            <w:tcBorders>
              <w:top w:val="single" w:color="auto" w:sz="4" w:space="0"/>
              <w:left w:val="single" w:color="auto" w:sz="4" w:space="0"/>
              <w:bottom w:val="single" w:color="auto" w:sz="4" w:space="0"/>
              <w:right w:val="single" w:color="auto" w:sz="4" w:space="0"/>
            </w:tcBorders>
            <w:vAlign w:val="center"/>
          </w:tcPr>
          <w:p w14:paraId="5B296A11">
            <w:pPr>
              <w:widowControl/>
              <w:jc w:val="center"/>
              <w:textAlignment w:val="center"/>
              <w:rPr>
                <w:color w:val="auto"/>
                <w:kern w:val="0"/>
                <w:szCs w:val="21"/>
              </w:rPr>
            </w:pPr>
            <w:r>
              <w:rPr>
                <w:color w:val="auto"/>
                <w:kern w:val="0"/>
                <w:szCs w:val="21"/>
              </w:rPr>
              <w:t>22.26</w:t>
            </w:r>
          </w:p>
        </w:tc>
        <w:tc>
          <w:tcPr>
            <w:tcW w:w="809" w:type="dxa"/>
            <w:tcBorders>
              <w:top w:val="single" w:color="auto" w:sz="4" w:space="0"/>
              <w:left w:val="single" w:color="auto" w:sz="4" w:space="0"/>
              <w:bottom w:val="single" w:color="auto" w:sz="4" w:space="0"/>
              <w:right w:val="single" w:color="auto" w:sz="4" w:space="0"/>
            </w:tcBorders>
            <w:vAlign w:val="center"/>
          </w:tcPr>
          <w:p w14:paraId="37D54B65">
            <w:pPr>
              <w:widowControl/>
              <w:jc w:val="center"/>
              <w:textAlignment w:val="center"/>
              <w:rPr>
                <w:color w:val="auto"/>
                <w:kern w:val="0"/>
                <w:szCs w:val="21"/>
              </w:rPr>
            </w:pPr>
            <w:r>
              <w:rPr>
                <w:color w:val="auto"/>
                <w:kern w:val="0"/>
                <w:szCs w:val="21"/>
              </w:rPr>
              <w:t>20.69</w:t>
            </w:r>
          </w:p>
        </w:tc>
        <w:tc>
          <w:tcPr>
            <w:tcW w:w="809" w:type="dxa"/>
            <w:tcBorders>
              <w:top w:val="single" w:color="auto" w:sz="4" w:space="0"/>
              <w:left w:val="single" w:color="auto" w:sz="4" w:space="0"/>
              <w:bottom w:val="single" w:color="auto" w:sz="4" w:space="0"/>
              <w:right w:val="single" w:color="auto" w:sz="4" w:space="0"/>
            </w:tcBorders>
            <w:vAlign w:val="center"/>
          </w:tcPr>
          <w:p w14:paraId="7A8BD778">
            <w:pPr>
              <w:widowControl/>
              <w:jc w:val="center"/>
              <w:textAlignment w:val="center"/>
              <w:rPr>
                <w:color w:val="auto"/>
                <w:kern w:val="0"/>
                <w:szCs w:val="21"/>
              </w:rPr>
            </w:pPr>
            <w:r>
              <w:rPr>
                <w:color w:val="auto"/>
                <w:kern w:val="0"/>
                <w:szCs w:val="21"/>
              </w:rPr>
              <w:t>16.35</w:t>
            </w:r>
          </w:p>
        </w:tc>
        <w:tc>
          <w:tcPr>
            <w:tcW w:w="810" w:type="dxa"/>
            <w:tcBorders>
              <w:top w:val="single" w:color="auto" w:sz="4" w:space="0"/>
              <w:left w:val="single" w:color="auto" w:sz="4" w:space="0"/>
              <w:bottom w:val="single" w:color="auto" w:sz="4" w:space="0"/>
              <w:right w:val="single" w:color="auto" w:sz="4" w:space="0"/>
            </w:tcBorders>
            <w:vAlign w:val="center"/>
          </w:tcPr>
          <w:p w14:paraId="12FE45C7">
            <w:pPr>
              <w:widowControl/>
              <w:jc w:val="center"/>
              <w:textAlignment w:val="center"/>
              <w:rPr>
                <w:color w:val="auto"/>
                <w:kern w:val="0"/>
                <w:szCs w:val="21"/>
              </w:rPr>
            </w:pPr>
            <w:r>
              <w:rPr>
                <w:color w:val="auto"/>
                <w:kern w:val="0"/>
                <w:szCs w:val="21"/>
              </w:rPr>
              <w:t>14.62</w:t>
            </w:r>
          </w:p>
        </w:tc>
        <w:tc>
          <w:tcPr>
            <w:tcW w:w="809" w:type="dxa"/>
            <w:tcBorders>
              <w:top w:val="single" w:color="auto" w:sz="4" w:space="0"/>
              <w:left w:val="single" w:color="auto" w:sz="4" w:space="0"/>
              <w:bottom w:val="single" w:color="auto" w:sz="4" w:space="0"/>
              <w:right w:val="single" w:color="auto" w:sz="4" w:space="0"/>
            </w:tcBorders>
            <w:vAlign w:val="center"/>
          </w:tcPr>
          <w:p w14:paraId="11B70BDB">
            <w:pPr>
              <w:widowControl/>
              <w:jc w:val="center"/>
              <w:textAlignment w:val="center"/>
              <w:rPr>
                <w:color w:val="auto"/>
                <w:kern w:val="0"/>
                <w:szCs w:val="21"/>
              </w:rPr>
            </w:pPr>
            <w:r>
              <w:rPr>
                <w:rFonts w:hint="eastAsia"/>
                <w:color w:val="auto"/>
                <w:kern w:val="0"/>
                <w:szCs w:val="21"/>
              </w:rPr>
              <w:t>16.63</w:t>
            </w:r>
          </w:p>
        </w:tc>
        <w:tc>
          <w:tcPr>
            <w:tcW w:w="809" w:type="dxa"/>
            <w:tcBorders>
              <w:top w:val="single" w:color="auto" w:sz="4" w:space="0"/>
              <w:left w:val="single" w:color="auto" w:sz="4" w:space="0"/>
              <w:bottom w:val="single" w:color="auto" w:sz="4" w:space="0"/>
              <w:right w:val="single" w:color="auto" w:sz="4" w:space="0"/>
            </w:tcBorders>
            <w:vAlign w:val="center"/>
          </w:tcPr>
          <w:p w14:paraId="2F2FE1B7">
            <w:pPr>
              <w:widowControl/>
              <w:jc w:val="center"/>
              <w:textAlignment w:val="center"/>
              <w:rPr>
                <w:color w:val="auto"/>
                <w:kern w:val="0"/>
                <w:szCs w:val="21"/>
              </w:rPr>
            </w:pPr>
            <w:r>
              <w:rPr>
                <w:rFonts w:hint="eastAsia"/>
                <w:color w:val="auto"/>
                <w:kern w:val="0"/>
                <w:szCs w:val="21"/>
              </w:rPr>
              <w:t>14.89</w:t>
            </w:r>
          </w:p>
        </w:tc>
        <w:tc>
          <w:tcPr>
            <w:tcW w:w="809" w:type="dxa"/>
            <w:tcBorders>
              <w:top w:val="single" w:color="auto" w:sz="4" w:space="0"/>
              <w:left w:val="single" w:color="auto" w:sz="4" w:space="0"/>
              <w:bottom w:val="single" w:color="auto" w:sz="4" w:space="0"/>
              <w:right w:val="single" w:color="auto" w:sz="4" w:space="0"/>
            </w:tcBorders>
            <w:vAlign w:val="center"/>
          </w:tcPr>
          <w:p w14:paraId="7471BDBA">
            <w:pPr>
              <w:widowControl/>
              <w:jc w:val="center"/>
              <w:textAlignment w:val="center"/>
              <w:rPr>
                <w:color w:val="auto"/>
                <w:kern w:val="0"/>
                <w:szCs w:val="21"/>
              </w:rPr>
            </w:pPr>
            <w:r>
              <w:rPr>
                <w:rFonts w:hint="eastAsia"/>
                <w:color w:val="auto"/>
                <w:kern w:val="0"/>
                <w:szCs w:val="21"/>
              </w:rPr>
              <w:t>12.53</w:t>
            </w:r>
          </w:p>
        </w:tc>
      </w:tr>
    </w:tbl>
    <w:p w14:paraId="1B0DBE94">
      <w:pPr>
        <w:pStyle w:val="20"/>
        <w:ind w:left="0" w:leftChars="0" w:firstLine="560" w:firstLineChars="200"/>
        <w:rPr>
          <w:color w:val="auto"/>
          <w:kern w:val="2"/>
          <w:sz w:val="28"/>
          <w:szCs w:val="20"/>
        </w:rPr>
      </w:pPr>
      <w:r>
        <w:rPr>
          <w:rFonts w:hint="eastAsia"/>
          <w:color w:val="auto"/>
          <w:kern w:val="2"/>
          <w:sz w:val="28"/>
          <w:szCs w:val="20"/>
        </w:rPr>
        <w:t>（3）企业主体情况</w:t>
      </w:r>
    </w:p>
    <w:p w14:paraId="77749F46">
      <w:pPr>
        <w:pStyle w:val="20"/>
        <w:ind w:left="0" w:leftChars="0" w:firstLine="560" w:firstLineChars="200"/>
        <w:rPr>
          <w:color w:val="auto"/>
          <w:kern w:val="2"/>
          <w:sz w:val="28"/>
          <w:szCs w:val="20"/>
        </w:rPr>
      </w:pPr>
      <w:r>
        <w:rPr>
          <w:rFonts w:hint="eastAsia"/>
          <w:color w:val="auto"/>
          <w:kern w:val="2"/>
          <w:sz w:val="28"/>
          <w:szCs w:val="20"/>
        </w:rPr>
        <w:t>浙江省木材加工水平居于全国木材加工产业前列，木材加工企业数量较多，超7万家。如江山市木业产值达到186.3亿元,行业从业人员4.5万人,有各类木业企业1300余家,其中亿元企业16家。作为“中国木地板之都”，南浔木业规上企业有300多家。嘉善已形成现有各类木制品企业519,其中木业企业496家,全行业从业人员3.5万余人,实现年产值94.35亿元。云和全县共有木制玩具生产企业1093家，产品总量占全国的56%、世界的40%，其中70%以上产品出口76个国家和地区，木制玩具总产值超80亿元，解决了3.1万人就业。</w:t>
      </w:r>
    </w:p>
    <w:p w14:paraId="30CB5D42">
      <w:pPr>
        <w:pStyle w:val="20"/>
        <w:ind w:left="0" w:leftChars="0" w:firstLine="560" w:firstLineChars="200"/>
        <w:rPr>
          <w:color w:val="auto"/>
          <w:kern w:val="2"/>
          <w:sz w:val="28"/>
          <w:szCs w:val="20"/>
        </w:rPr>
      </w:pPr>
      <w:r>
        <w:rPr>
          <w:rFonts w:hint="eastAsia"/>
          <w:color w:val="auto"/>
          <w:kern w:val="2"/>
          <w:sz w:val="28"/>
          <w:szCs w:val="20"/>
        </w:rPr>
        <w:t>全省现有各类竹加工企业4000余家，年产值超亿元的企业20余家，5000万元以上50多家；其中，国家级林业重点龙头企业8家，省级林业重点龙头企业53家，主板上市企业1家，新三板上市企业4家。产品涉及竹地板、竹家具、竹材人造板、竹工艺品、竹装饰品、竹浆造纸、竹纤维制品、竹生活品、竹炭等十几个类别的上千个品种，已经形成一个集文化、生态、经济、社会效益为一体的完整产业链。产品出口美、欧、日、韩等数十个国家和地区，年出口额6亿多美元。如，安吉县有竹业生产企业2162家，其中年产值500万元以上的企业406家，超5000万元的39家，超亿元的9家，产品远销东南亚、欧美等30多个国家和地区；庆元县有竹加工企业270多家，竹业年加工产值20多亿元，竹企业上交的税额占该县工业总税收的近一半。</w:t>
      </w:r>
    </w:p>
    <w:p w14:paraId="49A47BBA">
      <w:pPr>
        <w:pStyle w:val="20"/>
        <w:ind w:left="0" w:leftChars="0" w:firstLine="560" w:firstLineChars="200"/>
        <w:rPr>
          <w:color w:val="auto"/>
          <w:kern w:val="2"/>
          <w:sz w:val="28"/>
          <w:szCs w:val="20"/>
        </w:rPr>
      </w:pPr>
      <w:r>
        <w:rPr>
          <w:rFonts w:hint="eastAsia"/>
          <w:color w:val="auto"/>
          <w:kern w:val="2"/>
          <w:sz w:val="28"/>
          <w:szCs w:val="20"/>
        </w:rPr>
        <w:t>（4）从业人员情况</w:t>
      </w:r>
    </w:p>
    <w:p w14:paraId="2400C519">
      <w:pPr>
        <w:pStyle w:val="20"/>
        <w:ind w:left="0" w:leftChars="0" w:firstLine="560" w:firstLineChars="200"/>
        <w:rPr>
          <w:color w:val="auto"/>
          <w:kern w:val="2"/>
          <w:sz w:val="28"/>
          <w:szCs w:val="20"/>
        </w:rPr>
      </w:pPr>
      <w:r>
        <w:rPr>
          <w:rFonts w:hint="eastAsia"/>
          <w:color w:val="auto"/>
          <w:kern w:val="2"/>
          <w:sz w:val="28"/>
          <w:szCs w:val="20"/>
        </w:rPr>
        <w:t>竹木产业横跨一、二、三产业，具有产业链条长、涵盖范围广、用工容量大、就业门槛低、综合效益好的特点，且消耗的资源多来自本地，对解决当地农村劳动力的就业问题贡献巨大。如，南浔木地板产业已成为全市最大的区域块状经济,现有木地板生产企业380家，年销售额130亿,年产量8000多万平方米,从业人员6万多人。目前，全省有300多万山区农民从事与竹有关的产业，有10万多人从事竹（笋）加工产业。安吉、临安、龙泉、庆元等竹区农民近一半收入来自于竹业，竹产业已成为全省山区农民收入的重要来源之一。</w:t>
      </w:r>
    </w:p>
    <w:p w14:paraId="0E3B0691">
      <w:pPr>
        <w:pStyle w:val="20"/>
        <w:ind w:left="0" w:leftChars="0" w:firstLine="560" w:firstLineChars="200"/>
        <w:rPr>
          <w:color w:val="auto"/>
          <w:kern w:val="2"/>
          <w:sz w:val="28"/>
          <w:szCs w:val="20"/>
        </w:rPr>
      </w:pPr>
      <w:r>
        <w:rPr>
          <w:rFonts w:hint="eastAsia"/>
          <w:color w:val="auto"/>
          <w:kern w:val="2"/>
          <w:sz w:val="28"/>
          <w:szCs w:val="20"/>
        </w:rPr>
        <w:t>（5）竹木产品情况</w:t>
      </w:r>
    </w:p>
    <w:p w14:paraId="3082F725">
      <w:pPr>
        <w:pStyle w:val="20"/>
        <w:ind w:left="0" w:leftChars="0" w:firstLine="560" w:firstLineChars="200"/>
        <w:rPr>
          <w:color w:val="auto"/>
          <w:kern w:val="2"/>
          <w:sz w:val="28"/>
          <w:szCs w:val="20"/>
        </w:rPr>
      </w:pPr>
      <w:r>
        <w:rPr>
          <w:rFonts w:hint="eastAsia"/>
          <w:color w:val="auto"/>
          <w:kern w:val="2"/>
          <w:sz w:val="28"/>
          <w:szCs w:val="20"/>
        </w:rPr>
        <w:t>浙江常见的木材种类有杉木、松木、柞木、桂林木等。杉木也被广泛地应用于地板和楼梯的制作。。浙江的松木产地主要分布于丽水、舟山和衢州等地。松木具有纹理清晰，材质轻，不易变形等特点，被广泛地应用于家具、建筑和装饰等领域，尤其是在浙江木结构建筑中得到了广泛的应用。柞木在浙江省的分布也比较广泛，主要分布于杭州、临安、绍兴、湖州等地。柞木具有材质致密、耐水性强的特点，因此被广泛地应用于桥梁、码头、矿井和海洋工程等领域。桂林木也是我省常见的木材之一，分布于南部的临海、温岭、黄岩等地。桂林木具有汁液丰富、材质硬坚、防腐性好、耐水性强等特点，因此被广泛地应用于家具、建筑和装饰等领域。</w:t>
      </w:r>
    </w:p>
    <w:p w14:paraId="5C5E7614">
      <w:pPr>
        <w:pStyle w:val="20"/>
        <w:ind w:left="0" w:leftChars="0" w:firstLine="560" w:firstLineChars="200"/>
        <w:rPr>
          <w:color w:val="auto"/>
          <w:kern w:val="2"/>
          <w:sz w:val="28"/>
          <w:szCs w:val="20"/>
        </w:rPr>
      </w:pPr>
      <w:r>
        <w:rPr>
          <w:rFonts w:hint="eastAsia"/>
          <w:color w:val="auto"/>
          <w:kern w:val="2"/>
          <w:sz w:val="28"/>
          <w:szCs w:val="20"/>
        </w:rPr>
        <w:t>全省目前已形成了一批竹产业特色优势产区，相关产业链条逐步健全，产业集聚效应日益凸显。如安吉县竹产品涉及8大系列3000余个品种，竹编织、竹地板两类产品占竹加工产值的85%以上；遂昌和衢江有300多个竹炭系列产品，产量占国内市场三分之一以上；庆元、龙泉是我国竹制餐具和小件家用竹具最集中的地区；龙游是全国竹层积材的发源地，兴盛时有竹加工企业500余家；临安是国内最大的菜竹笋生产和笋干加工中心，有菜竹笋林46万亩，分布在16个镇街170个行政村，涉及5万户15万竹农。</w:t>
      </w:r>
    </w:p>
    <w:p w14:paraId="4147469C">
      <w:pPr>
        <w:pStyle w:val="20"/>
        <w:ind w:left="0" w:leftChars="0" w:firstLine="560" w:firstLineChars="200"/>
        <w:rPr>
          <w:color w:val="auto"/>
          <w:kern w:val="2"/>
          <w:sz w:val="28"/>
          <w:szCs w:val="20"/>
        </w:rPr>
      </w:pPr>
      <w:r>
        <w:rPr>
          <w:rFonts w:hint="eastAsia"/>
          <w:color w:val="auto"/>
          <w:kern w:val="2"/>
          <w:sz w:val="28"/>
          <w:szCs w:val="20"/>
        </w:rPr>
        <w:t>（6）竹木产品市场情况</w:t>
      </w:r>
    </w:p>
    <w:p w14:paraId="07A85233">
      <w:pPr>
        <w:pStyle w:val="20"/>
        <w:ind w:left="0" w:leftChars="0" w:firstLine="560" w:firstLineChars="200"/>
        <w:rPr>
          <w:color w:val="auto"/>
          <w:kern w:val="2"/>
          <w:sz w:val="28"/>
          <w:szCs w:val="20"/>
        </w:rPr>
      </w:pPr>
      <w:r>
        <w:rPr>
          <w:rFonts w:hint="eastAsia"/>
          <w:color w:val="auto"/>
          <w:kern w:val="2"/>
          <w:sz w:val="28"/>
          <w:szCs w:val="20"/>
        </w:rPr>
        <w:t>重视竹产业市场体系建设，围绕国内国际双循环，坚持线上线下同步推广，借助数字浙江、义乌森博会等优势资源，积极建设竹类专业交易市场，组织参加各类线下展示展销活动；发展“竹企+网店”“竹企+委托运营商+平台”等林业电子商务模式，不断拓展竹产品市场和线上发展空间。如龙泉市投资3亿元开建竹木电商产业园，全市竹木电商达到697家，竹小家具产品占全国同类销量50%以上，竹业经济贡献了全市30%以上的工业税收、80%以上的外贸出口以及90%以上的新增就业岗位。对接市场需求，比如鼓励企业针对笋罐头在国内市场的需求，研发和加工笋制食品，以精准有效供给扩大市场份额。加强品牌建设，实施品牌发展战略，大力培育区域公共品牌、企业品牌，推荐符合条件的竹企使用“浙山至品”“浙山珍”区域公共品牌；开展宣传推荐活动，着力打造一批有影响力的品牌。</w:t>
      </w:r>
    </w:p>
    <w:p w14:paraId="07948A4E">
      <w:pPr>
        <w:pStyle w:val="10"/>
        <w:ind w:firstLine="0"/>
        <w:outlineLvl w:val="1"/>
        <w:rPr>
          <w:color w:val="auto"/>
        </w:rPr>
      </w:pPr>
      <w:bookmarkStart w:id="15" w:name="_Toc18696"/>
      <w:r>
        <w:rPr>
          <w:rFonts w:hint="eastAsia"/>
          <w:color w:val="auto"/>
        </w:rPr>
        <w:t>2.2 龙泉市竹木产业现状分析</w:t>
      </w:r>
      <w:bookmarkEnd w:id="14"/>
      <w:bookmarkEnd w:id="15"/>
    </w:p>
    <w:p w14:paraId="220E377F">
      <w:pPr>
        <w:pStyle w:val="32"/>
        <w:spacing w:line="560" w:lineRule="exact"/>
        <w:ind w:firstLine="560" w:firstLineChars="200"/>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（1）竹木产业总体情况</w:t>
      </w:r>
    </w:p>
    <w:p w14:paraId="55C687A6">
      <w:pPr>
        <w:pStyle w:val="32"/>
        <w:spacing w:line="560" w:lineRule="exact"/>
        <w:ind w:firstLine="560" w:firstLineChars="200"/>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rPr>
        <w:t>竹木产业是龙泉市“草根经济”产业，产业惠及全市13万林农，发展竹木产业是推动乡村振兴、共同富裕的重要抓手。全市现有竹木加工企业600多家。20</w:t>
      </w:r>
      <w:r>
        <w:rPr>
          <w:rFonts w:asciiTheme="minorEastAsia" w:hAnsiTheme="minorEastAsia" w:eastAsiaTheme="minorEastAsia" w:cstheme="minorEastAsia"/>
          <w:color w:val="auto"/>
          <w:sz w:val="28"/>
          <w:szCs w:val="28"/>
          <w:lang w:val="en-US"/>
        </w:rPr>
        <w:t>18</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54亿元；</w:t>
      </w:r>
      <w:r>
        <w:rPr>
          <w:rFonts w:asciiTheme="minorEastAsia" w:hAnsiTheme="minorEastAsia" w:eastAsiaTheme="minorEastAsia" w:cstheme="minorEastAsia"/>
          <w:color w:val="auto"/>
          <w:sz w:val="28"/>
          <w:szCs w:val="28"/>
        </w:rPr>
        <w:t>20</w:t>
      </w:r>
      <w:r>
        <w:rPr>
          <w:rFonts w:asciiTheme="minorEastAsia" w:hAnsiTheme="minorEastAsia" w:eastAsiaTheme="minorEastAsia" w:cstheme="minorEastAsia"/>
          <w:color w:val="auto"/>
          <w:sz w:val="28"/>
          <w:szCs w:val="28"/>
          <w:lang w:val="en-US"/>
        </w:rPr>
        <w:t>19</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57亿元；</w:t>
      </w:r>
      <w:r>
        <w:rPr>
          <w:rFonts w:asciiTheme="minorEastAsia" w:hAnsiTheme="minorEastAsia" w:eastAsiaTheme="minorEastAsia" w:cstheme="minorEastAsia"/>
          <w:color w:val="auto"/>
          <w:sz w:val="28"/>
          <w:szCs w:val="28"/>
        </w:rPr>
        <w:t>20</w:t>
      </w:r>
      <w:r>
        <w:rPr>
          <w:rFonts w:asciiTheme="minorEastAsia" w:hAnsiTheme="minorEastAsia" w:eastAsiaTheme="minorEastAsia" w:cstheme="minorEastAsia"/>
          <w:color w:val="auto"/>
          <w:sz w:val="28"/>
          <w:szCs w:val="28"/>
          <w:lang w:val="en-US"/>
        </w:rPr>
        <w:t>20</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59亿元；</w:t>
      </w:r>
      <w:r>
        <w:rPr>
          <w:rFonts w:asciiTheme="minorEastAsia" w:hAnsiTheme="minorEastAsia" w:eastAsiaTheme="minorEastAsia" w:cstheme="minorEastAsia"/>
          <w:color w:val="auto"/>
          <w:sz w:val="28"/>
          <w:szCs w:val="28"/>
        </w:rPr>
        <w:t>20</w:t>
      </w:r>
      <w:r>
        <w:rPr>
          <w:rFonts w:asciiTheme="minorEastAsia" w:hAnsiTheme="minorEastAsia" w:eastAsiaTheme="minorEastAsia" w:cstheme="minorEastAsia"/>
          <w:color w:val="auto"/>
          <w:sz w:val="28"/>
          <w:szCs w:val="28"/>
          <w:lang w:val="en-US"/>
        </w:rPr>
        <w:t>21</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61亿元；</w:t>
      </w:r>
      <w:r>
        <w:rPr>
          <w:rFonts w:asciiTheme="minorEastAsia" w:hAnsiTheme="minorEastAsia" w:eastAsiaTheme="minorEastAsia" w:cstheme="minorEastAsia"/>
          <w:color w:val="auto"/>
          <w:sz w:val="28"/>
          <w:szCs w:val="28"/>
        </w:rPr>
        <w:t>20</w:t>
      </w:r>
      <w:r>
        <w:rPr>
          <w:rFonts w:asciiTheme="minorEastAsia" w:hAnsiTheme="minorEastAsia" w:eastAsiaTheme="minorEastAsia" w:cstheme="minorEastAsia"/>
          <w:color w:val="auto"/>
          <w:sz w:val="28"/>
          <w:szCs w:val="28"/>
          <w:lang w:val="en-US"/>
        </w:rPr>
        <w:t>22</w:t>
      </w:r>
      <w:r>
        <w:rPr>
          <w:rFonts w:asciiTheme="minorEastAsia" w:hAnsiTheme="minorEastAsia" w:eastAsiaTheme="minorEastAsia" w:cstheme="minorEastAsia"/>
          <w:color w:val="auto"/>
          <w:sz w:val="28"/>
          <w:szCs w:val="28"/>
        </w:rPr>
        <w:t>年，竹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产业实现总产值</w:t>
      </w:r>
      <w:r>
        <w:rPr>
          <w:rFonts w:asciiTheme="minorEastAsia" w:hAnsiTheme="minorEastAsia" w:eastAsiaTheme="minorEastAsia" w:cstheme="minorEastAsia"/>
          <w:color w:val="auto"/>
          <w:sz w:val="28"/>
          <w:szCs w:val="28"/>
          <w:lang w:val="en-US"/>
        </w:rPr>
        <w:t>64亿元</w:t>
      </w:r>
      <w:r>
        <w:rPr>
          <w:rFonts w:asciiTheme="minorEastAsia" w:hAnsiTheme="minorEastAsia" w:eastAsiaTheme="minorEastAsia" w:cstheme="minorEastAsia"/>
          <w:color w:val="auto"/>
          <w:sz w:val="28"/>
          <w:szCs w:val="28"/>
        </w:rPr>
        <w:t>，解决就业近2万人</w:t>
      </w:r>
      <w:r>
        <w:rPr>
          <w:rFonts w:asciiTheme="minorEastAsia" w:hAnsiTheme="minorEastAsia" w:eastAsiaTheme="minorEastAsia" w:cstheme="minorEastAsia"/>
          <w:color w:val="auto"/>
          <w:sz w:val="28"/>
          <w:szCs w:val="28"/>
          <w:lang w:val="en-US"/>
        </w:rPr>
        <w:t>，</w:t>
      </w:r>
      <w:r>
        <w:rPr>
          <w:rFonts w:asciiTheme="minorEastAsia" w:hAnsiTheme="minorEastAsia" w:eastAsiaTheme="minorEastAsia" w:cstheme="minorEastAsia"/>
          <w:color w:val="auto"/>
          <w:sz w:val="28"/>
          <w:szCs w:val="28"/>
        </w:rPr>
        <w:t>占202</w:t>
      </w:r>
      <w:r>
        <w:rPr>
          <w:rFonts w:asciiTheme="minorEastAsia" w:hAnsiTheme="minorEastAsia" w:eastAsiaTheme="minorEastAsia" w:cstheme="minorEastAsia"/>
          <w:color w:val="auto"/>
          <w:sz w:val="28"/>
          <w:szCs w:val="28"/>
          <w:lang w:val="en-US"/>
        </w:rPr>
        <w:t>2</w:t>
      </w:r>
      <w:r>
        <w:rPr>
          <w:rFonts w:asciiTheme="minorEastAsia" w:hAnsiTheme="minorEastAsia" w:eastAsiaTheme="minorEastAsia" w:cstheme="minorEastAsia"/>
          <w:color w:val="auto"/>
          <w:sz w:val="28"/>
          <w:szCs w:val="28"/>
        </w:rPr>
        <w:t>年龙泉市GDP的</w:t>
      </w:r>
      <w:r>
        <w:rPr>
          <w:rFonts w:asciiTheme="minorEastAsia" w:hAnsiTheme="minorEastAsia" w:eastAsiaTheme="minorEastAsia" w:cstheme="minorEastAsia"/>
          <w:color w:val="auto"/>
          <w:sz w:val="28"/>
          <w:szCs w:val="28"/>
          <w:lang w:val="en-US"/>
        </w:rPr>
        <w:t>38.82</w:t>
      </w:r>
      <w:r>
        <w:rPr>
          <w:rFonts w:asciiTheme="minorEastAsia" w:hAnsiTheme="minorEastAsia" w:eastAsiaTheme="minorEastAsia" w:cstheme="minorEastAsia"/>
          <w:color w:val="auto"/>
          <w:sz w:val="28"/>
          <w:szCs w:val="28"/>
        </w:rPr>
        <w:t>%。2023年,龙泉市竹木产业实现产值约67亿元，</w:t>
      </w:r>
      <w:r>
        <w:rPr>
          <w:rFonts w:asciiTheme="minorEastAsia" w:hAnsiTheme="minorEastAsia" w:eastAsiaTheme="minorEastAsia" w:cstheme="minorEastAsia"/>
          <w:color w:val="auto"/>
          <w:sz w:val="28"/>
          <w:szCs w:val="28"/>
          <w:lang w:val="en-US"/>
        </w:rPr>
        <w:t>占比36.5%</w:t>
      </w:r>
      <w:r>
        <w:rPr>
          <w:rFonts w:asciiTheme="minorEastAsia" w:hAnsiTheme="minorEastAsia" w:eastAsiaTheme="minorEastAsia" w:cstheme="minorEastAsia"/>
          <w:color w:val="auto"/>
          <w:sz w:val="28"/>
          <w:szCs w:val="28"/>
        </w:rPr>
        <w:t>。</w:t>
      </w:r>
      <w:r>
        <w:rPr>
          <w:rFonts w:asciiTheme="minorEastAsia" w:hAnsiTheme="minorEastAsia" w:eastAsiaTheme="minorEastAsia" w:cstheme="minorEastAsia"/>
          <w:color w:val="auto"/>
          <w:sz w:val="28"/>
          <w:szCs w:val="28"/>
          <w:lang w:val="en-US"/>
        </w:rPr>
        <w:t>对比分析知</w:t>
      </w:r>
      <w:r>
        <w:rPr>
          <w:rFonts w:asciiTheme="minorEastAsia" w:hAnsiTheme="minorEastAsia" w:eastAsiaTheme="minorEastAsia" w:cstheme="minorEastAsia"/>
          <w:color w:val="auto"/>
          <w:sz w:val="28"/>
          <w:szCs w:val="28"/>
        </w:rPr>
        <w:t>，202</w:t>
      </w:r>
      <w:r>
        <w:rPr>
          <w:rFonts w:asciiTheme="minorEastAsia" w:hAnsiTheme="minorEastAsia" w:eastAsiaTheme="minorEastAsia" w:cstheme="minorEastAsia"/>
          <w:color w:val="auto"/>
          <w:sz w:val="28"/>
          <w:szCs w:val="28"/>
          <w:lang w:val="en-US"/>
        </w:rPr>
        <w:t>3</w:t>
      </w:r>
      <w:r>
        <w:rPr>
          <w:rFonts w:asciiTheme="minorEastAsia" w:hAnsiTheme="minorEastAsia" w:eastAsiaTheme="minorEastAsia" w:cstheme="minorEastAsia"/>
          <w:color w:val="auto"/>
          <w:sz w:val="28"/>
          <w:szCs w:val="28"/>
        </w:rPr>
        <w:t>年</w:t>
      </w:r>
      <w:r>
        <w:rPr>
          <w:rFonts w:asciiTheme="minorEastAsia" w:hAnsiTheme="minorEastAsia" w:eastAsiaTheme="minorEastAsia" w:cstheme="minorEastAsia"/>
          <w:color w:val="auto"/>
          <w:sz w:val="28"/>
          <w:szCs w:val="28"/>
          <w:lang w:val="en-US"/>
        </w:rPr>
        <w:t>竹木</w:t>
      </w:r>
      <w:r>
        <w:rPr>
          <w:rFonts w:asciiTheme="minorEastAsia" w:hAnsiTheme="minorEastAsia" w:eastAsiaTheme="minorEastAsia" w:cstheme="minorEastAsia"/>
          <w:color w:val="auto"/>
          <w:sz w:val="28"/>
          <w:szCs w:val="28"/>
        </w:rPr>
        <w:t>产业总产值是201</w:t>
      </w:r>
      <w:r>
        <w:rPr>
          <w:rFonts w:asciiTheme="minorEastAsia" w:hAnsiTheme="minorEastAsia" w:eastAsiaTheme="minorEastAsia" w:cstheme="minorEastAsia"/>
          <w:color w:val="auto"/>
          <w:sz w:val="28"/>
          <w:szCs w:val="28"/>
          <w:lang w:val="en-US"/>
        </w:rPr>
        <w:t>8</w:t>
      </w:r>
      <w:r>
        <w:rPr>
          <w:rFonts w:asciiTheme="minorEastAsia" w:hAnsiTheme="minorEastAsia" w:eastAsiaTheme="minorEastAsia" w:cstheme="minorEastAsia"/>
          <w:color w:val="auto"/>
          <w:sz w:val="28"/>
          <w:szCs w:val="28"/>
        </w:rPr>
        <w:t>年的</w:t>
      </w:r>
      <w:r>
        <w:rPr>
          <w:rFonts w:asciiTheme="minorEastAsia" w:hAnsiTheme="minorEastAsia" w:eastAsiaTheme="minorEastAsia" w:cstheme="minorEastAsia"/>
          <w:color w:val="auto"/>
          <w:sz w:val="28"/>
          <w:szCs w:val="28"/>
          <w:lang w:val="en-US"/>
        </w:rPr>
        <w:t>1.24</w:t>
      </w:r>
      <w:r>
        <w:rPr>
          <w:rFonts w:asciiTheme="minorEastAsia" w:hAnsiTheme="minorEastAsia" w:eastAsiaTheme="minorEastAsia" w:cstheme="minorEastAsia"/>
          <w:color w:val="auto"/>
          <w:sz w:val="28"/>
          <w:szCs w:val="28"/>
        </w:rPr>
        <w:t>倍，</w:t>
      </w:r>
      <w:r>
        <w:rPr>
          <w:rFonts w:asciiTheme="minorEastAsia" w:hAnsiTheme="minorEastAsia" w:eastAsiaTheme="minorEastAsia" w:cstheme="minorEastAsia"/>
          <w:color w:val="auto"/>
          <w:sz w:val="28"/>
          <w:szCs w:val="28"/>
          <w:lang w:val="en-US"/>
        </w:rPr>
        <w:t>年均增长4.8%；</w:t>
      </w:r>
      <w:r>
        <w:rPr>
          <w:rFonts w:asciiTheme="minorEastAsia" w:hAnsiTheme="minorEastAsia" w:eastAsiaTheme="minorEastAsia" w:cstheme="minorEastAsia"/>
          <w:color w:val="auto"/>
          <w:sz w:val="28"/>
          <w:szCs w:val="28"/>
        </w:rPr>
        <w:t>龙泉市竹</w:t>
      </w:r>
      <w:r>
        <w:rPr>
          <w:rFonts w:asciiTheme="minorEastAsia" w:hAnsiTheme="minorEastAsia" w:eastAsiaTheme="minorEastAsia" w:cstheme="minorEastAsia"/>
          <w:color w:val="auto"/>
          <w:sz w:val="28"/>
          <w:szCs w:val="28"/>
          <w:lang w:val="en-US"/>
        </w:rPr>
        <w:t>木</w:t>
      </w:r>
      <w:r>
        <w:rPr>
          <w:rFonts w:asciiTheme="minorEastAsia" w:hAnsiTheme="minorEastAsia" w:eastAsiaTheme="minorEastAsia" w:cstheme="minorEastAsia"/>
          <w:color w:val="auto"/>
          <w:sz w:val="28"/>
          <w:szCs w:val="28"/>
        </w:rPr>
        <w:t>产业</w:t>
      </w:r>
      <w:r>
        <w:rPr>
          <w:rFonts w:asciiTheme="minorEastAsia" w:hAnsiTheme="minorEastAsia" w:eastAsiaTheme="minorEastAsia" w:cstheme="minorEastAsia"/>
          <w:color w:val="auto"/>
          <w:sz w:val="28"/>
          <w:szCs w:val="28"/>
          <w:lang w:val="en-US"/>
        </w:rPr>
        <w:t>较快</w:t>
      </w:r>
      <w:r>
        <w:rPr>
          <w:rFonts w:asciiTheme="minorEastAsia" w:hAnsiTheme="minorEastAsia" w:eastAsiaTheme="minorEastAsia" w:cstheme="minorEastAsia"/>
          <w:color w:val="auto"/>
          <w:sz w:val="28"/>
          <w:szCs w:val="28"/>
        </w:rPr>
        <w:t>发展</w:t>
      </w:r>
      <w:r>
        <w:rPr>
          <w:rFonts w:asciiTheme="minorEastAsia" w:hAnsiTheme="minorEastAsia" w:eastAsiaTheme="minorEastAsia" w:cstheme="minorEastAsia"/>
          <w:color w:val="auto"/>
          <w:sz w:val="28"/>
          <w:szCs w:val="28"/>
          <w:lang w:val="en-US"/>
        </w:rPr>
        <w:t>。</w:t>
      </w:r>
    </w:p>
    <w:p w14:paraId="7648B5B7">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（2）第一产业现状</w:t>
      </w:r>
    </w:p>
    <w:p w14:paraId="3CD4C69B">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龙泉市是我国南方重点林区县（市），是浙江省的林区大县，林业用地398.5万亩，林农人均林地面积达16.6亩，是耕地面积的15倍；全市森林覆盖率84.3%，林木蓄积量高达1987万立方米，植物种类1800余种，有着“浙南林海”、“华东古老植物的摇篮”之称，境内珍稀名贵野生中药材种类繁多，种质资源丰富。林业人均收入占农村人均居民可支配收入的61%以上，“九山半水半分田”是龙泉的真实写照，广大农民靠山吃山，对林业依赖性很强。</w:t>
      </w:r>
      <w:r>
        <w:rPr>
          <w:rFonts w:asciiTheme="minorEastAsia" w:hAnsiTheme="minorEastAsia" w:eastAsiaTheme="minorEastAsia" w:cstheme="minorEastAsia"/>
          <w:color w:val="auto"/>
          <w:sz w:val="28"/>
          <w:szCs w:val="28"/>
        </w:rPr>
        <w:t>龙泉是浙江省26个经济欠发达县市之一，竹业收入占到了林农收入的60%以上，竹木产业对龙泉来说是草根产业，也是关乎百姓脱贫致富的富民产业。</w:t>
      </w:r>
    </w:p>
    <w:p w14:paraId="0AB84812">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龙泉竹资源储备丰富，是浙江省内第二大毛竹产区，享有“中国特色竹乡”的美誉。毛竹面积61万亩，亩均立竹量达145株，总立竹量达到9600万株，年产竹材1800万株，亩均收入增至882元。通过多年努力，全市累计建成毛竹高效示范基地25万亩，新建与完善基础设施林区道路3276公里，为竹农节本增收1亿元。培育发展笋竹加工企业120多家，扶持涉竹专业合作社18家，2023年竹产业一产产值达5.6亿元，在带来经济效益的同时，也为二、三产业奠定了良好的原材料基础，为当地经济和财政作出了巨大贡献。</w:t>
      </w:r>
    </w:p>
    <w:p w14:paraId="7C2CB2C6">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龙泉地理区位优越、交通便利，市内拥有1座高铁站和多条高速公路，2024年将接入衢丽铁路网，正式进入杭州3小时交通圈，可联通200公里范围内浙闽赣3省共24个县（市）毛竹林木资源，总计竹林面积约758万亩，立竹量约11.2亿株，年产竹量每年1.9亿株，冬笋年产量7.5万吨，春笋年产量57万吨，松林面积1600万亩。</w:t>
      </w:r>
    </w:p>
    <w:p w14:paraId="4A3241FE">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p>
    <w:p w14:paraId="4C25BB3D">
      <w:pPr>
        <w:jc w:val="center"/>
        <w:rPr>
          <w:rFonts w:eastAsia="黑体"/>
          <w:b/>
          <w:bCs/>
          <w:color w:val="auto"/>
          <w:sz w:val="28"/>
          <w:szCs w:val="28"/>
        </w:rPr>
      </w:pPr>
      <w:r>
        <w:rPr>
          <w:rFonts w:eastAsia="黑体"/>
          <w:b/>
          <w:bCs/>
          <w:color w:val="auto"/>
          <w:sz w:val="28"/>
          <w:szCs w:val="28"/>
        </w:rPr>
        <w:t>龙泉市200公里范围内</w:t>
      </w:r>
      <w:r>
        <w:rPr>
          <w:rFonts w:hint="eastAsia" w:eastAsia="黑体"/>
          <w:b/>
          <w:bCs/>
          <w:color w:val="auto"/>
          <w:sz w:val="28"/>
          <w:szCs w:val="28"/>
        </w:rPr>
        <w:t>竹木资源</w:t>
      </w:r>
      <w:r>
        <w:rPr>
          <w:rFonts w:eastAsia="黑体"/>
          <w:b/>
          <w:bCs/>
          <w:color w:val="auto"/>
          <w:sz w:val="28"/>
          <w:szCs w:val="28"/>
        </w:rPr>
        <w:t>概况</w:t>
      </w:r>
    </w:p>
    <w:tbl>
      <w:tblPr>
        <w:tblStyle w:val="21"/>
        <w:tblW w:w="8476" w:type="dxa"/>
        <w:tblInd w:w="93" w:type="dxa"/>
        <w:tblLayout w:type="fixed"/>
        <w:tblCellMar>
          <w:top w:w="0" w:type="dxa"/>
          <w:left w:w="108" w:type="dxa"/>
          <w:bottom w:w="0" w:type="dxa"/>
          <w:right w:w="108" w:type="dxa"/>
        </w:tblCellMar>
      </w:tblPr>
      <w:tblGrid>
        <w:gridCol w:w="902"/>
        <w:gridCol w:w="1070"/>
        <w:gridCol w:w="933"/>
        <w:gridCol w:w="1291"/>
        <w:gridCol w:w="1070"/>
        <w:gridCol w:w="1070"/>
        <w:gridCol w:w="1070"/>
        <w:gridCol w:w="1070"/>
      </w:tblGrid>
      <w:tr w14:paraId="466D44BF">
        <w:tblPrEx>
          <w:tblCellMar>
            <w:top w:w="0" w:type="dxa"/>
            <w:left w:w="108" w:type="dxa"/>
            <w:bottom w:w="0" w:type="dxa"/>
            <w:right w:w="108" w:type="dxa"/>
          </w:tblCellMar>
        </w:tblPrEx>
        <w:trPr>
          <w:trHeight w:val="1404" w:hRule="atLeast"/>
        </w:trPr>
        <w:tc>
          <w:tcPr>
            <w:tcW w:w="902"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7AA07F6">
            <w:pPr>
              <w:jc w:val="center"/>
              <w:textAlignment w:val="center"/>
              <w:rPr>
                <w:color w:val="auto"/>
                <w:sz w:val="22"/>
                <w:szCs w:val="22"/>
              </w:rPr>
            </w:pPr>
            <w:r>
              <w:rPr>
                <w:color w:val="auto"/>
                <w:kern w:val="0"/>
                <w:sz w:val="22"/>
                <w:szCs w:val="22"/>
              </w:rPr>
              <w:t>省</w:t>
            </w:r>
          </w:p>
        </w:tc>
        <w:tc>
          <w:tcPr>
            <w:tcW w:w="1070" w:type="dxa"/>
            <w:tcBorders>
              <w:top w:val="single" w:color="auto" w:sz="4" w:space="0"/>
              <w:left w:val="nil"/>
              <w:bottom w:val="single" w:color="000000" w:sz="4" w:space="0"/>
              <w:right w:val="single" w:color="000000" w:sz="4" w:space="0"/>
            </w:tcBorders>
            <w:shd w:val="clear" w:color="auto" w:fill="auto"/>
            <w:noWrap/>
            <w:vAlign w:val="center"/>
          </w:tcPr>
          <w:p w14:paraId="42EDBA02">
            <w:pPr>
              <w:jc w:val="center"/>
              <w:textAlignment w:val="center"/>
              <w:rPr>
                <w:color w:val="auto"/>
                <w:sz w:val="22"/>
                <w:szCs w:val="22"/>
              </w:rPr>
            </w:pPr>
            <w:r>
              <w:rPr>
                <w:color w:val="auto"/>
                <w:kern w:val="0"/>
                <w:sz w:val="22"/>
                <w:szCs w:val="22"/>
              </w:rPr>
              <w:t>县</w:t>
            </w:r>
          </w:p>
        </w:tc>
        <w:tc>
          <w:tcPr>
            <w:tcW w:w="93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24C1ED8">
            <w:pPr>
              <w:jc w:val="center"/>
              <w:textAlignment w:val="center"/>
              <w:rPr>
                <w:color w:val="auto"/>
                <w:sz w:val="22"/>
                <w:szCs w:val="22"/>
              </w:rPr>
            </w:pPr>
            <w:r>
              <w:rPr>
                <w:color w:val="auto"/>
                <w:kern w:val="0"/>
                <w:sz w:val="22"/>
                <w:szCs w:val="22"/>
              </w:rPr>
              <w:t>竹林面积/万亩</w:t>
            </w:r>
          </w:p>
        </w:tc>
        <w:tc>
          <w:tcPr>
            <w:tcW w:w="129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31D9082">
            <w:pPr>
              <w:jc w:val="center"/>
              <w:textAlignment w:val="center"/>
              <w:rPr>
                <w:color w:val="auto"/>
                <w:sz w:val="22"/>
                <w:szCs w:val="22"/>
              </w:rPr>
            </w:pPr>
            <w:r>
              <w:rPr>
                <w:color w:val="auto"/>
                <w:kern w:val="0"/>
                <w:sz w:val="22"/>
                <w:szCs w:val="22"/>
              </w:rPr>
              <w:t>立竹量/万株</w:t>
            </w:r>
          </w:p>
        </w:tc>
        <w:tc>
          <w:tcPr>
            <w:tcW w:w="1070" w:type="dxa"/>
            <w:tcBorders>
              <w:top w:val="single" w:color="auto" w:sz="4" w:space="0"/>
              <w:left w:val="single" w:color="000000" w:sz="4" w:space="0"/>
              <w:bottom w:val="single" w:color="000000" w:sz="4" w:space="0"/>
              <w:right w:val="nil"/>
            </w:tcBorders>
            <w:shd w:val="clear" w:color="auto" w:fill="auto"/>
            <w:noWrap/>
            <w:vAlign w:val="center"/>
          </w:tcPr>
          <w:p w14:paraId="2EAB061C">
            <w:pPr>
              <w:jc w:val="center"/>
              <w:textAlignment w:val="center"/>
              <w:rPr>
                <w:color w:val="auto"/>
                <w:sz w:val="22"/>
                <w:szCs w:val="22"/>
              </w:rPr>
            </w:pPr>
            <w:r>
              <w:rPr>
                <w:color w:val="auto"/>
                <w:kern w:val="0"/>
                <w:sz w:val="22"/>
                <w:szCs w:val="22"/>
              </w:rPr>
              <w:t>竹林采伐量/万株</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83BF990">
            <w:pPr>
              <w:jc w:val="center"/>
              <w:textAlignment w:val="center"/>
              <w:rPr>
                <w:color w:val="auto"/>
                <w:sz w:val="22"/>
                <w:szCs w:val="22"/>
              </w:rPr>
            </w:pPr>
            <w:r>
              <w:rPr>
                <w:color w:val="auto"/>
                <w:kern w:val="0"/>
                <w:sz w:val="22"/>
                <w:szCs w:val="22"/>
              </w:rPr>
              <w:t>冬笋产量/万吨</w:t>
            </w:r>
          </w:p>
        </w:tc>
        <w:tc>
          <w:tcPr>
            <w:tcW w:w="1070" w:type="dxa"/>
            <w:tcBorders>
              <w:top w:val="single" w:color="auto" w:sz="4" w:space="0"/>
              <w:left w:val="single" w:color="000000" w:sz="4" w:space="0"/>
              <w:bottom w:val="single" w:color="000000" w:sz="4" w:space="0"/>
              <w:right w:val="nil"/>
            </w:tcBorders>
            <w:shd w:val="clear" w:color="auto" w:fill="auto"/>
            <w:noWrap/>
            <w:vAlign w:val="center"/>
          </w:tcPr>
          <w:p w14:paraId="10A4D380">
            <w:pPr>
              <w:jc w:val="center"/>
              <w:textAlignment w:val="center"/>
              <w:rPr>
                <w:color w:val="auto"/>
                <w:sz w:val="22"/>
                <w:szCs w:val="22"/>
              </w:rPr>
            </w:pPr>
            <w:r>
              <w:rPr>
                <w:color w:val="auto"/>
                <w:kern w:val="0"/>
                <w:sz w:val="22"/>
                <w:szCs w:val="22"/>
              </w:rPr>
              <w:t>春笋产量/万吨</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437E6B1">
            <w:pPr>
              <w:jc w:val="center"/>
              <w:textAlignment w:val="center"/>
              <w:rPr>
                <w:color w:val="auto"/>
                <w:sz w:val="22"/>
                <w:szCs w:val="22"/>
              </w:rPr>
            </w:pPr>
            <w:r>
              <w:rPr>
                <w:color w:val="auto"/>
                <w:kern w:val="0"/>
                <w:sz w:val="22"/>
                <w:szCs w:val="22"/>
              </w:rPr>
              <w:t>松木林面积/万亩</w:t>
            </w:r>
          </w:p>
        </w:tc>
      </w:tr>
      <w:tr w14:paraId="14B7B36B">
        <w:tblPrEx>
          <w:tblCellMar>
            <w:top w:w="0" w:type="dxa"/>
            <w:left w:w="108" w:type="dxa"/>
            <w:bottom w:w="0" w:type="dxa"/>
            <w:right w:w="108" w:type="dxa"/>
          </w:tblCellMar>
        </w:tblPrEx>
        <w:trPr>
          <w:trHeight w:val="606"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BDAB6">
            <w:pPr>
              <w:jc w:val="center"/>
              <w:textAlignment w:val="center"/>
              <w:rPr>
                <w:color w:val="auto"/>
                <w:sz w:val="22"/>
                <w:szCs w:val="22"/>
              </w:rPr>
            </w:pPr>
            <w:r>
              <w:rPr>
                <w:color w:val="auto"/>
                <w:kern w:val="0"/>
                <w:sz w:val="22"/>
                <w:szCs w:val="22"/>
              </w:rPr>
              <w:t>浙江省</w:t>
            </w: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72DEC2F5">
            <w:pPr>
              <w:jc w:val="center"/>
              <w:textAlignment w:val="center"/>
              <w:rPr>
                <w:color w:val="auto"/>
                <w:sz w:val="22"/>
                <w:szCs w:val="22"/>
              </w:rPr>
            </w:pPr>
            <w:r>
              <w:rPr>
                <w:color w:val="auto"/>
                <w:kern w:val="0"/>
                <w:sz w:val="22"/>
                <w:szCs w:val="22"/>
              </w:rPr>
              <w:t>龙泉市</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A6DFA">
            <w:pPr>
              <w:jc w:val="center"/>
              <w:textAlignment w:val="center"/>
              <w:rPr>
                <w:color w:val="auto"/>
                <w:sz w:val="22"/>
                <w:szCs w:val="22"/>
              </w:rPr>
            </w:pPr>
            <w:r>
              <w:rPr>
                <w:color w:val="auto"/>
                <w:kern w:val="0"/>
                <w:sz w:val="22"/>
                <w:szCs w:val="22"/>
              </w:rPr>
              <w:t>61</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7625">
            <w:pPr>
              <w:jc w:val="center"/>
              <w:textAlignment w:val="center"/>
              <w:rPr>
                <w:color w:val="auto"/>
                <w:sz w:val="22"/>
                <w:szCs w:val="22"/>
              </w:rPr>
            </w:pPr>
            <w:r>
              <w:rPr>
                <w:color w:val="auto"/>
                <w:kern w:val="0"/>
                <w:sz w:val="22"/>
                <w:szCs w:val="22"/>
              </w:rPr>
              <w:t>9600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3D1C3A4">
            <w:pPr>
              <w:jc w:val="center"/>
              <w:textAlignment w:val="center"/>
              <w:rPr>
                <w:color w:val="auto"/>
                <w:sz w:val="22"/>
                <w:szCs w:val="22"/>
              </w:rPr>
            </w:pPr>
            <w:r>
              <w:rPr>
                <w:color w:val="auto"/>
                <w:kern w:val="0"/>
                <w:sz w:val="22"/>
                <w:szCs w:val="22"/>
              </w:rPr>
              <w:t>1800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38989">
            <w:pPr>
              <w:jc w:val="center"/>
              <w:textAlignment w:val="center"/>
              <w:rPr>
                <w:color w:val="auto"/>
                <w:sz w:val="22"/>
                <w:szCs w:val="22"/>
              </w:rPr>
            </w:pPr>
            <w:r>
              <w:rPr>
                <w:color w:val="auto"/>
                <w:kern w:val="0"/>
                <w:sz w:val="22"/>
                <w:szCs w:val="22"/>
              </w:rPr>
              <w:t xml:space="preserve">0.61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0F2A211">
            <w:pPr>
              <w:jc w:val="center"/>
              <w:textAlignment w:val="center"/>
              <w:rPr>
                <w:color w:val="auto"/>
                <w:sz w:val="22"/>
                <w:szCs w:val="22"/>
              </w:rPr>
            </w:pPr>
            <w:r>
              <w:rPr>
                <w:color w:val="auto"/>
                <w:kern w:val="0"/>
                <w:sz w:val="22"/>
                <w:szCs w:val="22"/>
              </w:rPr>
              <w:t xml:space="preserve">4.58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4725">
            <w:pPr>
              <w:jc w:val="center"/>
              <w:textAlignment w:val="center"/>
              <w:rPr>
                <w:color w:val="auto"/>
                <w:sz w:val="22"/>
                <w:szCs w:val="22"/>
              </w:rPr>
            </w:pPr>
            <w:r>
              <w:rPr>
                <w:color w:val="auto"/>
                <w:kern w:val="0"/>
                <w:sz w:val="22"/>
                <w:szCs w:val="22"/>
              </w:rPr>
              <w:t>60.95</w:t>
            </w:r>
          </w:p>
        </w:tc>
      </w:tr>
      <w:tr w14:paraId="71FBB2C4">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CAE32">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010DF7D8">
            <w:pPr>
              <w:jc w:val="center"/>
              <w:textAlignment w:val="center"/>
              <w:rPr>
                <w:color w:val="auto"/>
                <w:sz w:val="22"/>
                <w:szCs w:val="22"/>
              </w:rPr>
            </w:pPr>
            <w:r>
              <w:rPr>
                <w:color w:val="auto"/>
                <w:kern w:val="0"/>
                <w:sz w:val="22"/>
                <w:szCs w:val="22"/>
              </w:rPr>
              <w:t>庆元县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A7F5">
            <w:pPr>
              <w:jc w:val="center"/>
              <w:textAlignment w:val="center"/>
              <w:rPr>
                <w:color w:val="auto"/>
                <w:sz w:val="22"/>
                <w:szCs w:val="22"/>
              </w:rPr>
            </w:pPr>
            <w:r>
              <w:rPr>
                <w:color w:val="auto"/>
                <w:kern w:val="0"/>
                <w:sz w:val="22"/>
                <w:szCs w:val="22"/>
              </w:rPr>
              <w:t>39.4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B1150">
            <w:pPr>
              <w:jc w:val="center"/>
              <w:textAlignment w:val="center"/>
              <w:rPr>
                <w:color w:val="auto"/>
                <w:sz w:val="22"/>
                <w:szCs w:val="22"/>
              </w:rPr>
            </w:pPr>
            <w:r>
              <w:rPr>
                <w:color w:val="auto"/>
                <w:kern w:val="0"/>
                <w:sz w:val="22"/>
                <w:szCs w:val="22"/>
              </w:rPr>
              <w:t>5910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531B823">
            <w:pPr>
              <w:jc w:val="center"/>
              <w:textAlignment w:val="center"/>
              <w:rPr>
                <w:color w:val="auto"/>
                <w:sz w:val="22"/>
                <w:szCs w:val="22"/>
              </w:rPr>
            </w:pPr>
            <w:r>
              <w:rPr>
                <w:color w:val="auto"/>
                <w:kern w:val="0"/>
                <w:sz w:val="22"/>
                <w:szCs w:val="22"/>
              </w:rPr>
              <w:t>985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CE53">
            <w:pPr>
              <w:jc w:val="center"/>
              <w:textAlignment w:val="center"/>
              <w:rPr>
                <w:color w:val="auto"/>
                <w:sz w:val="22"/>
                <w:szCs w:val="22"/>
              </w:rPr>
            </w:pPr>
            <w:r>
              <w:rPr>
                <w:color w:val="auto"/>
                <w:kern w:val="0"/>
                <w:sz w:val="22"/>
                <w:szCs w:val="22"/>
              </w:rPr>
              <w:t xml:space="preserve">0.35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D369037">
            <w:pPr>
              <w:jc w:val="center"/>
              <w:textAlignment w:val="center"/>
              <w:rPr>
                <w:color w:val="auto"/>
                <w:sz w:val="22"/>
                <w:szCs w:val="22"/>
              </w:rPr>
            </w:pPr>
            <w:r>
              <w:rPr>
                <w:color w:val="auto"/>
                <w:kern w:val="0"/>
                <w:sz w:val="22"/>
                <w:szCs w:val="22"/>
              </w:rPr>
              <w:t xml:space="preserve">2.96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CBA31">
            <w:pPr>
              <w:jc w:val="center"/>
              <w:textAlignment w:val="center"/>
              <w:rPr>
                <w:color w:val="auto"/>
                <w:sz w:val="22"/>
                <w:szCs w:val="22"/>
              </w:rPr>
            </w:pPr>
            <w:r>
              <w:rPr>
                <w:color w:val="auto"/>
                <w:kern w:val="0"/>
                <w:sz w:val="22"/>
                <w:szCs w:val="22"/>
              </w:rPr>
              <w:t>55.8</w:t>
            </w:r>
          </w:p>
        </w:tc>
      </w:tr>
      <w:tr w14:paraId="1D1CF612">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7203">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0393F022">
            <w:pPr>
              <w:jc w:val="center"/>
              <w:textAlignment w:val="center"/>
              <w:rPr>
                <w:color w:val="auto"/>
                <w:sz w:val="22"/>
                <w:szCs w:val="22"/>
              </w:rPr>
            </w:pPr>
            <w:r>
              <w:rPr>
                <w:color w:val="auto"/>
                <w:kern w:val="0"/>
                <w:sz w:val="22"/>
                <w:szCs w:val="22"/>
              </w:rPr>
              <w:t>遂昌县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CE8E2">
            <w:pPr>
              <w:jc w:val="center"/>
              <w:textAlignment w:val="center"/>
              <w:rPr>
                <w:color w:val="auto"/>
                <w:sz w:val="22"/>
                <w:szCs w:val="22"/>
              </w:rPr>
            </w:pPr>
            <w:r>
              <w:rPr>
                <w:color w:val="auto"/>
                <w:kern w:val="0"/>
                <w:sz w:val="22"/>
                <w:szCs w:val="22"/>
              </w:rPr>
              <w:t>35.88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99AD4">
            <w:pPr>
              <w:jc w:val="center"/>
              <w:textAlignment w:val="center"/>
              <w:rPr>
                <w:color w:val="auto"/>
                <w:sz w:val="22"/>
                <w:szCs w:val="22"/>
              </w:rPr>
            </w:pPr>
            <w:r>
              <w:rPr>
                <w:color w:val="auto"/>
                <w:kern w:val="0"/>
                <w:sz w:val="22"/>
                <w:szCs w:val="22"/>
              </w:rPr>
              <w:t>5382</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1708357">
            <w:pPr>
              <w:jc w:val="center"/>
              <w:textAlignment w:val="center"/>
              <w:rPr>
                <w:color w:val="auto"/>
                <w:sz w:val="22"/>
                <w:szCs w:val="22"/>
              </w:rPr>
            </w:pPr>
            <w:r>
              <w:rPr>
                <w:color w:val="auto"/>
                <w:kern w:val="0"/>
                <w:sz w:val="22"/>
                <w:szCs w:val="22"/>
              </w:rPr>
              <w:t>897</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0792">
            <w:pPr>
              <w:jc w:val="center"/>
              <w:textAlignment w:val="center"/>
              <w:rPr>
                <w:color w:val="auto"/>
                <w:sz w:val="22"/>
                <w:szCs w:val="22"/>
              </w:rPr>
            </w:pPr>
            <w:r>
              <w:rPr>
                <w:color w:val="auto"/>
                <w:kern w:val="0"/>
                <w:sz w:val="22"/>
                <w:szCs w:val="22"/>
              </w:rPr>
              <w:t xml:space="preserve">0.39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7B670A13">
            <w:pPr>
              <w:jc w:val="center"/>
              <w:textAlignment w:val="center"/>
              <w:rPr>
                <w:color w:val="auto"/>
                <w:sz w:val="22"/>
                <w:szCs w:val="22"/>
              </w:rPr>
            </w:pPr>
            <w:r>
              <w:rPr>
                <w:color w:val="auto"/>
                <w:kern w:val="0"/>
                <w:sz w:val="22"/>
                <w:szCs w:val="22"/>
              </w:rPr>
              <w:t xml:space="preserve">2.69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85A6">
            <w:pPr>
              <w:jc w:val="center"/>
              <w:textAlignment w:val="center"/>
              <w:rPr>
                <w:color w:val="auto"/>
                <w:sz w:val="22"/>
                <w:szCs w:val="22"/>
              </w:rPr>
            </w:pPr>
            <w:r>
              <w:rPr>
                <w:color w:val="auto"/>
                <w:kern w:val="0"/>
                <w:sz w:val="22"/>
                <w:szCs w:val="22"/>
              </w:rPr>
              <w:t>56</w:t>
            </w:r>
          </w:p>
        </w:tc>
      </w:tr>
      <w:tr w14:paraId="7EFDA020">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4A84B">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2011F1D">
            <w:pPr>
              <w:jc w:val="center"/>
              <w:textAlignment w:val="center"/>
              <w:rPr>
                <w:color w:val="auto"/>
                <w:sz w:val="22"/>
                <w:szCs w:val="22"/>
              </w:rPr>
            </w:pPr>
            <w:r>
              <w:rPr>
                <w:color w:val="auto"/>
                <w:kern w:val="0"/>
                <w:sz w:val="22"/>
                <w:szCs w:val="22"/>
              </w:rPr>
              <w:t>景宁县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18A07">
            <w:pPr>
              <w:jc w:val="center"/>
              <w:textAlignment w:val="center"/>
              <w:rPr>
                <w:color w:val="auto"/>
                <w:sz w:val="22"/>
                <w:szCs w:val="22"/>
              </w:rPr>
            </w:pPr>
            <w:r>
              <w:rPr>
                <w:color w:val="auto"/>
                <w:kern w:val="0"/>
                <w:sz w:val="22"/>
                <w:szCs w:val="22"/>
              </w:rPr>
              <w:t>28.4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0E556">
            <w:pPr>
              <w:jc w:val="center"/>
              <w:textAlignment w:val="center"/>
              <w:rPr>
                <w:color w:val="auto"/>
                <w:sz w:val="22"/>
                <w:szCs w:val="22"/>
              </w:rPr>
            </w:pPr>
            <w:r>
              <w:rPr>
                <w:color w:val="auto"/>
                <w:kern w:val="0"/>
                <w:sz w:val="22"/>
                <w:szCs w:val="22"/>
              </w:rPr>
              <w:t>4260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16A0753">
            <w:pPr>
              <w:jc w:val="center"/>
              <w:textAlignment w:val="center"/>
              <w:rPr>
                <w:color w:val="auto"/>
                <w:sz w:val="22"/>
                <w:szCs w:val="22"/>
              </w:rPr>
            </w:pPr>
            <w:r>
              <w:rPr>
                <w:color w:val="auto"/>
                <w:kern w:val="0"/>
                <w:sz w:val="22"/>
                <w:szCs w:val="22"/>
              </w:rPr>
              <w:t>710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5BC1">
            <w:pPr>
              <w:jc w:val="center"/>
              <w:textAlignment w:val="center"/>
              <w:rPr>
                <w:color w:val="auto"/>
                <w:sz w:val="22"/>
                <w:szCs w:val="22"/>
              </w:rPr>
            </w:pPr>
            <w:r>
              <w:rPr>
                <w:color w:val="auto"/>
                <w:kern w:val="0"/>
                <w:sz w:val="22"/>
                <w:szCs w:val="22"/>
              </w:rPr>
              <w:t xml:space="preserve">0.28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B142230">
            <w:pPr>
              <w:jc w:val="center"/>
              <w:textAlignment w:val="center"/>
              <w:rPr>
                <w:color w:val="auto"/>
                <w:sz w:val="22"/>
                <w:szCs w:val="22"/>
              </w:rPr>
            </w:pPr>
            <w:r>
              <w:rPr>
                <w:color w:val="auto"/>
                <w:kern w:val="0"/>
                <w:sz w:val="22"/>
                <w:szCs w:val="22"/>
              </w:rPr>
              <w:t xml:space="preserve">2.13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BE35">
            <w:pPr>
              <w:jc w:val="center"/>
              <w:textAlignment w:val="center"/>
              <w:rPr>
                <w:color w:val="auto"/>
                <w:sz w:val="22"/>
                <w:szCs w:val="22"/>
              </w:rPr>
            </w:pPr>
            <w:r>
              <w:rPr>
                <w:color w:val="auto"/>
                <w:kern w:val="0"/>
                <w:sz w:val="22"/>
                <w:szCs w:val="22"/>
              </w:rPr>
              <w:t>77.8</w:t>
            </w:r>
          </w:p>
        </w:tc>
      </w:tr>
      <w:tr w14:paraId="55C3DDE5">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C6C9">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2D5629A">
            <w:pPr>
              <w:jc w:val="center"/>
              <w:textAlignment w:val="center"/>
              <w:rPr>
                <w:color w:val="auto"/>
                <w:sz w:val="22"/>
                <w:szCs w:val="22"/>
              </w:rPr>
            </w:pPr>
            <w:r>
              <w:rPr>
                <w:color w:val="auto"/>
                <w:kern w:val="0"/>
                <w:sz w:val="22"/>
                <w:szCs w:val="22"/>
              </w:rPr>
              <w:t>松阳县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22E2F">
            <w:pPr>
              <w:jc w:val="center"/>
              <w:textAlignment w:val="center"/>
              <w:rPr>
                <w:color w:val="auto"/>
                <w:sz w:val="22"/>
                <w:szCs w:val="22"/>
              </w:rPr>
            </w:pPr>
            <w:r>
              <w:rPr>
                <w:color w:val="auto"/>
                <w:kern w:val="0"/>
                <w:sz w:val="22"/>
                <w:szCs w:val="22"/>
              </w:rPr>
              <w:t>20.57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341B">
            <w:pPr>
              <w:jc w:val="center"/>
              <w:textAlignment w:val="center"/>
              <w:rPr>
                <w:color w:val="auto"/>
                <w:sz w:val="22"/>
                <w:szCs w:val="22"/>
              </w:rPr>
            </w:pPr>
            <w:r>
              <w:rPr>
                <w:color w:val="auto"/>
                <w:kern w:val="0"/>
                <w:sz w:val="22"/>
                <w:szCs w:val="22"/>
              </w:rPr>
              <w:t>3085.5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B01E8A5">
            <w:pPr>
              <w:jc w:val="center"/>
              <w:textAlignment w:val="center"/>
              <w:rPr>
                <w:color w:val="auto"/>
                <w:sz w:val="22"/>
                <w:szCs w:val="22"/>
              </w:rPr>
            </w:pPr>
            <w:r>
              <w:rPr>
                <w:color w:val="auto"/>
                <w:kern w:val="0"/>
                <w:sz w:val="22"/>
                <w:szCs w:val="22"/>
              </w:rPr>
              <w:t>514.25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4273">
            <w:pPr>
              <w:jc w:val="center"/>
              <w:textAlignment w:val="center"/>
              <w:rPr>
                <w:color w:val="auto"/>
                <w:sz w:val="22"/>
                <w:szCs w:val="22"/>
              </w:rPr>
            </w:pPr>
            <w:r>
              <w:rPr>
                <w:color w:val="auto"/>
                <w:kern w:val="0"/>
                <w:sz w:val="22"/>
                <w:szCs w:val="22"/>
              </w:rPr>
              <w:t xml:space="preserve">0.19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3CE5D79">
            <w:pPr>
              <w:jc w:val="center"/>
              <w:textAlignment w:val="center"/>
              <w:rPr>
                <w:color w:val="auto"/>
                <w:sz w:val="22"/>
                <w:szCs w:val="22"/>
              </w:rPr>
            </w:pPr>
            <w:r>
              <w:rPr>
                <w:color w:val="auto"/>
                <w:kern w:val="0"/>
                <w:sz w:val="22"/>
                <w:szCs w:val="22"/>
              </w:rPr>
              <w:t xml:space="preserve">1.54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FF222">
            <w:pPr>
              <w:jc w:val="center"/>
              <w:textAlignment w:val="center"/>
              <w:rPr>
                <w:color w:val="auto"/>
                <w:sz w:val="22"/>
                <w:szCs w:val="22"/>
              </w:rPr>
            </w:pPr>
            <w:r>
              <w:rPr>
                <w:color w:val="auto"/>
                <w:kern w:val="0"/>
                <w:sz w:val="22"/>
                <w:szCs w:val="22"/>
              </w:rPr>
              <w:t>103.49</w:t>
            </w:r>
          </w:p>
        </w:tc>
      </w:tr>
      <w:tr w14:paraId="7750BB90">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8F7E3">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37C9CF0D">
            <w:pPr>
              <w:jc w:val="center"/>
              <w:textAlignment w:val="center"/>
              <w:rPr>
                <w:color w:val="auto"/>
                <w:sz w:val="22"/>
                <w:szCs w:val="22"/>
              </w:rPr>
            </w:pPr>
            <w:r>
              <w:rPr>
                <w:color w:val="auto"/>
                <w:kern w:val="0"/>
                <w:sz w:val="22"/>
                <w:szCs w:val="22"/>
              </w:rPr>
              <w:t>缙云县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C0413">
            <w:pPr>
              <w:jc w:val="center"/>
              <w:textAlignment w:val="center"/>
              <w:rPr>
                <w:color w:val="auto"/>
                <w:sz w:val="22"/>
                <w:szCs w:val="22"/>
              </w:rPr>
            </w:pPr>
            <w:r>
              <w:rPr>
                <w:color w:val="auto"/>
                <w:kern w:val="0"/>
                <w:sz w:val="22"/>
                <w:szCs w:val="22"/>
              </w:rPr>
              <w:t>18.63</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69810">
            <w:pPr>
              <w:jc w:val="center"/>
              <w:textAlignment w:val="center"/>
              <w:rPr>
                <w:color w:val="auto"/>
                <w:sz w:val="22"/>
                <w:szCs w:val="22"/>
              </w:rPr>
            </w:pPr>
            <w:r>
              <w:rPr>
                <w:color w:val="auto"/>
                <w:kern w:val="0"/>
                <w:sz w:val="22"/>
                <w:szCs w:val="22"/>
              </w:rPr>
              <w:t>2794.5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FD6E745">
            <w:pPr>
              <w:jc w:val="center"/>
              <w:textAlignment w:val="center"/>
              <w:rPr>
                <w:color w:val="auto"/>
                <w:sz w:val="22"/>
                <w:szCs w:val="22"/>
              </w:rPr>
            </w:pPr>
            <w:r>
              <w:rPr>
                <w:color w:val="auto"/>
                <w:kern w:val="0"/>
                <w:sz w:val="22"/>
                <w:szCs w:val="22"/>
              </w:rPr>
              <w:t>465.75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90EC4">
            <w:pPr>
              <w:jc w:val="center"/>
              <w:textAlignment w:val="center"/>
              <w:rPr>
                <w:color w:val="auto"/>
                <w:sz w:val="22"/>
                <w:szCs w:val="22"/>
              </w:rPr>
            </w:pPr>
            <w:r>
              <w:rPr>
                <w:color w:val="auto"/>
                <w:kern w:val="0"/>
                <w:sz w:val="22"/>
                <w:szCs w:val="22"/>
              </w:rPr>
              <w:t xml:space="preserve">0.17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10C5C54">
            <w:pPr>
              <w:jc w:val="center"/>
              <w:textAlignment w:val="center"/>
              <w:rPr>
                <w:color w:val="auto"/>
                <w:sz w:val="22"/>
                <w:szCs w:val="22"/>
              </w:rPr>
            </w:pPr>
            <w:r>
              <w:rPr>
                <w:color w:val="auto"/>
                <w:kern w:val="0"/>
                <w:sz w:val="22"/>
                <w:szCs w:val="22"/>
              </w:rPr>
              <w:t xml:space="preserve">1.40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CD13">
            <w:pPr>
              <w:jc w:val="center"/>
              <w:textAlignment w:val="center"/>
              <w:rPr>
                <w:color w:val="auto"/>
                <w:sz w:val="22"/>
                <w:szCs w:val="22"/>
              </w:rPr>
            </w:pPr>
            <w:r>
              <w:rPr>
                <w:color w:val="auto"/>
                <w:kern w:val="0"/>
                <w:sz w:val="22"/>
                <w:szCs w:val="22"/>
              </w:rPr>
              <w:t>122.19</w:t>
            </w:r>
          </w:p>
        </w:tc>
      </w:tr>
      <w:tr w14:paraId="382C3BB6">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5056">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74272C34">
            <w:pPr>
              <w:jc w:val="center"/>
              <w:textAlignment w:val="center"/>
              <w:rPr>
                <w:color w:val="auto"/>
                <w:sz w:val="22"/>
                <w:szCs w:val="22"/>
              </w:rPr>
            </w:pPr>
            <w:r>
              <w:rPr>
                <w:color w:val="auto"/>
                <w:kern w:val="0"/>
                <w:sz w:val="22"/>
                <w:szCs w:val="22"/>
              </w:rPr>
              <w:t>青田县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3CEA8">
            <w:pPr>
              <w:jc w:val="center"/>
              <w:textAlignment w:val="center"/>
              <w:rPr>
                <w:color w:val="auto"/>
                <w:sz w:val="22"/>
                <w:szCs w:val="22"/>
              </w:rPr>
            </w:pPr>
            <w:r>
              <w:rPr>
                <w:color w:val="auto"/>
                <w:kern w:val="0"/>
                <w:sz w:val="22"/>
                <w:szCs w:val="22"/>
              </w:rPr>
              <w:t>17.7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7589">
            <w:pPr>
              <w:jc w:val="center"/>
              <w:textAlignment w:val="center"/>
              <w:rPr>
                <w:color w:val="auto"/>
                <w:sz w:val="22"/>
                <w:szCs w:val="22"/>
              </w:rPr>
            </w:pPr>
            <w:r>
              <w:rPr>
                <w:color w:val="auto"/>
                <w:kern w:val="0"/>
                <w:sz w:val="22"/>
                <w:szCs w:val="22"/>
              </w:rPr>
              <w:t>2655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5F7DA06B">
            <w:pPr>
              <w:jc w:val="center"/>
              <w:textAlignment w:val="center"/>
              <w:rPr>
                <w:color w:val="auto"/>
                <w:sz w:val="22"/>
                <w:szCs w:val="22"/>
              </w:rPr>
            </w:pPr>
            <w:r>
              <w:rPr>
                <w:color w:val="auto"/>
                <w:kern w:val="0"/>
                <w:sz w:val="22"/>
                <w:szCs w:val="22"/>
              </w:rPr>
              <w:t>442.5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E37A">
            <w:pPr>
              <w:jc w:val="center"/>
              <w:textAlignment w:val="center"/>
              <w:rPr>
                <w:color w:val="auto"/>
                <w:sz w:val="22"/>
                <w:szCs w:val="22"/>
              </w:rPr>
            </w:pPr>
            <w:r>
              <w:rPr>
                <w:color w:val="auto"/>
                <w:kern w:val="0"/>
                <w:sz w:val="22"/>
                <w:szCs w:val="22"/>
              </w:rPr>
              <w:t xml:space="preserve">0.16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593332A">
            <w:pPr>
              <w:jc w:val="center"/>
              <w:textAlignment w:val="center"/>
              <w:rPr>
                <w:color w:val="auto"/>
                <w:sz w:val="22"/>
                <w:szCs w:val="22"/>
              </w:rPr>
            </w:pPr>
            <w:r>
              <w:rPr>
                <w:color w:val="auto"/>
                <w:kern w:val="0"/>
                <w:sz w:val="22"/>
                <w:szCs w:val="22"/>
              </w:rPr>
              <w:t xml:space="preserve">1.33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D023">
            <w:pPr>
              <w:jc w:val="center"/>
              <w:textAlignment w:val="center"/>
              <w:rPr>
                <w:color w:val="auto"/>
                <w:sz w:val="22"/>
                <w:szCs w:val="22"/>
              </w:rPr>
            </w:pPr>
            <w:r>
              <w:rPr>
                <w:color w:val="auto"/>
                <w:kern w:val="0"/>
                <w:sz w:val="22"/>
                <w:szCs w:val="22"/>
              </w:rPr>
              <w:t>245.9</w:t>
            </w:r>
          </w:p>
        </w:tc>
      </w:tr>
      <w:tr w14:paraId="35769F3A">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1F9C">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250F28C3">
            <w:pPr>
              <w:jc w:val="center"/>
              <w:textAlignment w:val="center"/>
              <w:rPr>
                <w:color w:val="auto"/>
                <w:sz w:val="22"/>
                <w:szCs w:val="22"/>
              </w:rPr>
            </w:pPr>
            <w:r>
              <w:rPr>
                <w:color w:val="auto"/>
                <w:kern w:val="0"/>
                <w:sz w:val="22"/>
                <w:szCs w:val="22"/>
              </w:rPr>
              <w:t>莲都区</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9244A">
            <w:pPr>
              <w:jc w:val="center"/>
              <w:textAlignment w:val="center"/>
              <w:rPr>
                <w:color w:val="auto"/>
                <w:sz w:val="22"/>
                <w:szCs w:val="22"/>
              </w:rPr>
            </w:pPr>
            <w:r>
              <w:rPr>
                <w:color w:val="auto"/>
                <w:kern w:val="0"/>
                <w:sz w:val="22"/>
                <w:szCs w:val="22"/>
              </w:rPr>
              <w:t>16.39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33612">
            <w:pPr>
              <w:jc w:val="center"/>
              <w:textAlignment w:val="center"/>
              <w:rPr>
                <w:color w:val="auto"/>
                <w:sz w:val="22"/>
                <w:szCs w:val="22"/>
              </w:rPr>
            </w:pPr>
            <w:r>
              <w:rPr>
                <w:color w:val="auto"/>
                <w:kern w:val="0"/>
                <w:sz w:val="22"/>
                <w:szCs w:val="22"/>
              </w:rPr>
              <w:t>2458.5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CB09185">
            <w:pPr>
              <w:jc w:val="center"/>
              <w:textAlignment w:val="center"/>
              <w:rPr>
                <w:color w:val="auto"/>
                <w:sz w:val="22"/>
                <w:szCs w:val="22"/>
              </w:rPr>
            </w:pPr>
            <w:r>
              <w:rPr>
                <w:color w:val="auto"/>
                <w:kern w:val="0"/>
                <w:sz w:val="22"/>
                <w:szCs w:val="22"/>
              </w:rPr>
              <w:t>409.75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F388">
            <w:pPr>
              <w:jc w:val="center"/>
              <w:textAlignment w:val="center"/>
              <w:rPr>
                <w:color w:val="auto"/>
                <w:sz w:val="22"/>
                <w:szCs w:val="22"/>
              </w:rPr>
            </w:pPr>
            <w:r>
              <w:rPr>
                <w:color w:val="auto"/>
                <w:kern w:val="0"/>
                <w:sz w:val="22"/>
                <w:szCs w:val="22"/>
              </w:rPr>
              <w:t xml:space="preserve">0.15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105EDA7">
            <w:pPr>
              <w:jc w:val="center"/>
              <w:textAlignment w:val="center"/>
              <w:rPr>
                <w:color w:val="auto"/>
                <w:sz w:val="22"/>
                <w:szCs w:val="22"/>
              </w:rPr>
            </w:pPr>
            <w:r>
              <w:rPr>
                <w:color w:val="auto"/>
                <w:kern w:val="0"/>
                <w:sz w:val="22"/>
                <w:szCs w:val="22"/>
              </w:rPr>
              <w:t xml:space="preserve">1.23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F0482">
            <w:pPr>
              <w:jc w:val="center"/>
              <w:textAlignment w:val="center"/>
              <w:rPr>
                <w:color w:val="auto"/>
                <w:sz w:val="22"/>
                <w:szCs w:val="22"/>
              </w:rPr>
            </w:pPr>
            <w:r>
              <w:rPr>
                <w:color w:val="auto"/>
                <w:kern w:val="0"/>
                <w:sz w:val="22"/>
                <w:szCs w:val="22"/>
              </w:rPr>
              <w:t>105</w:t>
            </w:r>
          </w:p>
        </w:tc>
      </w:tr>
      <w:tr w14:paraId="4529199F">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51F19">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3CEE1A08">
            <w:pPr>
              <w:jc w:val="center"/>
              <w:textAlignment w:val="center"/>
              <w:rPr>
                <w:color w:val="auto"/>
                <w:sz w:val="22"/>
                <w:szCs w:val="22"/>
              </w:rPr>
            </w:pPr>
            <w:r>
              <w:rPr>
                <w:color w:val="auto"/>
                <w:kern w:val="0"/>
                <w:sz w:val="22"/>
                <w:szCs w:val="22"/>
              </w:rPr>
              <w:t>云和县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4AEB">
            <w:pPr>
              <w:jc w:val="center"/>
              <w:textAlignment w:val="center"/>
              <w:rPr>
                <w:color w:val="auto"/>
                <w:sz w:val="22"/>
                <w:szCs w:val="22"/>
              </w:rPr>
            </w:pPr>
            <w:r>
              <w:rPr>
                <w:color w:val="auto"/>
                <w:kern w:val="0"/>
                <w:sz w:val="22"/>
                <w:szCs w:val="22"/>
              </w:rPr>
              <w:t>12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C60E">
            <w:pPr>
              <w:jc w:val="center"/>
              <w:textAlignment w:val="center"/>
              <w:rPr>
                <w:color w:val="auto"/>
                <w:sz w:val="22"/>
                <w:szCs w:val="22"/>
              </w:rPr>
            </w:pPr>
            <w:r>
              <w:rPr>
                <w:color w:val="auto"/>
                <w:kern w:val="0"/>
                <w:sz w:val="22"/>
                <w:szCs w:val="22"/>
              </w:rPr>
              <w:t>1800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7C69CC2">
            <w:pPr>
              <w:jc w:val="center"/>
              <w:textAlignment w:val="center"/>
              <w:rPr>
                <w:color w:val="auto"/>
                <w:sz w:val="22"/>
                <w:szCs w:val="22"/>
              </w:rPr>
            </w:pPr>
            <w:r>
              <w:rPr>
                <w:color w:val="auto"/>
                <w:kern w:val="0"/>
                <w:sz w:val="22"/>
                <w:szCs w:val="22"/>
              </w:rPr>
              <w:t>300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6F113">
            <w:pPr>
              <w:jc w:val="center"/>
              <w:textAlignment w:val="center"/>
              <w:rPr>
                <w:color w:val="auto"/>
                <w:sz w:val="22"/>
                <w:szCs w:val="22"/>
              </w:rPr>
            </w:pPr>
            <w:r>
              <w:rPr>
                <w:color w:val="auto"/>
                <w:kern w:val="0"/>
                <w:sz w:val="22"/>
                <w:szCs w:val="22"/>
              </w:rPr>
              <w:t xml:space="preserve">0.11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842414D">
            <w:pPr>
              <w:jc w:val="center"/>
              <w:textAlignment w:val="center"/>
              <w:rPr>
                <w:color w:val="auto"/>
                <w:sz w:val="22"/>
                <w:szCs w:val="22"/>
              </w:rPr>
            </w:pPr>
            <w:r>
              <w:rPr>
                <w:color w:val="auto"/>
                <w:kern w:val="0"/>
                <w:sz w:val="22"/>
                <w:szCs w:val="22"/>
              </w:rPr>
              <w:t xml:space="preserve">0.90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86BF3">
            <w:pPr>
              <w:jc w:val="center"/>
              <w:textAlignment w:val="center"/>
              <w:rPr>
                <w:color w:val="auto"/>
                <w:sz w:val="22"/>
                <w:szCs w:val="22"/>
              </w:rPr>
            </w:pPr>
            <w:r>
              <w:rPr>
                <w:color w:val="auto"/>
                <w:kern w:val="0"/>
                <w:sz w:val="22"/>
                <w:szCs w:val="22"/>
              </w:rPr>
              <w:t>40.5</w:t>
            </w:r>
          </w:p>
        </w:tc>
      </w:tr>
      <w:tr w14:paraId="5D03B693">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CEAE0">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5F2775BA">
            <w:pPr>
              <w:jc w:val="center"/>
              <w:textAlignment w:val="center"/>
              <w:rPr>
                <w:color w:val="auto"/>
                <w:sz w:val="22"/>
                <w:szCs w:val="22"/>
              </w:rPr>
            </w:pPr>
            <w:r>
              <w:rPr>
                <w:color w:val="auto"/>
                <w:kern w:val="0"/>
                <w:sz w:val="22"/>
                <w:szCs w:val="22"/>
              </w:rPr>
              <w:t>龙游县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52018">
            <w:pPr>
              <w:jc w:val="center"/>
              <w:textAlignment w:val="center"/>
              <w:rPr>
                <w:color w:val="auto"/>
                <w:sz w:val="22"/>
                <w:szCs w:val="22"/>
              </w:rPr>
            </w:pPr>
            <w:r>
              <w:rPr>
                <w:color w:val="auto"/>
                <w:kern w:val="0"/>
                <w:sz w:val="22"/>
                <w:szCs w:val="22"/>
              </w:rPr>
              <w:t>41.9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61834">
            <w:pPr>
              <w:jc w:val="center"/>
              <w:textAlignment w:val="center"/>
              <w:rPr>
                <w:color w:val="auto"/>
                <w:sz w:val="22"/>
                <w:szCs w:val="22"/>
              </w:rPr>
            </w:pPr>
            <w:r>
              <w:rPr>
                <w:color w:val="auto"/>
                <w:kern w:val="0"/>
                <w:sz w:val="22"/>
                <w:szCs w:val="22"/>
              </w:rPr>
              <w:t>6285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8E1C1D6">
            <w:pPr>
              <w:jc w:val="center"/>
              <w:textAlignment w:val="center"/>
              <w:rPr>
                <w:color w:val="auto"/>
                <w:sz w:val="22"/>
                <w:szCs w:val="22"/>
              </w:rPr>
            </w:pPr>
            <w:r>
              <w:rPr>
                <w:color w:val="auto"/>
                <w:kern w:val="0"/>
                <w:sz w:val="22"/>
                <w:szCs w:val="22"/>
              </w:rPr>
              <w:t>1047.5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5EE9">
            <w:pPr>
              <w:jc w:val="center"/>
              <w:textAlignment w:val="center"/>
              <w:rPr>
                <w:color w:val="auto"/>
                <w:sz w:val="22"/>
                <w:szCs w:val="22"/>
              </w:rPr>
            </w:pPr>
            <w:r>
              <w:rPr>
                <w:color w:val="auto"/>
                <w:kern w:val="0"/>
                <w:sz w:val="22"/>
                <w:szCs w:val="22"/>
              </w:rPr>
              <w:t xml:space="preserve">0.38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5C5F2569">
            <w:pPr>
              <w:jc w:val="center"/>
              <w:textAlignment w:val="center"/>
              <w:rPr>
                <w:color w:val="auto"/>
                <w:sz w:val="22"/>
                <w:szCs w:val="22"/>
              </w:rPr>
            </w:pPr>
            <w:r>
              <w:rPr>
                <w:color w:val="auto"/>
                <w:kern w:val="0"/>
                <w:sz w:val="22"/>
                <w:szCs w:val="22"/>
              </w:rPr>
              <w:t xml:space="preserve">3.14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2D9C">
            <w:pPr>
              <w:jc w:val="center"/>
              <w:textAlignment w:val="center"/>
              <w:rPr>
                <w:color w:val="auto"/>
                <w:sz w:val="22"/>
                <w:szCs w:val="22"/>
              </w:rPr>
            </w:pPr>
            <w:r>
              <w:rPr>
                <w:color w:val="auto"/>
                <w:kern w:val="0"/>
                <w:sz w:val="22"/>
                <w:szCs w:val="22"/>
              </w:rPr>
              <w:t>19.85</w:t>
            </w:r>
          </w:p>
        </w:tc>
      </w:tr>
      <w:tr w14:paraId="77DBB3CF">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0290">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32F09861">
            <w:pPr>
              <w:jc w:val="center"/>
              <w:textAlignment w:val="center"/>
              <w:rPr>
                <w:color w:val="auto"/>
                <w:sz w:val="22"/>
                <w:szCs w:val="22"/>
              </w:rPr>
            </w:pPr>
            <w:r>
              <w:rPr>
                <w:color w:val="auto"/>
                <w:kern w:val="0"/>
                <w:sz w:val="22"/>
                <w:szCs w:val="22"/>
              </w:rPr>
              <w:t>泰顺县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2341">
            <w:pPr>
              <w:jc w:val="center"/>
              <w:textAlignment w:val="center"/>
              <w:rPr>
                <w:color w:val="auto"/>
                <w:sz w:val="22"/>
                <w:szCs w:val="22"/>
              </w:rPr>
            </w:pPr>
            <w:r>
              <w:rPr>
                <w:color w:val="auto"/>
                <w:kern w:val="0"/>
                <w:sz w:val="22"/>
                <w:szCs w:val="22"/>
              </w:rPr>
              <w:t>24.5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E9A6D">
            <w:pPr>
              <w:jc w:val="center"/>
              <w:textAlignment w:val="center"/>
              <w:rPr>
                <w:color w:val="auto"/>
                <w:sz w:val="22"/>
                <w:szCs w:val="22"/>
              </w:rPr>
            </w:pPr>
            <w:r>
              <w:rPr>
                <w:color w:val="auto"/>
                <w:kern w:val="0"/>
                <w:sz w:val="22"/>
                <w:szCs w:val="22"/>
              </w:rPr>
              <w:t>3675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56F1E6C">
            <w:pPr>
              <w:jc w:val="center"/>
              <w:textAlignment w:val="center"/>
              <w:rPr>
                <w:color w:val="auto"/>
                <w:sz w:val="22"/>
                <w:szCs w:val="22"/>
              </w:rPr>
            </w:pPr>
            <w:r>
              <w:rPr>
                <w:color w:val="auto"/>
                <w:kern w:val="0"/>
                <w:sz w:val="22"/>
                <w:szCs w:val="22"/>
              </w:rPr>
              <w:t>612.5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38A2">
            <w:pPr>
              <w:jc w:val="center"/>
              <w:textAlignment w:val="center"/>
              <w:rPr>
                <w:color w:val="auto"/>
                <w:sz w:val="22"/>
                <w:szCs w:val="22"/>
              </w:rPr>
            </w:pPr>
            <w:r>
              <w:rPr>
                <w:color w:val="auto"/>
                <w:kern w:val="0"/>
                <w:sz w:val="22"/>
                <w:szCs w:val="22"/>
              </w:rPr>
              <w:t xml:space="preserve">0.22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4BD4839">
            <w:pPr>
              <w:jc w:val="center"/>
              <w:textAlignment w:val="center"/>
              <w:rPr>
                <w:color w:val="auto"/>
                <w:sz w:val="22"/>
                <w:szCs w:val="22"/>
              </w:rPr>
            </w:pPr>
            <w:r>
              <w:rPr>
                <w:color w:val="auto"/>
                <w:kern w:val="0"/>
                <w:sz w:val="22"/>
                <w:szCs w:val="22"/>
              </w:rPr>
              <w:t xml:space="preserve">1.84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EEC4">
            <w:pPr>
              <w:jc w:val="center"/>
              <w:textAlignment w:val="center"/>
              <w:rPr>
                <w:color w:val="auto"/>
                <w:sz w:val="22"/>
                <w:szCs w:val="22"/>
              </w:rPr>
            </w:pPr>
            <w:r>
              <w:rPr>
                <w:color w:val="auto"/>
                <w:kern w:val="0"/>
                <w:sz w:val="22"/>
                <w:szCs w:val="22"/>
              </w:rPr>
              <w:t>111.2</w:t>
            </w:r>
          </w:p>
        </w:tc>
      </w:tr>
      <w:tr w14:paraId="2CBE25CA">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F9BF">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192E58D9">
            <w:pPr>
              <w:jc w:val="center"/>
              <w:textAlignment w:val="center"/>
              <w:rPr>
                <w:color w:val="auto"/>
                <w:sz w:val="22"/>
                <w:szCs w:val="22"/>
              </w:rPr>
            </w:pPr>
            <w:r>
              <w:rPr>
                <w:color w:val="auto"/>
                <w:kern w:val="0"/>
                <w:sz w:val="22"/>
                <w:szCs w:val="22"/>
              </w:rPr>
              <w:t>武义县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51659">
            <w:pPr>
              <w:jc w:val="center"/>
              <w:textAlignment w:val="center"/>
              <w:rPr>
                <w:color w:val="auto"/>
                <w:sz w:val="22"/>
                <w:szCs w:val="22"/>
              </w:rPr>
            </w:pPr>
            <w:r>
              <w:rPr>
                <w:color w:val="auto"/>
                <w:kern w:val="0"/>
                <w:sz w:val="22"/>
                <w:szCs w:val="22"/>
              </w:rPr>
              <w:t>21.32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AD5C">
            <w:pPr>
              <w:jc w:val="center"/>
              <w:textAlignment w:val="center"/>
              <w:rPr>
                <w:color w:val="auto"/>
                <w:sz w:val="22"/>
                <w:szCs w:val="22"/>
              </w:rPr>
            </w:pPr>
            <w:r>
              <w:rPr>
                <w:color w:val="auto"/>
                <w:kern w:val="0"/>
                <w:sz w:val="22"/>
                <w:szCs w:val="22"/>
              </w:rPr>
              <w:t>3198</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79DD363F">
            <w:pPr>
              <w:jc w:val="center"/>
              <w:textAlignment w:val="center"/>
              <w:rPr>
                <w:color w:val="auto"/>
                <w:sz w:val="22"/>
                <w:szCs w:val="22"/>
              </w:rPr>
            </w:pPr>
            <w:r>
              <w:rPr>
                <w:color w:val="auto"/>
                <w:kern w:val="0"/>
                <w:sz w:val="22"/>
                <w:szCs w:val="22"/>
              </w:rPr>
              <w:t>533</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A621D">
            <w:pPr>
              <w:jc w:val="center"/>
              <w:textAlignment w:val="center"/>
              <w:rPr>
                <w:color w:val="auto"/>
                <w:sz w:val="22"/>
                <w:szCs w:val="22"/>
              </w:rPr>
            </w:pPr>
            <w:r>
              <w:rPr>
                <w:color w:val="auto"/>
                <w:kern w:val="0"/>
                <w:sz w:val="22"/>
                <w:szCs w:val="22"/>
              </w:rPr>
              <w:t xml:space="preserve">0.19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170699D">
            <w:pPr>
              <w:jc w:val="center"/>
              <w:textAlignment w:val="center"/>
              <w:rPr>
                <w:color w:val="auto"/>
                <w:sz w:val="22"/>
                <w:szCs w:val="22"/>
              </w:rPr>
            </w:pPr>
            <w:r>
              <w:rPr>
                <w:color w:val="auto"/>
                <w:kern w:val="0"/>
                <w:sz w:val="22"/>
                <w:szCs w:val="22"/>
              </w:rPr>
              <w:t xml:space="preserve">1.60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0B63">
            <w:pPr>
              <w:jc w:val="center"/>
              <w:textAlignment w:val="center"/>
              <w:rPr>
                <w:color w:val="auto"/>
                <w:sz w:val="22"/>
                <w:szCs w:val="22"/>
              </w:rPr>
            </w:pPr>
            <w:r>
              <w:rPr>
                <w:color w:val="auto"/>
                <w:kern w:val="0"/>
                <w:sz w:val="22"/>
                <w:szCs w:val="22"/>
              </w:rPr>
              <w:t>40</w:t>
            </w:r>
          </w:p>
        </w:tc>
      </w:tr>
      <w:tr w14:paraId="462817B4">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FA90">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C4808C1">
            <w:pPr>
              <w:jc w:val="center"/>
              <w:textAlignment w:val="center"/>
              <w:rPr>
                <w:color w:val="auto"/>
                <w:sz w:val="22"/>
                <w:szCs w:val="22"/>
              </w:rPr>
            </w:pPr>
            <w:r>
              <w:rPr>
                <w:color w:val="auto"/>
                <w:kern w:val="0"/>
                <w:sz w:val="22"/>
                <w:szCs w:val="22"/>
              </w:rPr>
              <w:t>文成县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8E2A9">
            <w:pPr>
              <w:jc w:val="center"/>
              <w:textAlignment w:val="center"/>
              <w:rPr>
                <w:color w:val="auto"/>
                <w:sz w:val="22"/>
                <w:szCs w:val="22"/>
              </w:rPr>
            </w:pPr>
            <w:r>
              <w:rPr>
                <w:color w:val="auto"/>
                <w:kern w:val="0"/>
                <w:sz w:val="22"/>
                <w:szCs w:val="22"/>
              </w:rPr>
              <w:t>7.5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A9BA7">
            <w:pPr>
              <w:jc w:val="center"/>
              <w:textAlignment w:val="center"/>
              <w:rPr>
                <w:color w:val="auto"/>
                <w:sz w:val="22"/>
                <w:szCs w:val="22"/>
              </w:rPr>
            </w:pPr>
            <w:r>
              <w:rPr>
                <w:color w:val="auto"/>
                <w:kern w:val="0"/>
                <w:sz w:val="22"/>
                <w:szCs w:val="22"/>
              </w:rPr>
              <w:t>675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9487B22">
            <w:pPr>
              <w:jc w:val="center"/>
              <w:textAlignment w:val="center"/>
              <w:rPr>
                <w:color w:val="auto"/>
                <w:sz w:val="22"/>
                <w:szCs w:val="22"/>
              </w:rPr>
            </w:pPr>
            <w:r>
              <w:rPr>
                <w:color w:val="auto"/>
                <w:kern w:val="0"/>
                <w:sz w:val="22"/>
                <w:szCs w:val="22"/>
              </w:rPr>
              <w:t>187.5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59DC">
            <w:pPr>
              <w:jc w:val="center"/>
              <w:textAlignment w:val="center"/>
              <w:rPr>
                <w:color w:val="auto"/>
                <w:sz w:val="22"/>
                <w:szCs w:val="22"/>
              </w:rPr>
            </w:pPr>
            <w:r>
              <w:rPr>
                <w:color w:val="auto"/>
                <w:kern w:val="0"/>
                <w:sz w:val="22"/>
                <w:szCs w:val="22"/>
              </w:rPr>
              <w:t xml:space="preserve">0.07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3FBF18B">
            <w:pPr>
              <w:jc w:val="center"/>
              <w:textAlignment w:val="center"/>
              <w:rPr>
                <w:color w:val="auto"/>
                <w:sz w:val="22"/>
                <w:szCs w:val="22"/>
              </w:rPr>
            </w:pPr>
            <w:r>
              <w:rPr>
                <w:color w:val="auto"/>
                <w:kern w:val="0"/>
                <w:sz w:val="22"/>
                <w:szCs w:val="22"/>
              </w:rPr>
              <w:t xml:space="preserve">0.56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64E5">
            <w:pPr>
              <w:jc w:val="center"/>
              <w:textAlignment w:val="center"/>
              <w:rPr>
                <w:color w:val="auto"/>
                <w:sz w:val="22"/>
                <w:szCs w:val="22"/>
              </w:rPr>
            </w:pPr>
            <w:r>
              <w:rPr>
                <w:color w:val="auto"/>
                <w:kern w:val="0"/>
                <w:sz w:val="22"/>
                <w:szCs w:val="22"/>
              </w:rPr>
              <w:t>9.4</w:t>
            </w:r>
          </w:p>
        </w:tc>
      </w:tr>
      <w:tr w14:paraId="25FB79E4">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049E2">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5C6F7B19">
            <w:pPr>
              <w:jc w:val="center"/>
              <w:textAlignment w:val="center"/>
              <w:rPr>
                <w:color w:val="auto"/>
                <w:sz w:val="22"/>
                <w:szCs w:val="22"/>
              </w:rPr>
            </w:pPr>
            <w:r>
              <w:rPr>
                <w:color w:val="auto"/>
                <w:kern w:val="0"/>
                <w:sz w:val="22"/>
                <w:szCs w:val="22"/>
              </w:rPr>
              <w:t>永康市</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35E7">
            <w:pPr>
              <w:jc w:val="center"/>
              <w:textAlignment w:val="center"/>
              <w:rPr>
                <w:color w:val="auto"/>
                <w:sz w:val="22"/>
                <w:szCs w:val="22"/>
              </w:rPr>
            </w:pPr>
            <w:r>
              <w:rPr>
                <w:color w:val="auto"/>
                <w:kern w:val="0"/>
                <w:sz w:val="22"/>
                <w:szCs w:val="22"/>
              </w:rPr>
              <w:t>5.8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A5DBC">
            <w:pPr>
              <w:jc w:val="center"/>
              <w:textAlignment w:val="center"/>
              <w:rPr>
                <w:color w:val="auto"/>
                <w:sz w:val="22"/>
                <w:szCs w:val="22"/>
              </w:rPr>
            </w:pPr>
            <w:r>
              <w:rPr>
                <w:color w:val="auto"/>
                <w:kern w:val="0"/>
                <w:sz w:val="22"/>
                <w:szCs w:val="22"/>
              </w:rPr>
              <w:t>464</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542CE33">
            <w:pPr>
              <w:jc w:val="center"/>
              <w:textAlignment w:val="center"/>
              <w:rPr>
                <w:color w:val="auto"/>
                <w:sz w:val="22"/>
                <w:szCs w:val="22"/>
              </w:rPr>
            </w:pPr>
            <w:r>
              <w:rPr>
                <w:color w:val="auto"/>
                <w:kern w:val="0"/>
                <w:sz w:val="22"/>
                <w:szCs w:val="22"/>
              </w:rPr>
              <w:t>145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1867">
            <w:pPr>
              <w:jc w:val="center"/>
              <w:textAlignment w:val="center"/>
              <w:rPr>
                <w:color w:val="auto"/>
                <w:sz w:val="22"/>
                <w:szCs w:val="22"/>
              </w:rPr>
            </w:pPr>
            <w:r>
              <w:rPr>
                <w:color w:val="auto"/>
                <w:kern w:val="0"/>
                <w:sz w:val="22"/>
                <w:szCs w:val="22"/>
              </w:rPr>
              <w:t xml:space="preserve">0.05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B8D9AF3">
            <w:pPr>
              <w:jc w:val="center"/>
              <w:textAlignment w:val="center"/>
              <w:rPr>
                <w:color w:val="auto"/>
                <w:sz w:val="22"/>
                <w:szCs w:val="22"/>
              </w:rPr>
            </w:pPr>
            <w:r>
              <w:rPr>
                <w:color w:val="auto"/>
                <w:kern w:val="0"/>
                <w:sz w:val="22"/>
                <w:szCs w:val="22"/>
              </w:rPr>
              <w:t xml:space="preserve">0.44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36941">
            <w:pPr>
              <w:jc w:val="center"/>
              <w:textAlignment w:val="center"/>
              <w:rPr>
                <w:color w:val="auto"/>
                <w:sz w:val="22"/>
                <w:szCs w:val="22"/>
              </w:rPr>
            </w:pPr>
            <w:r>
              <w:rPr>
                <w:color w:val="auto"/>
                <w:kern w:val="0"/>
                <w:sz w:val="22"/>
                <w:szCs w:val="22"/>
              </w:rPr>
              <w:t>56.29</w:t>
            </w:r>
          </w:p>
        </w:tc>
      </w:tr>
      <w:tr w14:paraId="0BF75F2D">
        <w:tblPrEx>
          <w:tblCellMar>
            <w:top w:w="0" w:type="dxa"/>
            <w:left w:w="108" w:type="dxa"/>
            <w:bottom w:w="0" w:type="dxa"/>
            <w:right w:w="108" w:type="dxa"/>
          </w:tblCellMar>
        </w:tblPrEx>
        <w:trPr>
          <w:trHeight w:val="606"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1EC89">
            <w:pPr>
              <w:jc w:val="center"/>
              <w:textAlignment w:val="center"/>
              <w:rPr>
                <w:color w:val="auto"/>
                <w:sz w:val="22"/>
                <w:szCs w:val="22"/>
              </w:rPr>
            </w:pPr>
            <w:r>
              <w:rPr>
                <w:color w:val="auto"/>
                <w:kern w:val="0"/>
                <w:sz w:val="22"/>
                <w:szCs w:val="22"/>
              </w:rPr>
              <w:t>福建省</w:t>
            </w: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55732F4">
            <w:pPr>
              <w:jc w:val="center"/>
              <w:textAlignment w:val="center"/>
              <w:rPr>
                <w:color w:val="auto"/>
                <w:sz w:val="22"/>
                <w:szCs w:val="22"/>
              </w:rPr>
            </w:pPr>
            <w:r>
              <w:rPr>
                <w:color w:val="auto"/>
                <w:kern w:val="0"/>
                <w:sz w:val="22"/>
                <w:szCs w:val="22"/>
              </w:rPr>
              <w:t>建瓯市</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46C1B">
            <w:pPr>
              <w:jc w:val="center"/>
              <w:textAlignment w:val="center"/>
              <w:rPr>
                <w:color w:val="auto"/>
                <w:sz w:val="22"/>
                <w:szCs w:val="22"/>
              </w:rPr>
            </w:pPr>
            <w:r>
              <w:rPr>
                <w:color w:val="auto"/>
                <w:kern w:val="0"/>
                <w:sz w:val="22"/>
                <w:szCs w:val="22"/>
              </w:rPr>
              <w:t>147.3</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7D9C0">
            <w:pPr>
              <w:jc w:val="center"/>
              <w:textAlignment w:val="center"/>
              <w:rPr>
                <w:color w:val="auto"/>
                <w:sz w:val="22"/>
                <w:szCs w:val="22"/>
              </w:rPr>
            </w:pPr>
            <w:r>
              <w:rPr>
                <w:color w:val="auto"/>
                <w:kern w:val="0"/>
                <w:sz w:val="22"/>
                <w:szCs w:val="22"/>
              </w:rPr>
              <w:t>22095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537DAD12">
            <w:pPr>
              <w:jc w:val="center"/>
              <w:textAlignment w:val="center"/>
              <w:rPr>
                <w:color w:val="auto"/>
                <w:sz w:val="22"/>
                <w:szCs w:val="22"/>
              </w:rPr>
            </w:pPr>
            <w:r>
              <w:rPr>
                <w:color w:val="auto"/>
                <w:kern w:val="0"/>
                <w:sz w:val="22"/>
                <w:szCs w:val="22"/>
              </w:rPr>
              <w:t>3682.5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F7E6">
            <w:pPr>
              <w:jc w:val="center"/>
              <w:textAlignment w:val="center"/>
              <w:rPr>
                <w:color w:val="auto"/>
                <w:sz w:val="22"/>
                <w:szCs w:val="22"/>
              </w:rPr>
            </w:pPr>
            <w:r>
              <w:rPr>
                <w:color w:val="auto"/>
                <w:kern w:val="0"/>
                <w:sz w:val="22"/>
                <w:szCs w:val="22"/>
              </w:rPr>
              <w:t xml:space="preserve">1.55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63F78CC">
            <w:pPr>
              <w:jc w:val="center"/>
              <w:textAlignment w:val="center"/>
              <w:rPr>
                <w:color w:val="auto"/>
                <w:sz w:val="22"/>
                <w:szCs w:val="22"/>
              </w:rPr>
            </w:pPr>
            <w:r>
              <w:rPr>
                <w:color w:val="auto"/>
                <w:kern w:val="0"/>
                <w:sz w:val="22"/>
                <w:szCs w:val="22"/>
              </w:rPr>
              <w:t xml:space="preserve">11.05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26E3">
            <w:pPr>
              <w:jc w:val="center"/>
              <w:textAlignment w:val="center"/>
              <w:rPr>
                <w:color w:val="auto"/>
                <w:sz w:val="22"/>
                <w:szCs w:val="22"/>
              </w:rPr>
            </w:pPr>
            <w:r>
              <w:rPr>
                <w:color w:val="auto"/>
                <w:kern w:val="0"/>
                <w:sz w:val="22"/>
                <w:szCs w:val="22"/>
              </w:rPr>
              <w:t>132.8</w:t>
            </w:r>
          </w:p>
        </w:tc>
      </w:tr>
      <w:tr w14:paraId="45AB2FD4">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A4E5">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7DD22869">
            <w:pPr>
              <w:jc w:val="center"/>
              <w:textAlignment w:val="center"/>
              <w:rPr>
                <w:color w:val="auto"/>
                <w:sz w:val="22"/>
                <w:szCs w:val="22"/>
              </w:rPr>
            </w:pPr>
            <w:r>
              <w:rPr>
                <w:color w:val="auto"/>
                <w:kern w:val="0"/>
                <w:sz w:val="22"/>
                <w:szCs w:val="22"/>
              </w:rPr>
              <w:t>浦城县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3D29B">
            <w:pPr>
              <w:jc w:val="center"/>
              <w:textAlignment w:val="center"/>
              <w:rPr>
                <w:color w:val="auto"/>
                <w:sz w:val="22"/>
                <w:szCs w:val="22"/>
              </w:rPr>
            </w:pPr>
            <w:r>
              <w:rPr>
                <w:color w:val="auto"/>
                <w:kern w:val="0"/>
                <w:sz w:val="22"/>
                <w:szCs w:val="22"/>
              </w:rPr>
              <w:t>73</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F1C8">
            <w:pPr>
              <w:jc w:val="center"/>
              <w:textAlignment w:val="center"/>
              <w:rPr>
                <w:color w:val="auto"/>
                <w:sz w:val="22"/>
                <w:szCs w:val="22"/>
              </w:rPr>
            </w:pPr>
            <w:r>
              <w:rPr>
                <w:color w:val="auto"/>
                <w:kern w:val="0"/>
                <w:sz w:val="22"/>
                <w:szCs w:val="22"/>
              </w:rPr>
              <w:t>10950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C5F93F1">
            <w:pPr>
              <w:jc w:val="center"/>
              <w:textAlignment w:val="center"/>
              <w:rPr>
                <w:color w:val="auto"/>
                <w:sz w:val="22"/>
                <w:szCs w:val="22"/>
              </w:rPr>
            </w:pPr>
            <w:r>
              <w:rPr>
                <w:color w:val="auto"/>
                <w:kern w:val="0"/>
                <w:sz w:val="22"/>
                <w:szCs w:val="22"/>
              </w:rPr>
              <w:t>1825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342D">
            <w:pPr>
              <w:jc w:val="center"/>
              <w:textAlignment w:val="center"/>
              <w:rPr>
                <w:color w:val="auto"/>
                <w:sz w:val="22"/>
                <w:szCs w:val="22"/>
              </w:rPr>
            </w:pPr>
            <w:r>
              <w:rPr>
                <w:color w:val="auto"/>
                <w:kern w:val="0"/>
                <w:sz w:val="22"/>
                <w:szCs w:val="22"/>
              </w:rPr>
              <w:t xml:space="preserve">0.77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26D1F46">
            <w:pPr>
              <w:jc w:val="center"/>
              <w:textAlignment w:val="center"/>
              <w:rPr>
                <w:color w:val="auto"/>
                <w:sz w:val="22"/>
                <w:szCs w:val="22"/>
              </w:rPr>
            </w:pPr>
            <w:r>
              <w:rPr>
                <w:color w:val="auto"/>
                <w:kern w:val="0"/>
                <w:sz w:val="22"/>
                <w:szCs w:val="22"/>
              </w:rPr>
              <w:t xml:space="preserve">5.48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E3BC">
            <w:pPr>
              <w:jc w:val="center"/>
              <w:textAlignment w:val="center"/>
              <w:rPr>
                <w:color w:val="auto"/>
                <w:sz w:val="22"/>
                <w:szCs w:val="22"/>
              </w:rPr>
            </w:pPr>
            <w:r>
              <w:rPr>
                <w:color w:val="auto"/>
                <w:kern w:val="0"/>
                <w:sz w:val="22"/>
                <w:szCs w:val="22"/>
              </w:rPr>
              <w:t>48.5</w:t>
            </w:r>
          </w:p>
        </w:tc>
      </w:tr>
      <w:tr w14:paraId="4E9120C3">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1165">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129F576">
            <w:pPr>
              <w:jc w:val="center"/>
              <w:textAlignment w:val="center"/>
              <w:rPr>
                <w:color w:val="auto"/>
                <w:sz w:val="22"/>
                <w:szCs w:val="22"/>
              </w:rPr>
            </w:pPr>
            <w:r>
              <w:rPr>
                <w:color w:val="auto"/>
                <w:kern w:val="0"/>
                <w:sz w:val="22"/>
                <w:szCs w:val="22"/>
              </w:rPr>
              <w:t>建阳区</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8CD4A">
            <w:pPr>
              <w:jc w:val="center"/>
              <w:textAlignment w:val="center"/>
              <w:rPr>
                <w:color w:val="auto"/>
                <w:sz w:val="22"/>
                <w:szCs w:val="22"/>
              </w:rPr>
            </w:pPr>
            <w:r>
              <w:rPr>
                <w:color w:val="auto"/>
                <w:kern w:val="0"/>
                <w:sz w:val="22"/>
                <w:szCs w:val="22"/>
              </w:rPr>
              <w:t>66.84</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0F481">
            <w:pPr>
              <w:jc w:val="center"/>
              <w:textAlignment w:val="center"/>
              <w:rPr>
                <w:color w:val="auto"/>
                <w:sz w:val="22"/>
                <w:szCs w:val="22"/>
              </w:rPr>
            </w:pPr>
            <w:r>
              <w:rPr>
                <w:color w:val="auto"/>
                <w:kern w:val="0"/>
                <w:sz w:val="22"/>
                <w:szCs w:val="22"/>
              </w:rPr>
              <w:t>10026</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46F1C705">
            <w:pPr>
              <w:jc w:val="center"/>
              <w:textAlignment w:val="center"/>
              <w:rPr>
                <w:color w:val="auto"/>
                <w:sz w:val="22"/>
                <w:szCs w:val="22"/>
              </w:rPr>
            </w:pPr>
            <w:r>
              <w:rPr>
                <w:color w:val="auto"/>
                <w:kern w:val="0"/>
                <w:sz w:val="22"/>
                <w:szCs w:val="22"/>
              </w:rPr>
              <w:t>1671</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F1DC2">
            <w:pPr>
              <w:jc w:val="center"/>
              <w:textAlignment w:val="center"/>
              <w:rPr>
                <w:color w:val="auto"/>
                <w:sz w:val="22"/>
                <w:szCs w:val="22"/>
              </w:rPr>
            </w:pPr>
            <w:r>
              <w:rPr>
                <w:color w:val="auto"/>
                <w:kern w:val="0"/>
                <w:sz w:val="22"/>
                <w:szCs w:val="22"/>
              </w:rPr>
              <w:t xml:space="preserve">0.63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B5E7C35">
            <w:pPr>
              <w:jc w:val="center"/>
              <w:textAlignment w:val="center"/>
              <w:rPr>
                <w:color w:val="auto"/>
                <w:sz w:val="22"/>
                <w:szCs w:val="22"/>
              </w:rPr>
            </w:pPr>
            <w:r>
              <w:rPr>
                <w:color w:val="auto"/>
                <w:kern w:val="0"/>
                <w:sz w:val="22"/>
                <w:szCs w:val="22"/>
              </w:rPr>
              <w:t xml:space="preserve">5.01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A8FE">
            <w:pPr>
              <w:jc w:val="center"/>
              <w:textAlignment w:val="center"/>
              <w:rPr>
                <w:color w:val="auto"/>
                <w:sz w:val="22"/>
                <w:szCs w:val="22"/>
              </w:rPr>
            </w:pPr>
            <w:r>
              <w:rPr>
                <w:color w:val="auto"/>
                <w:kern w:val="0"/>
                <w:sz w:val="22"/>
                <w:szCs w:val="22"/>
              </w:rPr>
              <w:t>56.7</w:t>
            </w:r>
          </w:p>
        </w:tc>
      </w:tr>
      <w:tr w14:paraId="4FA4BBBD">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4F76">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4D591719">
            <w:pPr>
              <w:jc w:val="center"/>
              <w:textAlignment w:val="center"/>
              <w:rPr>
                <w:color w:val="auto"/>
                <w:sz w:val="22"/>
                <w:szCs w:val="22"/>
              </w:rPr>
            </w:pPr>
            <w:r>
              <w:rPr>
                <w:color w:val="auto"/>
                <w:kern w:val="0"/>
                <w:sz w:val="22"/>
                <w:szCs w:val="22"/>
              </w:rPr>
              <w:t>政和县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4DFF">
            <w:pPr>
              <w:jc w:val="center"/>
              <w:textAlignment w:val="center"/>
              <w:rPr>
                <w:color w:val="auto"/>
                <w:sz w:val="22"/>
                <w:szCs w:val="22"/>
              </w:rPr>
            </w:pPr>
            <w:r>
              <w:rPr>
                <w:color w:val="auto"/>
                <w:kern w:val="0"/>
                <w:sz w:val="22"/>
                <w:szCs w:val="22"/>
              </w:rPr>
              <w:t>46</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BA85">
            <w:pPr>
              <w:jc w:val="center"/>
              <w:textAlignment w:val="center"/>
              <w:rPr>
                <w:color w:val="auto"/>
                <w:sz w:val="22"/>
                <w:szCs w:val="22"/>
              </w:rPr>
            </w:pPr>
            <w:r>
              <w:rPr>
                <w:color w:val="auto"/>
                <w:kern w:val="0"/>
                <w:sz w:val="22"/>
                <w:szCs w:val="22"/>
              </w:rPr>
              <w:t>6900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F370B66">
            <w:pPr>
              <w:jc w:val="center"/>
              <w:textAlignment w:val="center"/>
              <w:rPr>
                <w:color w:val="auto"/>
                <w:sz w:val="22"/>
                <w:szCs w:val="22"/>
              </w:rPr>
            </w:pPr>
            <w:r>
              <w:rPr>
                <w:color w:val="auto"/>
                <w:kern w:val="0"/>
                <w:sz w:val="22"/>
                <w:szCs w:val="22"/>
              </w:rPr>
              <w:t>1150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91D7">
            <w:pPr>
              <w:jc w:val="center"/>
              <w:textAlignment w:val="center"/>
              <w:rPr>
                <w:color w:val="auto"/>
                <w:sz w:val="22"/>
                <w:szCs w:val="22"/>
              </w:rPr>
            </w:pPr>
            <w:r>
              <w:rPr>
                <w:color w:val="auto"/>
                <w:kern w:val="0"/>
                <w:sz w:val="22"/>
                <w:szCs w:val="22"/>
              </w:rPr>
              <w:t xml:space="preserve">0.48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BB76CA4">
            <w:pPr>
              <w:jc w:val="center"/>
              <w:textAlignment w:val="center"/>
              <w:rPr>
                <w:color w:val="auto"/>
                <w:sz w:val="22"/>
                <w:szCs w:val="22"/>
              </w:rPr>
            </w:pPr>
            <w:r>
              <w:rPr>
                <w:color w:val="auto"/>
                <w:kern w:val="0"/>
                <w:sz w:val="22"/>
                <w:szCs w:val="22"/>
              </w:rPr>
              <w:t xml:space="preserve">3.45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D804">
            <w:pPr>
              <w:jc w:val="center"/>
              <w:textAlignment w:val="center"/>
              <w:rPr>
                <w:color w:val="auto"/>
                <w:sz w:val="22"/>
                <w:szCs w:val="22"/>
              </w:rPr>
            </w:pPr>
            <w:r>
              <w:rPr>
                <w:color w:val="auto"/>
                <w:kern w:val="0"/>
                <w:sz w:val="22"/>
                <w:szCs w:val="22"/>
              </w:rPr>
              <w:t>74</w:t>
            </w:r>
          </w:p>
        </w:tc>
      </w:tr>
      <w:tr w14:paraId="4D82A7CF">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5F94">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2F3EEFDB">
            <w:pPr>
              <w:jc w:val="center"/>
              <w:textAlignment w:val="center"/>
              <w:rPr>
                <w:color w:val="auto"/>
                <w:sz w:val="22"/>
                <w:szCs w:val="22"/>
              </w:rPr>
            </w:pPr>
            <w:r>
              <w:rPr>
                <w:color w:val="auto"/>
                <w:kern w:val="0"/>
                <w:sz w:val="22"/>
                <w:szCs w:val="22"/>
              </w:rPr>
              <w:t>松溪县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7960C">
            <w:pPr>
              <w:jc w:val="center"/>
              <w:textAlignment w:val="center"/>
              <w:rPr>
                <w:color w:val="auto"/>
                <w:sz w:val="22"/>
                <w:szCs w:val="22"/>
              </w:rPr>
            </w:pPr>
            <w:r>
              <w:rPr>
                <w:color w:val="auto"/>
                <w:kern w:val="0"/>
                <w:sz w:val="22"/>
                <w:szCs w:val="22"/>
              </w:rPr>
              <w:t>22.8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EEE5">
            <w:pPr>
              <w:jc w:val="center"/>
              <w:textAlignment w:val="center"/>
              <w:rPr>
                <w:color w:val="auto"/>
                <w:sz w:val="22"/>
                <w:szCs w:val="22"/>
              </w:rPr>
            </w:pPr>
            <w:r>
              <w:rPr>
                <w:color w:val="auto"/>
                <w:kern w:val="0"/>
                <w:sz w:val="22"/>
                <w:szCs w:val="22"/>
              </w:rPr>
              <w:t>3420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7A1DBA16">
            <w:pPr>
              <w:jc w:val="center"/>
              <w:textAlignment w:val="center"/>
              <w:rPr>
                <w:color w:val="auto"/>
                <w:sz w:val="22"/>
                <w:szCs w:val="22"/>
              </w:rPr>
            </w:pPr>
            <w:r>
              <w:rPr>
                <w:color w:val="auto"/>
                <w:kern w:val="0"/>
                <w:sz w:val="22"/>
                <w:szCs w:val="22"/>
              </w:rPr>
              <w:t>570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2E15">
            <w:pPr>
              <w:jc w:val="center"/>
              <w:textAlignment w:val="center"/>
              <w:rPr>
                <w:color w:val="auto"/>
                <w:sz w:val="22"/>
                <w:szCs w:val="22"/>
              </w:rPr>
            </w:pPr>
            <w:r>
              <w:rPr>
                <w:color w:val="auto"/>
                <w:kern w:val="0"/>
                <w:sz w:val="22"/>
                <w:szCs w:val="22"/>
              </w:rPr>
              <w:t xml:space="preserve">0.24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FA1D596">
            <w:pPr>
              <w:jc w:val="center"/>
              <w:textAlignment w:val="center"/>
              <w:rPr>
                <w:color w:val="auto"/>
                <w:sz w:val="22"/>
                <w:szCs w:val="22"/>
              </w:rPr>
            </w:pPr>
            <w:r>
              <w:rPr>
                <w:color w:val="auto"/>
                <w:kern w:val="0"/>
                <w:sz w:val="22"/>
                <w:szCs w:val="22"/>
              </w:rPr>
              <w:t xml:space="preserve">1.71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FB64">
            <w:pPr>
              <w:jc w:val="center"/>
              <w:textAlignment w:val="center"/>
              <w:rPr>
                <w:color w:val="auto"/>
                <w:sz w:val="22"/>
                <w:szCs w:val="22"/>
              </w:rPr>
            </w:pPr>
            <w:r>
              <w:rPr>
                <w:color w:val="auto"/>
                <w:kern w:val="0"/>
                <w:sz w:val="22"/>
                <w:szCs w:val="22"/>
              </w:rPr>
              <w:t>28.4</w:t>
            </w:r>
          </w:p>
        </w:tc>
      </w:tr>
      <w:tr w14:paraId="163BBF56">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E9E3C">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0D6C67E7">
            <w:pPr>
              <w:jc w:val="center"/>
              <w:textAlignment w:val="center"/>
              <w:rPr>
                <w:color w:val="auto"/>
                <w:sz w:val="22"/>
                <w:szCs w:val="22"/>
              </w:rPr>
            </w:pPr>
            <w:r>
              <w:rPr>
                <w:color w:val="auto"/>
                <w:kern w:val="0"/>
                <w:sz w:val="22"/>
                <w:szCs w:val="22"/>
              </w:rPr>
              <w:t>屏南县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6093">
            <w:pPr>
              <w:jc w:val="center"/>
              <w:textAlignment w:val="center"/>
              <w:rPr>
                <w:color w:val="auto"/>
                <w:sz w:val="22"/>
                <w:szCs w:val="22"/>
              </w:rPr>
            </w:pPr>
            <w:r>
              <w:rPr>
                <w:color w:val="auto"/>
                <w:kern w:val="0"/>
                <w:sz w:val="22"/>
                <w:szCs w:val="22"/>
              </w:rPr>
              <w:t>15.5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6A249">
            <w:pPr>
              <w:jc w:val="center"/>
              <w:textAlignment w:val="center"/>
              <w:rPr>
                <w:color w:val="auto"/>
                <w:sz w:val="22"/>
                <w:szCs w:val="22"/>
              </w:rPr>
            </w:pPr>
            <w:r>
              <w:rPr>
                <w:color w:val="auto"/>
                <w:kern w:val="0"/>
                <w:sz w:val="22"/>
                <w:szCs w:val="22"/>
              </w:rPr>
              <w:t>2325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25C2822">
            <w:pPr>
              <w:jc w:val="center"/>
              <w:textAlignment w:val="center"/>
              <w:rPr>
                <w:color w:val="auto"/>
                <w:sz w:val="22"/>
                <w:szCs w:val="22"/>
              </w:rPr>
            </w:pPr>
            <w:r>
              <w:rPr>
                <w:color w:val="auto"/>
                <w:kern w:val="0"/>
                <w:sz w:val="22"/>
                <w:szCs w:val="22"/>
              </w:rPr>
              <w:t>387.5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9724">
            <w:pPr>
              <w:jc w:val="center"/>
              <w:textAlignment w:val="center"/>
              <w:rPr>
                <w:color w:val="auto"/>
                <w:sz w:val="22"/>
                <w:szCs w:val="22"/>
              </w:rPr>
            </w:pPr>
            <w:r>
              <w:rPr>
                <w:color w:val="auto"/>
                <w:kern w:val="0"/>
                <w:sz w:val="22"/>
                <w:szCs w:val="22"/>
              </w:rPr>
              <w:t xml:space="preserve">0.16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0C22F315">
            <w:pPr>
              <w:jc w:val="center"/>
              <w:textAlignment w:val="center"/>
              <w:rPr>
                <w:color w:val="auto"/>
                <w:sz w:val="22"/>
                <w:szCs w:val="22"/>
              </w:rPr>
            </w:pPr>
            <w:r>
              <w:rPr>
                <w:color w:val="auto"/>
                <w:kern w:val="0"/>
                <w:sz w:val="22"/>
                <w:szCs w:val="22"/>
              </w:rPr>
              <w:t xml:space="preserve">1.16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27829">
            <w:pPr>
              <w:jc w:val="center"/>
              <w:textAlignment w:val="center"/>
              <w:rPr>
                <w:color w:val="auto"/>
                <w:sz w:val="22"/>
                <w:szCs w:val="22"/>
              </w:rPr>
            </w:pPr>
            <w:r>
              <w:rPr>
                <w:color w:val="auto"/>
                <w:kern w:val="0"/>
                <w:sz w:val="22"/>
                <w:szCs w:val="22"/>
              </w:rPr>
              <w:t>32.68</w:t>
            </w:r>
          </w:p>
        </w:tc>
      </w:tr>
      <w:tr w14:paraId="2F0BF918">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A952">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358CFC30">
            <w:pPr>
              <w:jc w:val="center"/>
              <w:textAlignment w:val="center"/>
              <w:rPr>
                <w:color w:val="auto"/>
                <w:sz w:val="22"/>
                <w:szCs w:val="22"/>
              </w:rPr>
            </w:pPr>
            <w:r>
              <w:rPr>
                <w:color w:val="auto"/>
                <w:kern w:val="0"/>
                <w:sz w:val="22"/>
                <w:szCs w:val="22"/>
              </w:rPr>
              <w:t>寿宁县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3957">
            <w:pPr>
              <w:jc w:val="center"/>
              <w:textAlignment w:val="center"/>
              <w:rPr>
                <w:color w:val="auto"/>
                <w:sz w:val="22"/>
                <w:szCs w:val="22"/>
              </w:rPr>
            </w:pPr>
            <w:r>
              <w:rPr>
                <w:color w:val="auto"/>
                <w:kern w:val="0"/>
                <w:sz w:val="22"/>
                <w:szCs w:val="22"/>
              </w:rPr>
              <w:t>6.9</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77D9">
            <w:pPr>
              <w:jc w:val="center"/>
              <w:textAlignment w:val="center"/>
              <w:rPr>
                <w:color w:val="auto"/>
                <w:sz w:val="22"/>
                <w:szCs w:val="22"/>
              </w:rPr>
            </w:pPr>
            <w:r>
              <w:rPr>
                <w:color w:val="auto"/>
                <w:kern w:val="0"/>
                <w:sz w:val="22"/>
                <w:szCs w:val="22"/>
              </w:rPr>
              <w:t>552</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52076244">
            <w:pPr>
              <w:jc w:val="center"/>
              <w:textAlignment w:val="center"/>
              <w:rPr>
                <w:color w:val="auto"/>
                <w:sz w:val="22"/>
                <w:szCs w:val="22"/>
              </w:rPr>
            </w:pPr>
            <w:r>
              <w:rPr>
                <w:color w:val="auto"/>
                <w:kern w:val="0"/>
                <w:sz w:val="22"/>
                <w:szCs w:val="22"/>
              </w:rPr>
              <w:t>172.5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1DFC9">
            <w:pPr>
              <w:jc w:val="center"/>
              <w:textAlignment w:val="center"/>
              <w:rPr>
                <w:color w:val="auto"/>
                <w:sz w:val="22"/>
                <w:szCs w:val="22"/>
              </w:rPr>
            </w:pPr>
            <w:r>
              <w:rPr>
                <w:color w:val="auto"/>
                <w:kern w:val="0"/>
                <w:sz w:val="22"/>
                <w:szCs w:val="22"/>
              </w:rPr>
              <w:t xml:space="preserve">0.07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5BBE294D">
            <w:pPr>
              <w:jc w:val="center"/>
              <w:textAlignment w:val="center"/>
              <w:rPr>
                <w:color w:val="auto"/>
                <w:sz w:val="22"/>
                <w:szCs w:val="22"/>
              </w:rPr>
            </w:pPr>
            <w:r>
              <w:rPr>
                <w:color w:val="auto"/>
                <w:kern w:val="0"/>
                <w:sz w:val="22"/>
                <w:szCs w:val="22"/>
              </w:rPr>
              <w:t xml:space="preserve">0.52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53AF">
            <w:pPr>
              <w:jc w:val="center"/>
              <w:textAlignment w:val="center"/>
              <w:rPr>
                <w:color w:val="auto"/>
                <w:sz w:val="22"/>
                <w:szCs w:val="22"/>
              </w:rPr>
            </w:pPr>
            <w:r>
              <w:rPr>
                <w:color w:val="auto"/>
                <w:kern w:val="0"/>
                <w:sz w:val="22"/>
                <w:szCs w:val="22"/>
              </w:rPr>
              <w:t>45.14</w:t>
            </w:r>
          </w:p>
        </w:tc>
      </w:tr>
      <w:tr w14:paraId="420BBDEC">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6A58">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59E4A0DA">
            <w:pPr>
              <w:jc w:val="center"/>
              <w:textAlignment w:val="center"/>
              <w:rPr>
                <w:color w:val="auto"/>
                <w:sz w:val="22"/>
                <w:szCs w:val="22"/>
              </w:rPr>
            </w:pPr>
            <w:r>
              <w:rPr>
                <w:color w:val="auto"/>
                <w:kern w:val="0"/>
                <w:sz w:val="22"/>
                <w:szCs w:val="22"/>
              </w:rPr>
              <w:t>周宁县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487E2">
            <w:pPr>
              <w:jc w:val="center"/>
              <w:textAlignment w:val="center"/>
              <w:rPr>
                <w:color w:val="auto"/>
                <w:sz w:val="22"/>
                <w:szCs w:val="22"/>
              </w:rPr>
            </w:pPr>
            <w:r>
              <w:rPr>
                <w:color w:val="auto"/>
                <w:kern w:val="0"/>
                <w:sz w:val="22"/>
                <w:szCs w:val="22"/>
              </w:rPr>
              <w:t>7</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B7A7">
            <w:pPr>
              <w:jc w:val="center"/>
              <w:textAlignment w:val="center"/>
              <w:rPr>
                <w:color w:val="auto"/>
                <w:sz w:val="22"/>
                <w:szCs w:val="22"/>
              </w:rPr>
            </w:pPr>
            <w:r>
              <w:rPr>
                <w:color w:val="auto"/>
                <w:kern w:val="0"/>
                <w:sz w:val="22"/>
                <w:szCs w:val="22"/>
              </w:rPr>
              <w:t>630</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908D4CF">
            <w:pPr>
              <w:jc w:val="center"/>
              <w:textAlignment w:val="center"/>
              <w:rPr>
                <w:color w:val="auto"/>
                <w:sz w:val="22"/>
                <w:szCs w:val="22"/>
              </w:rPr>
            </w:pPr>
            <w:r>
              <w:rPr>
                <w:color w:val="auto"/>
                <w:kern w:val="0"/>
                <w:sz w:val="22"/>
                <w:szCs w:val="22"/>
              </w:rPr>
              <w:t>175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0EE2">
            <w:pPr>
              <w:jc w:val="center"/>
              <w:textAlignment w:val="center"/>
              <w:rPr>
                <w:color w:val="auto"/>
                <w:sz w:val="22"/>
                <w:szCs w:val="22"/>
              </w:rPr>
            </w:pPr>
            <w:r>
              <w:rPr>
                <w:color w:val="auto"/>
                <w:kern w:val="0"/>
                <w:sz w:val="22"/>
                <w:szCs w:val="22"/>
              </w:rPr>
              <w:t xml:space="preserve">0.07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7C00525">
            <w:pPr>
              <w:jc w:val="center"/>
              <w:textAlignment w:val="center"/>
              <w:rPr>
                <w:color w:val="auto"/>
                <w:sz w:val="22"/>
                <w:szCs w:val="22"/>
              </w:rPr>
            </w:pPr>
            <w:r>
              <w:rPr>
                <w:color w:val="auto"/>
                <w:kern w:val="0"/>
                <w:sz w:val="22"/>
                <w:szCs w:val="22"/>
              </w:rPr>
              <w:t xml:space="preserve">0.53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A127A">
            <w:pPr>
              <w:jc w:val="center"/>
              <w:textAlignment w:val="center"/>
              <w:rPr>
                <w:color w:val="auto"/>
                <w:sz w:val="22"/>
                <w:szCs w:val="22"/>
              </w:rPr>
            </w:pPr>
            <w:r>
              <w:rPr>
                <w:color w:val="auto"/>
                <w:kern w:val="0"/>
                <w:sz w:val="22"/>
                <w:szCs w:val="22"/>
              </w:rPr>
              <w:t>57.64</w:t>
            </w:r>
          </w:p>
        </w:tc>
      </w:tr>
      <w:tr w14:paraId="68D2F1E9">
        <w:tblPrEx>
          <w:tblCellMar>
            <w:top w:w="0" w:type="dxa"/>
            <w:left w:w="108" w:type="dxa"/>
            <w:bottom w:w="0" w:type="dxa"/>
            <w:right w:w="108" w:type="dxa"/>
          </w:tblCellMar>
        </w:tblPrEx>
        <w:trPr>
          <w:trHeight w:val="606"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A468F">
            <w:pPr>
              <w:jc w:val="center"/>
              <w:textAlignment w:val="center"/>
              <w:rPr>
                <w:color w:val="auto"/>
                <w:sz w:val="22"/>
                <w:szCs w:val="22"/>
              </w:rPr>
            </w:pPr>
            <w:r>
              <w:rPr>
                <w:color w:val="auto"/>
                <w:kern w:val="0"/>
                <w:sz w:val="22"/>
                <w:szCs w:val="22"/>
              </w:rPr>
              <w:t>江西省</w:t>
            </w: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638DAAF7">
            <w:pPr>
              <w:jc w:val="center"/>
              <w:textAlignment w:val="center"/>
              <w:rPr>
                <w:color w:val="auto"/>
                <w:sz w:val="22"/>
                <w:szCs w:val="22"/>
              </w:rPr>
            </w:pPr>
            <w:r>
              <w:rPr>
                <w:color w:val="auto"/>
                <w:kern w:val="0"/>
                <w:sz w:val="22"/>
                <w:szCs w:val="22"/>
              </w:rPr>
              <w:t>广丰县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99CC">
            <w:pPr>
              <w:jc w:val="center"/>
              <w:textAlignment w:val="center"/>
              <w:rPr>
                <w:color w:val="auto"/>
                <w:sz w:val="22"/>
                <w:szCs w:val="22"/>
              </w:rPr>
            </w:pPr>
            <w:r>
              <w:rPr>
                <w:color w:val="auto"/>
                <w:kern w:val="0"/>
                <w:sz w:val="22"/>
                <w:szCs w:val="22"/>
              </w:rPr>
              <w:t>17.75</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D206">
            <w:pPr>
              <w:jc w:val="center"/>
              <w:textAlignment w:val="center"/>
              <w:rPr>
                <w:color w:val="auto"/>
                <w:sz w:val="22"/>
                <w:szCs w:val="22"/>
              </w:rPr>
            </w:pPr>
            <w:r>
              <w:rPr>
                <w:color w:val="auto"/>
                <w:kern w:val="0"/>
                <w:sz w:val="22"/>
                <w:szCs w:val="22"/>
              </w:rPr>
              <w:t>2662.5</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1DC23B21">
            <w:pPr>
              <w:jc w:val="center"/>
              <w:textAlignment w:val="center"/>
              <w:rPr>
                <w:color w:val="auto"/>
                <w:sz w:val="22"/>
                <w:szCs w:val="22"/>
              </w:rPr>
            </w:pPr>
            <w:r>
              <w:rPr>
                <w:color w:val="auto"/>
                <w:kern w:val="0"/>
                <w:sz w:val="22"/>
                <w:szCs w:val="22"/>
              </w:rPr>
              <w:t>443.75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C54F">
            <w:pPr>
              <w:jc w:val="center"/>
              <w:textAlignment w:val="center"/>
              <w:rPr>
                <w:color w:val="auto"/>
                <w:sz w:val="22"/>
                <w:szCs w:val="22"/>
              </w:rPr>
            </w:pPr>
            <w:r>
              <w:rPr>
                <w:color w:val="auto"/>
                <w:kern w:val="0"/>
                <w:sz w:val="22"/>
                <w:szCs w:val="22"/>
              </w:rPr>
              <w:t xml:space="preserve">0.17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647E898B">
            <w:pPr>
              <w:jc w:val="center"/>
              <w:textAlignment w:val="center"/>
              <w:rPr>
                <w:color w:val="auto"/>
                <w:sz w:val="22"/>
                <w:szCs w:val="22"/>
              </w:rPr>
            </w:pPr>
            <w:r>
              <w:rPr>
                <w:color w:val="auto"/>
                <w:kern w:val="0"/>
                <w:sz w:val="22"/>
                <w:szCs w:val="22"/>
              </w:rPr>
              <w:t xml:space="preserve">1.33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B147">
            <w:pPr>
              <w:jc w:val="center"/>
              <w:textAlignment w:val="center"/>
              <w:rPr>
                <w:color w:val="auto"/>
                <w:sz w:val="22"/>
                <w:szCs w:val="22"/>
              </w:rPr>
            </w:pPr>
            <w:r>
              <w:rPr>
                <w:color w:val="auto"/>
                <w:kern w:val="0"/>
                <w:sz w:val="22"/>
                <w:szCs w:val="22"/>
              </w:rPr>
              <w:t>16.75</w:t>
            </w:r>
          </w:p>
        </w:tc>
      </w:tr>
      <w:tr w14:paraId="2ADF6A2D">
        <w:tblPrEx>
          <w:tblCellMar>
            <w:top w:w="0" w:type="dxa"/>
            <w:left w:w="108" w:type="dxa"/>
            <w:bottom w:w="0" w:type="dxa"/>
            <w:right w:w="108" w:type="dxa"/>
          </w:tblCellMar>
        </w:tblPrEx>
        <w:trPr>
          <w:trHeight w:val="606"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1B694">
            <w:pPr>
              <w:jc w:val="center"/>
              <w:rPr>
                <w:color w:val="auto"/>
                <w:sz w:val="22"/>
                <w:szCs w:val="22"/>
              </w:rPr>
            </w:pPr>
          </w:p>
        </w:tc>
        <w:tc>
          <w:tcPr>
            <w:tcW w:w="1070" w:type="dxa"/>
            <w:tcBorders>
              <w:top w:val="single" w:color="000000" w:sz="4" w:space="0"/>
              <w:left w:val="nil"/>
              <w:bottom w:val="single" w:color="000000" w:sz="4" w:space="0"/>
              <w:right w:val="single" w:color="000000" w:sz="4" w:space="0"/>
            </w:tcBorders>
            <w:shd w:val="clear" w:color="auto" w:fill="auto"/>
            <w:noWrap/>
            <w:vAlign w:val="center"/>
          </w:tcPr>
          <w:p w14:paraId="29E88236">
            <w:pPr>
              <w:jc w:val="center"/>
              <w:textAlignment w:val="center"/>
              <w:rPr>
                <w:color w:val="auto"/>
                <w:sz w:val="22"/>
                <w:szCs w:val="22"/>
              </w:rPr>
            </w:pPr>
            <w:r>
              <w:rPr>
                <w:color w:val="auto"/>
                <w:kern w:val="0"/>
                <w:sz w:val="22"/>
                <w:szCs w:val="22"/>
              </w:rPr>
              <w:t>玉山县</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5B45">
            <w:pPr>
              <w:jc w:val="center"/>
              <w:textAlignment w:val="center"/>
              <w:rPr>
                <w:color w:val="auto"/>
                <w:sz w:val="22"/>
                <w:szCs w:val="22"/>
              </w:rPr>
            </w:pPr>
            <w:r>
              <w:rPr>
                <w:color w:val="auto"/>
                <w:kern w:val="0"/>
                <w:sz w:val="22"/>
                <w:szCs w:val="22"/>
              </w:rPr>
              <w:t>4.2</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C22D">
            <w:pPr>
              <w:jc w:val="center"/>
              <w:textAlignment w:val="center"/>
              <w:rPr>
                <w:color w:val="auto"/>
                <w:sz w:val="22"/>
                <w:szCs w:val="22"/>
              </w:rPr>
            </w:pPr>
            <w:r>
              <w:rPr>
                <w:color w:val="auto"/>
                <w:kern w:val="0"/>
                <w:sz w:val="22"/>
                <w:szCs w:val="22"/>
              </w:rPr>
              <w:t>336</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9B8783F">
            <w:pPr>
              <w:jc w:val="center"/>
              <w:textAlignment w:val="center"/>
              <w:rPr>
                <w:color w:val="auto"/>
                <w:sz w:val="22"/>
                <w:szCs w:val="22"/>
              </w:rPr>
            </w:pPr>
            <w:r>
              <w:rPr>
                <w:color w:val="auto"/>
                <w:kern w:val="0"/>
                <w:sz w:val="22"/>
                <w:szCs w:val="22"/>
              </w:rPr>
              <w:t>105</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672A">
            <w:pPr>
              <w:jc w:val="center"/>
              <w:textAlignment w:val="center"/>
              <w:rPr>
                <w:color w:val="auto"/>
                <w:sz w:val="22"/>
                <w:szCs w:val="22"/>
              </w:rPr>
            </w:pPr>
            <w:r>
              <w:rPr>
                <w:color w:val="auto"/>
                <w:kern w:val="0"/>
                <w:sz w:val="22"/>
                <w:szCs w:val="22"/>
              </w:rPr>
              <w:t xml:space="preserve">0.04 </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2D3F0C67">
            <w:pPr>
              <w:jc w:val="center"/>
              <w:textAlignment w:val="center"/>
              <w:rPr>
                <w:color w:val="auto"/>
                <w:sz w:val="22"/>
                <w:szCs w:val="22"/>
              </w:rPr>
            </w:pPr>
            <w:r>
              <w:rPr>
                <w:color w:val="auto"/>
                <w:kern w:val="0"/>
                <w:sz w:val="22"/>
                <w:szCs w:val="22"/>
              </w:rPr>
              <w:t xml:space="preserve">0.32 </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50652">
            <w:pPr>
              <w:jc w:val="center"/>
              <w:textAlignment w:val="center"/>
              <w:rPr>
                <w:color w:val="auto"/>
                <w:sz w:val="22"/>
                <w:szCs w:val="22"/>
              </w:rPr>
            </w:pPr>
            <w:r>
              <w:rPr>
                <w:color w:val="auto"/>
                <w:kern w:val="0"/>
                <w:sz w:val="22"/>
                <w:szCs w:val="22"/>
              </w:rPr>
              <w:t>4.36</w:t>
            </w:r>
          </w:p>
        </w:tc>
      </w:tr>
      <w:tr w14:paraId="584A4CE0">
        <w:tblPrEx>
          <w:tblCellMar>
            <w:top w:w="0" w:type="dxa"/>
            <w:left w:w="108" w:type="dxa"/>
            <w:bottom w:w="0" w:type="dxa"/>
            <w:right w:w="108" w:type="dxa"/>
          </w:tblCellMar>
        </w:tblPrEx>
        <w:trPr>
          <w:trHeight w:val="616" w:hRule="atLeast"/>
        </w:trPr>
        <w:tc>
          <w:tcPr>
            <w:tcW w:w="19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437B">
            <w:pPr>
              <w:jc w:val="center"/>
              <w:textAlignment w:val="center"/>
              <w:rPr>
                <w:b/>
                <w:bCs/>
                <w:color w:val="auto"/>
                <w:sz w:val="22"/>
                <w:szCs w:val="22"/>
              </w:rPr>
            </w:pPr>
            <w:r>
              <w:rPr>
                <w:b/>
                <w:bCs/>
                <w:color w:val="auto"/>
                <w:kern w:val="0"/>
                <w:sz w:val="22"/>
                <w:szCs w:val="22"/>
              </w:rPr>
              <w:t>合计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5C73">
            <w:pPr>
              <w:jc w:val="center"/>
              <w:textAlignment w:val="center"/>
              <w:rPr>
                <w:b/>
                <w:bCs/>
                <w:color w:val="auto"/>
                <w:sz w:val="22"/>
                <w:szCs w:val="22"/>
              </w:rPr>
            </w:pPr>
            <w:r>
              <w:rPr>
                <w:b/>
                <w:bCs/>
                <w:color w:val="auto"/>
                <w:kern w:val="0"/>
                <w:sz w:val="22"/>
                <w:szCs w:val="22"/>
              </w:rPr>
              <w:t>758.28</w:t>
            </w:r>
          </w:p>
        </w:tc>
        <w:tc>
          <w:tcPr>
            <w:tcW w:w="1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AC1B2">
            <w:pPr>
              <w:jc w:val="center"/>
              <w:textAlignment w:val="center"/>
              <w:rPr>
                <w:b/>
                <w:bCs/>
                <w:color w:val="auto"/>
                <w:sz w:val="22"/>
                <w:szCs w:val="22"/>
              </w:rPr>
            </w:pPr>
            <w:r>
              <w:rPr>
                <w:b/>
                <w:bCs/>
                <w:color w:val="auto"/>
                <w:kern w:val="0"/>
                <w:sz w:val="22"/>
                <w:szCs w:val="22"/>
              </w:rPr>
              <w:t>112139.00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6FD6">
            <w:pPr>
              <w:jc w:val="center"/>
              <w:textAlignment w:val="center"/>
              <w:rPr>
                <w:b/>
                <w:bCs/>
                <w:color w:val="auto"/>
                <w:sz w:val="22"/>
                <w:szCs w:val="22"/>
              </w:rPr>
            </w:pPr>
            <w:r>
              <w:rPr>
                <w:b/>
                <w:bCs/>
                <w:color w:val="auto"/>
                <w:kern w:val="0"/>
                <w:sz w:val="22"/>
                <w:szCs w:val="22"/>
              </w:rPr>
              <w:t>19232.00</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43140">
            <w:pPr>
              <w:jc w:val="center"/>
              <w:textAlignment w:val="center"/>
              <w:rPr>
                <w:b/>
                <w:bCs/>
                <w:color w:val="auto"/>
                <w:sz w:val="22"/>
                <w:szCs w:val="22"/>
              </w:rPr>
            </w:pPr>
            <w:r>
              <w:rPr>
                <w:b/>
                <w:bCs/>
                <w:color w:val="auto"/>
                <w:kern w:val="0"/>
                <w:sz w:val="22"/>
                <w:szCs w:val="22"/>
              </w:rPr>
              <w:t>7.51</w:t>
            </w:r>
          </w:p>
        </w:tc>
        <w:tc>
          <w:tcPr>
            <w:tcW w:w="1070" w:type="dxa"/>
            <w:tcBorders>
              <w:top w:val="single" w:color="000000" w:sz="4" w:space="0"/>
              <w:left w:val="single" w:color="000000" w:sz="4" w:space="0"/>
              <w:bottom w:val="single" w:color="000000" w:sz="4" w:space="0"/>
              <w:right w:val="nil"/>
            </w:tcBorders>
            <w:shd w:val="clear" w:color="auto" w:fill="auto"/>
            <w:noWrap/>
            <w:vAlign w:val="center"/>
          </w:tcPr>
          <w:p w14:paraId="3E298DFC">
            <w:pPr>
              <w:jc w:val="center"/>
              <w:textAlignment w:val="center"/>
              <w:rPr>
                <w:b/>
                <w:bCs/>
                <w:color w:val="auto"/>
                <w:sz w:val="22"/>
                <w:szCs w:val="22"/>
              </w:rPr>
            </w:pPr>
            <w:r>
              <w:rPr>
                <w:b/>
                <w:bCs/>
                <w:color w:val="auto"/>
                <w:kern w:val="0"/>
                <w:sz w:val="22"/>
                <w:szCs w:val="22"/>
              </w:rPr>
              <w:t>56.87</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C6EF8">
            <w:pPr>
              <w:jc w:val="center"/>
              <w:textAlignment w:val="center"/>
              <w:rPr>
                <w:color w:val="auto"/>
                <w:sz w:val="22"/>
                <w:szCs w:val="22"/>
              </w:rPr>
            </w:pPr>
            <w:r>
              <w:rPr>
                <w:b/>
                <w:bCs/>
                <w:color w:val="auto"/>
                <w:kern w:val="0"/>
                <w:sz w:val="22"/>
                <w:szCs w:val="22"/>
              </w:rPr>
              <w:t>1601.34</w:t>
            </w:r>
          </w:p>
        </w:tc>
      </w:tr>
    </w:tbl>
    <w:p w14:paraId="5AB49EC9">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p>
    <w:p w14:paraId="60EF5399">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p>
    <w:p w14:paraId="62468B52">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p>
    <w:p w14:paraId="686A73E0">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（3）第二产业现状</w:t>
      </w:r>
    </w:p>
    <w:p w14:paraId="6E52804A">
      <w:pPr>
        <w:pStyle w:val="20"/>
        <w:ind w:left="0" w:leftChars="0" w:firstLine="560" w:firstLineChars="200"/>
        <w:rPr>
          <w:color w:val="auto"/>
          <w:kern w:val="2"/>
          <w:sz w:val="28"/>
          <w:szCs w:val="20"/>
        </w:rPr>
      </w:pPr>
      <w:r>
        <w:rPr>
          <w:rFonts w:hint="eastAsia"/>
          <w:color w:val="auto"/>
          <w:kern w:val="2"/>
          <w:sz w:val="28"/>
          <w:szCs w:val="20"/>
        </w:rPr>
        <w:t xml:space="preserve">竹木产业链覆盖了原材料供应、研发设计、定牌加工、销售等各环节，产品涉及生产、生活、科教文体各领域，主要产品有竹木制板材、户外休闲用品和竹制小家具、竹木制玩具及家居（厨具）用品等200多个品种，产品远销欧美、澳洲、东南亚等五十几个国家和地区。龙泉市竹木加工业发展较快，属劳动密集型，带动就业人口多，是适应山区实际，实现产业富民的传统特色产业。其中，竹木加工产业是龙泉的主导产业，经过多年的发展，依托丰富的竹木资源，龙泉市的竹木加工产业得到了稳步发展，产业总体规模不断扩大，占全市规模工业比重不断上升。 </w:t>
      </w:r>
    </w:p>
    <w:p w14:paraId="4C1BD1CF">
      <w:pPr>
        <w:pStyle w:val="20"/>
        <w:ind w:left="0" w:leftChars="0" w:firstLine="560" w:firstLineChars="200"/>
        <w:rPr>
          <w:color w:val="auto"/>
          <w:kern w:val="2"/>
          <w:sz w:val="28"/>
          <w:szCs w:val="20"/>
        </w:rPr>
      </w:pPr>
      <w:r>
        <w:rPr>
          <w:rFonts w:hint="eastAsia"/>
          <w:color w:val="auto"/>
          <w:kern w:val="2"/>
          <w:sz w:val="28"/>
          <w:szCs w:val="20"/>
        </w:rPr>
        <w:t xml:space="preserve">全市现有竹木加工企业 600 多家，其中规上企业36家，国家高新技术企业14 家，省级林业龙头企业 10 家，超五千万元企业 10 家，超亿元企业 5 家。2022年，受新冠疫情、欧洲能源危机以及全球通货膨胀等因素影响，全市竹木产业加工产值略有下降。2022年，20家规上企业出现负增长，全市竹木规上企业加工产值从2021年的20.56亿元将至2022年的18.11亿元，同比下降11.93%。年加工竹材近 6500 万株（本地竹材 1800 万株），木材近 50万立方米。我市先后被授予“浙江省竹木太阳伞生产基地”、“中国竹木户外休闲用品产业基地”等称号。2022年实现行业加工产值近59亿元，解决了全市近2万人的就业，为我市经济发展做出了积极贡献。 </w:t>
      </w:r>
    </w:p>
    <w:p w14:paraId="6367FE35">
      <w:pPr>
        <w:pStyle w:val="20"/>
        <w:ind w:left="0" w:leftChars="0" w:firstLine="560" w:firstLineChars="200"/>
        <w:rPr>
          <w:color w:val="auto"/>
          <w:kern w:val="2"/>
          <w:sz w:val="28"/>
          <w:szCs w:val="20"/>
        </w:rPr>
      </w:pPr>
    </w:p>
    <w:p w14:paraId="7F472254">
      <w:pPr>
        <w:pStyle w:val="20"/>
        <w:ind w:left="0" w:leftChars="0" w:firstLine="560" w:firstLineChars="200"/>
        <w:rPr>
          <w:color w:val="auto"/>
          <w:kern w:val="2"/>
          <w:sz w:val="28"/>
          <w:szCs w:val="20"/>
        </w:rPr>
      </w:pPr>
    </w:p>
    <w:p w14:paraId="09D10E2A">
      <w:pPr>
        <w:jc w:val="center"/>
        <w:rPr>
          <w:rFonts w:eastAsia="黑体"/>
          <w:b/>
          <w:color w:val="auto"/>
          <w:sz w:val="28"/>
        </w:rPr>
      </w:pPr>
      <w:r>
        <w:rPr>
          <w:rFonts w:hint="eastAsia" w:eastAsia="黑体"/>
          <w:b/>
          <w:color w:val="auto"/>
          <w:sz w:val="28"/>
        </w:rPr>
        <w:t>龙泉市竹木加工企业统计表（2023）</w:t>
      </w:r>
    </w:p>
    <w:tbl>
      <w:tblPr>
        <w:tblStyle w:val="21"/>
        <w:tblW w:w="5139" w:type="pct"/>
        <w:jc w:val="center"/>
        <w:tblLayout w:type="fixed"/>
        <w:tblCellMar>
          <w:top w:w="0" w:type="dxa"/>
          <w:left w:w="108" w:type="dxa"/>
          <w:bottom w:w="0" w:type="dxa"/>
          <w:right w:w="108" w:type="dxa"/>
        </w:tblCellMar>
      </w:tblPr>
      <w:tblGrid>
        <w:gridCol w:w="1113"/>
        <w:gridCol w:w="2449"/>
        <w:gridCol w:w="2820"/>
        <w:gridCol w:w="2377"/>
      </w:tblGrid>
      <w:tr w14:paraId="3E4F262D">
        <w:tblPrEx>
          <w:tblCellMar>
            <w:top w:w="0" w:type="dxa"/>
            <w:left w:w="108" w:type="dxa"/>
            <w:bottom w:w="0" w:type="dxa"/>
            <w:right w:w="108" w:type="dxa"/>
          </w:tblCellMar>
        </w:tblPrEx>
        <w:trPr>
          <w:trHeight w:val="90" w:hRule="atLeast"/>
          <w:jc w:val="center"/>
        </w:trPr>
        <w:tc>
          <w:tcPr>
            <w:tcW w:w="636" w:type="pct"/>
            <w:tcBorders>
              <w:top w:val="single" w:color="auto" w:sz="4" w:space="0"/>
              <w:left w:val="single" w:color="auto" w:sz="4" w:space="0"/>
              <w:bottom w:val="single" w:color="auto" w:sz="4" w:space="0"/>
              <w:right w:val="single" w:color="auto" w:sz="4" w:space="0"/>
            </w:tcBorders>
            <w:noWrap/>
            <w:vAlign w:val="center"/>
          </w:tcPr>
          <w:p w14:paraId="3A7D8C09">
            <w:pPr>
              <w:jc w:val="center"/>
              <w:rPr>
                <w:rFonts w:eastAsia="黑体" w:cs="黑体"/>
                <w:color w:val="auto"/>
                <w:kern w:val="0"/>
                <w:szCs w:val="21"/>
              </w:rPr>
            </w:pPr>
            <w:r>
              <w:rPr>
                <w:rFonts w:hint="eastAsia" w:eastAsia="黑体" w:cs="黑体"/>
                <w:color w:val="auto"/>
                <w:kern w:val="0"/>
                <w:szCs w:val="21"/>
              </w:rPr>
              <w:t>分布区块</w:t>
            </w:r>
          </w:p>
        </w:tc>
        <w:tc>
          <w:tcPr>
            <w:tcW w:w="1397" w:type="pct"/>
            <w:tcBorders>
              <w:top w:val="single" w:color="auto" w:sz="4" w:space="0"/>
              <w:left w:val="nil"/>
              <w:bottom w:val="single" w:color="auto" w:sz="4" w:space="0"/>
              <w:right w:val="single" w:color="auto" w:sz="4" w:space="0"/>
            </w:tcBorders>
            <w:noWrap/>
            <w:vAlign w:val="center"/>
          </w:tcPr>
          <w:p w14:paraId="39198D60">
            <w:pPr>
              <w:jc w:val="center"/>
              <w:rPr>
                <w:rFonts w:eastAsia="黑体" w:cs="黑体"/>
                <w:color w:val="auto"/>
                <w:kern w:val="0"/>
                <w:szCs w:val="21"/>
              </w:rPr>
            </w:pPr>
            <w:r>
              <w:rPr>
                <w:rFonts w:hint="eastAsia" w:eastAsia="黑体" w:cs="黑体"/>
                <w:color w:val="auto"/>
                <w:kern w:val="0"/>
                <w:szCs w:val="21"/>
              </w:rPr>
              <w:t>概况</w:t>
            </w:r>
          </w:p>
        </w:tc>
        <w:tc>
          <w:tcPr>
            <w:tcW w:w="1609" w:type="pct"/>
            <w:tcBorders>
              <w:top w:val="single" w:color="auto" w:sz="4" w:space="0"/>
              <w:left w:val="nil"/>
              <w:bottom w:val="single" w:color="auto" w:sz="4" w:space="0"/>
              <w:right w:val="single" w:color="auto" w:sz="4" w:space="0"/>
            </w:tcBorders>
            <w:noWrap/>
            <w:vAlign w:val="center"/>
          </w:tcPr>
          <w:p w14:paraId="3C860EEE">
            <w:pPr>
              <w:jc w:val="center"/>
              <w:rPr>
                <w:rFonts w:eastAsia="黑体" w:cs="黑体"/>
                <w:color w:val="auto"/>
                <w:kern w:val="0"/>
                <w:szCs w:val="21"/>
              </w:rPr>
            </w:pPr>
            <w:r>
              <w:rPr>
                <w:rFonts w:hint="eastAsia" w:eastAsia="黑体" w:cs="黑体"/>
                <w:color w:val="auto"/>
                <w:kern w:val="0"/>
                <w:szCs w:val="21"/>
              </w:rPr>
              <w:t>重点企业名称</w:t>
            </w:r>
          </w:p>
        </w:tc>
        <w:tc>
          <w:tcPr>
            <w:tcW w:w="1356" w:type="pct"/>
            <w:tcBorders>
              <w:top w:val="single" w:color="auto" w:sz="4" w:space="0"/>
              <w:left w:val="nil"/>
              <w:bottom w:val="single" w:color="auto" w:sz="4" w:space="0"/>
              <w:right w:val="single" w:color="auto" w:sz="4" w:space="0"/>
            </w:tcBorders>
            <w:noWrap/>
            <w:vAlign w:val="center"/>
          </w:tcPr>
          <w:p w14:paraId="2A7E900C">
            <w:pPr>
              <w:jc w:val="center"/>
              <w:rPr>
                <w:rFonts w:eastAsia="黑体" w:cs="黑体"/>
                <w:color w:val="auto"/>
                <w:kern w:val="0"/>
                <w:szCs w:val="21"/>
              </w:rPr>
            </w:pPr>
            <w:r>
              <w:rPr>
                <w:rFonts w:hint="eastAsia" w:eastAsia="黑体" w:cs="黑体"/>
                <w:color w:val="auto"/>
                <w:kern w:val="0"/>
                <w:szCs w:val="21"/>
              </w:rPr>
              <w:t>主要产品</w:t>
            </w:r>
          </w:p>
        </w:tc>
      </w:tr>
      <w:tr w14:paraId="1635C6B5">
        <w:tblPrEx>
          <w:tblCellMar>
            <w:top w:w="0" w:type="dxa"/>
            <w:left w:w="108" w:type="dxa"/>
            <w:bottom w:w="0" w:type="dxa"/>
            <w:right w:w="108" w:type="dxa"/>
          </w:tblCellMar>
        </w:tblPrEx>
        <w:trPr>
          <w:trHeight w:val="487" w:hRule="atLeast"/>
          <w:jc w:val="center"/>
        </w:trPr>
        <w:tc>
          <w:tcPr>
            <w:tcW w:w="636" w:type="pct"/>
            <w:vMerge w:val="restart"/>
            <w:tcBorders>
              <w:top w:val="nil"/>
              <w:left w:val="single" w:color="auto" w:sz="4" w:space="0"/>
              <w:right w:val="single" w:color="auto" w:sz="4" w:space="0"/>
            </w:tcBorders>
            <w:noWrap/>
            <w:vAlign w:val="center"/>
          </w:tcPr>
          <w:p w14:paraId="5496E986">
            <w:pPr>
              <w:jc w:val="center"/>
              <w:rPr>
                <w:rFonts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浙江龙泉经济开发区</w:t>
            </w:r>
          </w:p>
        </w:tc>
        <w:tc>
          <w:tcPr>
            <w:tcW w:w="1397" w:type="pct"/>
            <w:vMerge w:val="restart"/>
            <w:tcBorders>
              <w:top w:val="nil"/>
              <w:left w:val="nil"/>
              <w:right w:val="single" w:color="auto" w:sz="4" w:space="0"/>
            </w:tcBorders>
            <w:noWrap/>
            <w:vAlign w:val="center"/>
          </w:tcPr>
          <w:p w14:paraId="605FCBCB">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竹木加工企业34家，其中，规上企业12家，规下企业12家，新建项目5家，在建项目1家，个体4家。</w:t>
            </w:r>
          </w:p>
        </w:tc>
        <w:tc>
          <w:tcPr>
            <w:tcW w:w="1609" w:type="pct"/>
            <w:tcBorders>
              <w:top w:val="nil"/>
              <w:left w:val="nil"/>
              <w:bottom w:val="single" w:color="auto" w:sz="4" w:space="0"/>
              <w:right w:val="single" w:color="auto" w:sz="4" w:space="0"/>
            </w:tcBorders>
            <w:noWrap/>
            <w:vAlign w:val="center"/>
          </w:tcPr>
          <w:p w14:paraId="71263484">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浙江能福旅游用品有限公司</w:t>
            </w:r>
          </w:p>
        </w:tc>
        <w:tc>
          <w:tcPr>
            <w:tcW w:w="1356" w:type="pct"/>
            <w:vMerge w:val="restart"/>
            <w:tcBorders>
              <w:top w:val="nil"/>
              <w:left w:val="nil"/>
              <w:right w:val="single" w:color="auto" w:sz="4" w:space="0"/>
            </w:tcBorders>
            <w:noWrap/>
            <w:vAlign w:val="center"/>
          </w:tcPr>
          <w:p w14:paraId="2B4B5381">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太阳伞、竹木胶合模板、各种竹制工艺品、中高档竹砧板、竹家具、竹板胚、户外休闲及室内家具系列、木制工艺筷及配套产品、竹、木、纸、布各类高、中、低档瓷器包装盒、竹胶板</w:t>
            </w:r>
          </w:p>
        </w:tc>
      </w:tr>
      <w:tr w14:paraId="5D394AEC">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right w:val="single" w:color="auto" w:sz="4" w:space="0"/>
            </w:tcBorders>
            <w:noWrap/>
            <w:vAlign w:val="center"/>
          </w:tcPr>
          <w:p w14:paraId="0B1374A5">
            <w:pPr>
              <w:jc w:val="center"/>
              <w:rPr>
                <w:rFonts w:ascii="仿宋_GB2312" w:hAnsi="仿宋_GB2312" w:eastAsia="仿宋_GB2312" w:cs="仿宋_GB2312"/>
                <w:b/>
                <w:bCs/>
                <w:color w:val="auto"/>
                <w:kern w:val="0"/>
                <w:szCs w:val="21"/>
              </w:rPr>
            </w:pPr>
          </w:p>
        </w:tc>
        <w:tc>
          <w:tcPr>
            <w:tcW w:w="1397" w:type="pct"/>
            <w:vMerge w:val="continue"/>
            <w:tcBorders>
              <w:left w:val="nil"/>
              <w:right w:val="single" w:color="auto" w:sz="4" w:space="0"/>
            </w:tcBorders>
            <w:noWrap/>
            <w:vAlign w:val="center"/>
          </w:tcPr>
          <w:p w14:paraId="24DBC65B">
            <w:pPr>
              <w:jc w:val="center"/>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6CCC87DD">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浙江凯森板业有限责任公司</w:t>
            </w:r>
          </w:p>
        </w:tc>
        <w:tc>
          <w:tcPr>
            <w:tcW w:w="1356" w:type="pct"/>
            <w:vMerge w:val="continue"/>
            <w:tcBorders>
              <w:left w:val="nil"/>
              <w:right w:val="single" w:color="auto" w:sz="4" w:space="0"/>
            </w:tcBorders>
            <w:noWrap/>
            <w:vAlign w:val="center"/>
          </w:tcPr>
          <w:p w14:paraId="333806A7">
            <w:pPr>
              <w:spacing w:line="560" w:lineRule="exact"/>
              <w:jc w:val="left"/>
              <w:rPr>
                <w:rFonts w:ascii="仿宋_GB2312" w:hAnsi="仿宋_GB2312" w:eastAsia="仿宋_GB2312" w:cs="仿宋_GB2312"/>
                <w:color w:val="auto"/>
                <w:kern w:val="0"/>
                <w:szCs w:val="21"/>
              </w:rPr>
            </w:pPr>
          </w:p>
        </w:tc>
      </w:tr>
      <w:tr w14:paraId="524771CC">
        <w:tblPrEx>
          <w:tblCellMar>
            <w:top w:w="0" w:type="dxa"/>
            <w:left w:w="108" w:type="dxa"/>
            <w:bottom w:w="0" w:type="dxa"/>
            <w:right w:w="108" w:type="dxa"/>
          </w:tblCellMar>
        </w:tblPrEx>
        <w:trPr>
          <w:trHeight w:val="827" w:hRule="atLeast"/>
          <w:jc w:val="center"/>
        </w:trPr>
        <w:tc>
          <w:tcPr>
            <w:tcW w:w="636" w:type="pct"/>
            <w:vMerge w:val="continue"/>
            <w:tcBorders>
              <w:left w:val="single" w:color="auto" w:sz="4" w:space="0"/>
              <w:right w:val="single" w:color="auto" w:sz="4" w:space="0"/>
            </w:tcBorders>
            <w:vAlign w:val="center"/>
          </w:tcPr>
          <w:p w14:paraId="4D03BE8F">
            <w:pPr>
              <w:jc w:val="left"/>
              <w:rPr>
                <w:rFonts w:ascii="仿宋_GB2312" w:hAnsi="仿宋_GB2312" w:eastAsia="仿宋_GB2312" w:cs="仿宋_GB2312"/>
                <w:b/>
                <w:bCs/>
                <w:color w:val="auto"/>
                <w:kern w:val="0"/>
                <w:szCs w:val="21"/>
              </w:rPr>
            </w:pPr>
          </w:p>
        </w:tc>
        <w:tc>
          <w:tcPr>
            <w:tcW w:w="1397" w:type="pct"/>
            <w:vMerge w:val="continue"/>
            <w:tcBorders>
              <w:left w:val="nil"/>
              <w:right w:val="single" w:color="auto" w:sz="4" w:space="0"/>
            </w:tcBorders>
            <w:vAlign w:val="center"/>
          </w:tcPr>
          <w:p w14:paraId="18A4E7C0">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017F14E7">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龙泉市嘉文木业有限公司</w:t>
            </w:r>
          </w:p>
        </w:tc>
        <w:tc>
          <w:tcPr>
            <w:tcW w:w="1356" w:type="pct"/>
            <w:vMerge w:val="continue"/>
            <w:tcBorders>
              <w:left w:val="nil"/>
              <w:right w:val="single" w:color="auto" w:sz="4" w:space="0"/>
            </w:tcBorders>
            <w:noWrap/>
            <w:vAlign w:val="center"/>
          </w:tcPr>
          <w:p w14:paraId="1150BA34">
            <w:pPr>
              <w:spacing w:line="560" w:lineRule="exact"/>
              <w:jc w:val="left"/>
              <w:rPr>
                <w:rFonts w:ascii="仿宋_GB2312" w:hAnsi="仿宋_GB2312" w:eastAsia="仿宋_GB2312" w:cs="仿宋_GB2312"/>
                <w:color w:val="auto"/>
                <w:kern w:val="0"/>
                <w:szCs w:val="21"/>
              </w:rPr>
            </w:pPr>
          </w:p>
        </w:tc>
      </w:tr>
      <w:tr w14:paraId="20288372">
        <w:tblPrEx>
          <w:tblCellMar>
            <w:top w:w="0" w:type="dxa"/>
            <w:left w:w="108" w:type="dxa"/>
            <w:bottom w:w="0" w:type="dxa"/>
            <w:right w:w="108" w:type="dxa"/>
          </w:tblCellMar>
        </w:tblPrEx>
        <w:trPr>
          <w:trHeight w:val="1876" w:hRule="atLeast"/>
          <w:jc w:val="center"/>
        </w:trPr>
        <w:tc>
          <w:tcPr>
            <w:tcW w:w="636" w:type="pct"/>
            <w:vMerge w:val="continue"/>
            <w:tcBorders>
              <w:left w:val="single" w:color="auto" w:sz="4" w:space="0"/>
              <w:bottom w:val="single" w:color="000000" w:sz="4" w:space="0"/>
              <w:right w:val="single" w:color="auto" w:sz="4" w:space="0"/>
            </w:tcBorders>
            <w:vAlign w:val="center"/>
          </w:tcPr>
          <w:p w14:paraId="22E654DE">
            <w:pPr>
              <w:jc w:val="left"/>
              <w:rPr>
                <w:rFonts w:ascii="仿宋_GB2312" w:hAnsi="仿宋_GB2312" w:eastAsia="仿宋_GB2312" w:cs="仿宋_GB2312"/>
                <w:b/>
                <w:bCs/>
                <w:color w:val="auto"/>
                <w:kern w:val="0"/>
                <w:szCs w:val="21"/>
              </w:rPr>
            </w:pPr>
          </w:p>
        </w:tc>
        <w:tc>
          <w:tcPr>
            <w:tcW w:w="1397" w:type="pct"/>
            <w:vMerge w:val="continue"/>
            <w:tcBorders>
              <w:left w:val="nil"/>
              <w:bottom w:val="single" w:color="000000" w:sz="4" w:space="0"/>
              <w:right w:val="single" w:color="auto" w:sz="4" w:space="0"/>
            </w:tcBorders>
            <w:vAlign w:val="center"/>
          </w:tcPr>
          <w:p w14:paraId="100F504B">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2D93A12F">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龙泉市日用竹木制品厂</w:t>
            </w:r>
          </w:p>
        </w:tc>
        <w:tc>
          <w:tcPr>
            <w:tcW w:w="1356" w:type="pct"/>
            <w:vMerge w:val="continue"/>
            <w:tcBorders>
              <w:left w:val="nil"/>
              <w:bottom w:val="single" w:color="auto" w:sz="4" w:space="0"/>
              <w:right w:val="single" w:color="auto" w:sz="4" w:space="0"/>
            </w:tcBorders>
            <w:noWrap/>
            <w:vAlign w:val="center"/>
          </w:tcPr>
          <w:p w14:paraId="2C61B34E">
            <w:pPr>
              <w:spacing w:line="560" w:lineRule="exact"/>
              <w:jc w:val="left"/>
              <w:rPr>
                <w:rFonts w:ascii="仿宋_GB2312" w:hAnsi="仿宋_GB2312" w:eastAsia="仿宋_GB2312" w:cs="仿宋_GB2312"/>
                <w:color w:val="auto"/>
                <w:kern w:val="0"/>
                <w:szCs w:val="21"/>
              </w:rPr>
            </w:pPr>
          </w:p>
        </w:tc>
      </w:tr>
      <w:tr w14:paraId="0EEC99EE">
        <w:tblPrEx>
          <w:tblCellMar>
            <w:top w:w="0" w:type="dxa"/>
            <w:left w:w="108" w:type="dxa"/>
            <w:bottom w:w="0" w:type="dxa"/>
            <w:right w:w="108" w:type="dxa"/>
          </w:tblCellMar>
        </w:tblPrEx>
        <w:trPr>
          <w:trHeight w:val="435" w:hRule="atLeast"/>
          <w:jc w:val="center"/>
        </w:trPr>
        <w:tc>
          <w:tcPr>
            <w:tcW w:w="636" w:type="pct"/>
            <w:vMerge w:val="restart"/>
            <w:tcBorders>
              <w:top w:val="nil"/>
              <w:left w:val="single" w:color="auto" w:sz="4" w:space="0"/>
              <w:right w:val="single" w:color="auto" w:sz="4" w:space="0"/>
            </w:tcBorders>
            <w:vAlign w:val="center"/>
          </w:tcPr>
          <w:p w14:paraId="786F2EA4">
            <w:pPr>
              <w:jc w:val="left"/>
              <w:rPr>
                <w:rFonts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八都镇</w:t>
            </w:r>
          </w:p>
        </w:tc>
        <w:tc>
          <w:tcPr>
            <w:tcW w:w="1397" w:type="pct"/>
            <w:vMerge w:val="restart"/>
            <w:tcBorders>
              <w:top w:val="nil"/>
              <w:left w:val="single" w:color="auto" w:sz="4" w:space="0"/>
              <w:right w:val="single" w:color="auto" w:sz="4" w:space="0"/>
            </w:tcBorders>
            <w:vAlign w:val="center"/>
          </w:tcPr>
          <w:p w14:paraId="512E03E2">
            <w:pPr>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竹木加工企业40余家，2015年产值7亿元左右，增长21.2%，占全镇工业产值50%以上。</w:t>
            </w:r>
          </w:p>
        </w:tc>
        <w:tc>
          <w:tcPr>
            <w:tcW w:w="1609" w:type="pct"/>
            <w:tcBorders>
              <w:top w:val="nil"/>
              <w:left w:val="nil"/>
              <w:bottom w:val="single" w:color="auto" w:sz="4" w:space="0"/>
              <w:right w:val="single" w:color="auto" w:sz="4" w:space="0"/>
            </w:tcBorders>
            <w:noWrap/>
            <w:vAlign w:val="center"/>
          </w:tcPr>
          <w:p w14:paraId="13E3934B">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浙江千束家居用品有限公司</w:t>
            </w:r>
          </w:p>
        </w:tc>
        <w:tc>
          <w:tcPr>
            <w:tcW w:w="1356" w:type="pct"/>
            <w:vMerge w:val="restart"/>
            <w:tcBorders>
              <w:top w:val="nil"/>
              <w:left w:val="nil"/>
              <w:right w:val="single" w:color="auto" w:sz="4" w:space="0"/>
            </w:tcBorders>
            <w:noWrap/>
            <w:vAlign w:val="center"/>
          </w:tcPr>
          <w:p w14:paraId="1773BEFB">
            <w:pPr>
              <w:spacing w:line="560" w:lineRule="exact"/>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竹木胶板、竹木家具、竹木家居用品和竹木竹木半条等，以竹制品加工为主。</w:t>
            </w:r>
          </w:p>
        </w:tc>
      </w:tr>
      <w:tr w14:paraId="013DE04E">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right w:val="single" w:color="auto" w:sz="4" w:space="0"/>
            </w:tcBorders>
            <w:vAlign w:val="center"/>
          </w:tcPr>
          <w:p w14:paraId="2C4649AA">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right w:val="single" w:color="auto" w:sz="4" w:space="0"/>
            </w:tcBorders>
            <w:vAlign w:val="center"/>
          </w:tcPr>
          <w:p w14:paraId="35363000">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52046EB2">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龙泉市圣丰竹木发展有限公司</w:t>
            </w:r>
          </w:p>
        </w:tc>
        <w:tc>
          <w:tcPr>
            <w:tcW w:w="1356" w:type="pct"/>
            <w:vMerge w:val="continue"/>
            <w:tcBorders>
              <w:left w:val="nil"/>
              <w:right w:val="single" w:color="auto" w:sz="4" w:space="0"/>
            </w:tcBorders>
            <w:noWrap/>
            <w:vAlign w:val="center"/>
          </w:tcPr>
          <w:p w14:paraId="13E4EA8B">
            <w:pPr>
              <w:spacing w:line="560" w:lineRule="exact"/>
              <w:jc w:val="left"/>
              <w:rPr>
                <w:rFonts w:ascii="仿宋_GB2312" w:hAnsi="仿宋_GB2312" w:eastAsia="仿宋_GB2312" w:cs="仿宋_GB2312"/>
                <w:color w:val="auto"/>
                <w:kern w:val="0"/>
                <w:szCs w:val="21"/>
              </w:rPr>
            </w:pPr>
          </w:p>
        </w:tc>
      </w:tr>
      <w:tr w14:paraId="03931666">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bottom w:val="single" w:color="000000" w:sz="4" w:space="0"/>
              <w:right w:val="single" w:color="auto" w:sz="4" w:space="0"/>
            </w:tcBorders>
            <w:vAlign w:val="center"/>
          </w:tcPr>
          <w:p w14:paraId="7D856A16">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bottom w:val="single" w:color="000000" w:sz="4" w:space="0"/>
              <w:right w:val="single" w:color="auto" w:sz="4" w:space="0"/>
            </w:tcBorders>
            <w:vAlign w:val="center"/>
          </w:tcPr>
          <w:p w14:paraId="14151E49">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120A5200">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浙江茂杉竹业有限公司</w:t>
            </w:r>
          </w:p>
        </w:tc>
        <w:tc>
          <w:tcPr>
            <w:tcW w:w="1356" w:type="pct"/>
            <w:vMerge w:val="continue"/>
            <w:tcBorders>
              <w:left w:val="nil"/>
              <w:bottom w:val="single" w:color="auto" w:sz="4" w:space="0"/>
              <w:right w:val="single" w:color="auto" w:sz="4" w:space="0"/>
            </w:tcBorders>
            <w:noWrap/>
            <w:vAlign w:val="center"/>
          </w:tcPr>
          <w:p w14:paraId="2D510AD6">
            <w:pPr>
              <w:spacing w:line="560" w:lineRule="exact"/>
              <w:jc w:val="left"/>
              <w:rPr>
                <w:rFonts w:ascii="仿宋_GB2312" w:hAnsi="仿宋_GB2312" w:eastAsia="仿宋_GB2312" w:cs="仿宋_GB2312"/>
                <w:color w:val="auto"/>
                <w:kern w:val="0"/>
                <w:szCs w:val="21"/>
              </w:rPr>
            </w:pPr>
          </w:p>
        </w:tc>
      </w:tr>
      <w:tr w14:paraId="0AF9DF62">
        <w:tblPrEx>
          <w:tblCellMar>
            <w:top w:w="0" w:type="dxa"/>
            <w:left w:w="108" w:type="dxa"/>
            <w:bottom w:w="0" w:type="dxa"/>
            <w:right w:w="108" w:type="dxa"/>
          </w:tblCellMar>
        </w:tblPrEx>
        <w:trPr>
          <w:trHeight w:val="435" w:hRule="atLeast"/>
          <w:jc w:val="center"/>
        </w:trPr>
        <w:tc>
          <w:tcPr>
            <w:tcW w:w="636" w:type="pct"/>
            <w:vMerge w:val="restart"/>
            <w:tcBorders>
              <w:top w:val="nil"/>
              <w:left w:val="single" w:color="auto" w:sz="4" w:space="0"/>
              <w:right w:val="single" w:color="auto" w:sz="4" w:space="0"/>
            </w:tcBorders>
            <w:vAlign w:val="center"/>
          </w:tcPr>
          <w:p w14:paraId="0FAEC9FE">
            <w:pPr>
              <w:jc w:val="left"/>
              <w:rPr>
                <w:rFonts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安仁镇</w:t>
            </w:r>
          </w:p>
        </w:tc>
        <w:tc>
          <w:tcPr>
            <w:tcW w:w="1397" w:type="pct"/>
            <w:vMerge w:val="restart"/>
            <w:tcBorders>
              <w:top w:val="nil"/>
              <w:left w:val="single" w:color="auto" w:sz="4" w:space="0"/>
              <w:right w:val="single" w:color="auto" w:sz="4" w:space="0"/>
            </w:tcBorders>
            <w:vAlign w:val="center"/>
          </w:tcPr>
          <w:p w14:paraId="43810232">
            <w:pPr>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竹木制品企业 227家，以木制品加工为主;规上竹木制造企业4家。安仁镇溪西工业园区总占地620余亩，内有竹木制品企业7家。</w:t>
            </w:r>
          </w:p>
        </w:tc>
        <w:tc>
          <w:tcPr>
            <w:tcW w:w="1609" w:type="pct"/>
            <w:tcBorders>
              <w:top w:val="nil"/>
              <w:left w:val="nil"/>
              <w:bottom w:val="single" w:color="auto" w:sz="4" w:space="0"/>
              <w:right w:val="single" w:color="auto" w:sz="4" w:space="0"/>
            </w:tcBorders>
            <w:noWrap/>
            <w:vAlign w:val="center"/>
          </w:tcPr>
          <w:p w14:paraId="52608AF0">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浙江恒祥玩具有限公司</w:t>
            </w:r>
          </w:p>
        </w:tc>
        <w:tc>
          <w:tcPr>
            <w:tcW w:w="1356" w:type="pct"/>
            <w:vMerge w:val="restart"/>
            <w:tcBorders>
              <w:top w:val="nil"/>
              <w:left w:val="nil"/>
              <w:right w:val="single" w:color="auto" w:sz="4" w:space="0"/>
            </w:tcBorders>
            <w:noWrap/>
            <w:vAlign w:val="center"/>
          </w:tcPr>
          <w:p w14:paraId="3FB69502">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木制玩具</w:t>
            </w:r>
          </w:p>
        </w:tc>
      </w:tr>
      <w:tr w14:paraId="38724865">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right w:val="single" w:color="auto" w:sz="4" w:space="0"/>
            </w:tcBorders>
            <w:vAlign w:val="center"/>
          </w:tcPr>
          <w:p w14:paraId="05B96542">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right w:val="single" w:color="auto" w:sz="4" w:space="0"/>
            </w:tcBorders>
            <w:vAlign w:val="center"/>
          </w:tcPr>
          <w:p w14:paraId="05CB5151">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5D58D577">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浙江博泰玩具有限公司</w:t>
            </w:r>
          </w:p>
        </w:tc>
        <w:tc>
          <w:tcPr>
            <w:tcW w:w="1356" w:type="pct"/>
            <w:vMerge w:val="continue"/>
            <w:tcBorders>
              <w:left w:val="nil"/>
              <w:right w:val="single" w:color="auto" w:sz="4" w:space="0"/>
            </w:tcBorders>
            <w:noWrap/>
            <w:vAlign w:val="center"/>
          </w:tcPr>
          <w:p w14:paraId="3916EE2B">
            <w:pPr>
              <w:spacing w:line="560" w:lineRule="exact"/>
              <w:jc w:val="left"/>
              <w:rPr>
                <w:rFonts w:ascii="仿宋_GB2312" w:hAnsi="仿宋_GB2312" w:eastAsia="仿宋_GB2312" w:cs="仿宋_GB2312"/>
                <w:color w:val="auto"/>
                <w:kern w:val="0"/>
                <w:szCs w:val="21"/>
              </w:rPr>
            </w:pPr>
          </w:p>
        </w:tc>
      </w:tr>
      <w:tr w14:paraId="41377D7A">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bottom w:val="single" w:color="000000" w:sz="4" w:space="0"/>
              <w:right w:val="single" w:color="auto" w:sz="4" w:space="0"/>
            </w:tcBorders>
            <w:vAlign w:val="center"/>
          </w:tcPr>
          <w:p w14:paraId="609AB332">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bottom w:val="single" w:color="000000" w:sz="4" w:space="0"/>
              <w:right w:val="single" w:color="auto" w:sz="4" w:space="0"/>
            </w:tcBorders>
            <w:vAlign w:val="center"/>
          </w:tcPr>
          <w:p w14:paraId="43B8A5C6">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738DAA5C">
            <w:pPr>
              <w:spacing w:line="560" w:lineRule="exact"/>
              <w:jc w:val="left"/>
              <w:rPr>
                <w:rFonts w:ascii="仿宋_GB2312" w:hAnsi="仿宋_GB2312" w:eastAsia="仿宋_GB2312" w:cs="仿宋_GB2312"/>
                <w:color w:val="auto"/>
                <w:kern w:val="0"/>
                <w:szCs w:val="21"/>
              </w:rPr>
            </w:pPr>
          </w:p>
        </w:tc>
        <w:tc>
          <w:tcPr>
            <w:tcW w:w="1356" w:type="pct"/>
            <w:vMerge w:val="continue"/>
            <w:tcBorders>
              <w:left w:val="nil"/>
              <w:bottom w:val="single" w:color="auto" w:sz="4" w:space="0"/>
              <w:right w:val="single" w:color="auto" w:sz="4" w:space="0"/>
            </w:tcBorders>
            <w:noWrap/>
            <w:vAlign w:val="center"/>
          </w:tcPr>
          <w:p w14:paraId="4881E379">
            <w:pPr>
              <w:spacing w:line="560" w:lineRule="exact"/>
              <w:jc w:val="left"/>
              <w:rPr>
                <w:rFonts w:ascii="仿宋_GB2312" w:hAnsi="仿宋_GB2312" w:eastAsia="仿宋_GB2312" w:cs="仿宋_GB2312"/>
                <w:color w:val="auto"/>
                <w:kern w:val="0"/>
                <w:szCs w:val="21"/>
              </w:rPr>
            </w:pPr>
          </w:p>
        </w:tc>
      </w:tr>
      <w:tr w14:paraId="63CEAFC0">
        <w:tblPrEx>
          <w:tblCellMar>
            <w:top w:w="0" w:type="dxa"/>
            <w:left w:w="108" w:type="dxa"/>
            <w:bottom w:w="0" w:type="dxa"/>
            <w:right w:w="108" w:type="dxa"/>
          </w:tblCellMar>
        </w:tblPrEx>
        <w:trPr>
          <w:trHeight w:val="1974" w:hRule="atLeast"/>
          <w:jc w:val="center"/>
        </w:trPr>
        <w:tc>
          <w:tcPr>
            <w:tcW w:w="636" w:type="pct"/>
            <w:vMerge w:val="restart"/>
            <w:tcBorders>
              <w:top w:val="nil"/>
              <w:left w:val="single" w:color="auto" w:sz="4" w:space="0"/>
              <w:right w:val="single" w:color="auto" w:sz="4" w:space="0"/>
            </w:tcBorders>
            <w:vAlign w:val="center"/>
          </w:tcPr>
          <w:p w14:paraId="415F2C5A">
            <w:pPr>
              <w:jc w:val="left"/>
              <w:rPr>
                <w:rFonts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查田镇</w:t>
            </w:r>
          </w:p>
        </w:tc>
        <w:tc>
          <w:tcPr>
            <w:tcW w:w="1397" w:type="pct"/>
            <w:vMerge w:val="restart"/>
            <w:tcBorders>
              <w:top w:val="nil"/>
              <w:left w:val="single" w:color="auto" w:sz="4" w:space="0"/>
              <w:right w:val="single" w:color="auto" w:sz="4" w:space="0"/>
            </w:tcBorders>
            <w:vAlign w:val="center"/>
          </w:tcPr>
          <w:p w14:paraId="78648AAB">
            <w:pPr>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企业36 家，其中规模以上企业5家,年产值3亿元左右，主要龙头企业是兴华休闲用品有限公司和南天木业有限公司、森亚板业等企业。</w:t>
            </w:r>
          </w:p>
        </w:tc>
        <w:tc>
          <w:tcPr>
            <w:tcW w:w="1609" w:type="pct"/>
            <w:tcBorders>
              <w:top w:val="nil"/>
              <w:left w:val="nil"/>
              <w:bottom w:val="single" w:color="auto" w:sz="4" w:space="0"/>
              <w:right w:val="single" w:color="auto" w:sz="4" w:space="0"/>
            </w:tcBorders>
            <w:noWrap/>
            <w:vAlign w:val="center"/>
          </w:tcPr>
          <w:p w14:paraId="316F7276">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浙江南天木业有限公司</w:t>
            </w:r>
          </w:p>
        </w:tc>
        <w:tc>
          <w:tcPr>
            <w:tcW w:w="1356" w:type="pct"/>
            <w:vMerge w:val="restart"/>
            <w:tcBorders>
              <w:top w:val="nil"/>
              <w:left w:val="nil"/>
              <w:right w:val="single" w:color="auto" w:sz="4" w:space="0"/>
            </w:tcBorders>
            <w:noWrap/>
            <w:vAlign w:val="center"/>
          </w:tcPr>
          <w:p w14:paraId="4AD378D7">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休闲家具如啤酒桌细木工板、胶合板等</w:t>
            </w:r>
          </w:p>
        </w:tc>
      </w:tr>
      <w:tr w14:paraId="074DCA65">
        <w:tblPrEx>
          <w:tblCellMar>
            <w:top w:w="0" w:type="dxa"/>
            <w:left w:w="108" w:type="dxa"/>
            <w:bottom w:w="0" w:type="dxa"/>
            <w:right w:w="108" w:type="dxa"/>
          </w:tblCellMar>
        </w:tblPrEx>
        <w:trPr>
          <w:trHeight w:val="435" w:hRule="atLeast"/>
          <w:jc w:val="center"/>
        </w:trPr>
        <w:tc>
          <w:tcPr>
            <w:tcW w:w="636" w:type="pct"/>
            <w:vMerge w:val="continue"/>
            <w:tcBorders>
              <w:left w:val="single" w:color="auto" w:sz="4" w:space="0"/>
              <w:bottom w:val="single" w:color="000000" w:sz="4" w:space="0"/>
              <w:right w:val="single" w:color="auto" w:sz="4" w:space="0"/>
            </w:tcBorders>
            <w:vAlign w:val="center"/>
          </w:tcPr>
          <w:p w14:paraId="361D00A7">
            <w:pPr>
              <w:jc w:val="left"/>
              <w:rPr>
                <w:rFonts w:ascii="仿宋_GB2312" w:hAnsi="仿宋_GB2312" w:eastAsia="仿宋_GB2312" w:cs="仿宋_GB2312"/>
                <w:b/>
                <w:bCs/>
                <w:color w:val="auto"/>
                <w:kern w:val="0"/>
                <w:szCs w:val="21"/>
              </w:rPr>
            </w:pPr>
          </w:p>
        </w:tc>
        <w:tc>
          <w:tcPr>
            <w:tcW w:w="1397" w:type="pct"/>
            <w:vMerge w:val="continue"/>
            <w:tcBorders>
              <w:left w:val="single" w:color="auto" w:sz="4" w:space="0"/>
              <w:bottom w:val="single" w:color="000000" w:sz="4" w:space="0"/>
              <w:right w:val="single" w:color="auto" w:sz="4" w:space="0"/>
            </w:tcBorders>
            <w:vAlign w:val="center"/>
          </w:tcPr>
          <w:p w14:paraId="0BC2028F">
            <w:pPr>
              <w:jc w:val="left"/>
              <w:rPr>
                <w:rFonts w:ascii="仿宋_GB2312" w:hAnsi="仿宋_GB2312" w:eastAsia="仿宋_GB2312" w:cs="仿宋_GB2312"/>
                <w:color w:val="auto"/>
                <w:kern w:val="0"/>
                <w:szCs w:val="21"/>
              </w:rPr>
            </w:pPr>
          </w:p>
        </w:tc>
        <w:tc>
          <w:tcPr>
            <w:tcW w:w="1609" w:type="pct"/>
            <w:tcBorders>
              <w:top w:val="nil"/>
              <w:left w:val="nil"/>
              <w:bottom w:val="single" w:color="auto" w:sz="4" w:space="0"/>
              <w:right w:val="single" w:color="auto" w:sz="4" w:space="0"/>
            </w:tcBorders>
            <w:noWrap/>
            <w:vAlign w:val="center"/>
          </w:tcPr>
          <w:p w14:paraId="12858619">
            <w:pPr>
              <w:spacing w:line="56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浙江兴华休闲用品有限公司</w:t>
            </w:r>
          </w:p>
        </w:tc>
        <w:tc>
          <w:tcPr>
            <w:tcW w:w="1356" w:type="pct"/>
            <w:vMerge w:val="continue"/>
            <w:tcBorders>
              <w:left w:val="nil"/>
              <w:bottom w:val="single" w:color="auto" w:sz="4" w:space="0"/>
              <w:right w:val="single" w:color="auto" w:sz="4" w:space="0"/>
            </w:tcBorders>
            <w:noWrap/>
            <w:vAlign w:val="center"/>
          </w:tcPr>
          <w:p w14:paraId="55C57232">
            <w:pPr>
              <w:spacing w:line="560" w:lineRule="exact"/>
              <w:jc w:val="left"/>
              <w:rPr>
                <w:rFonts w:ascii="仿宋_GB2312" w:hAnsi="仿宋_GB2312" w:eastAsia="仿宋_GB2312" w:cs="仿宋_GB2312"/>
                <w:color w:val="auto"/>
                <w:kern w:val="0"/>
                <w:szCs w:val="21"/>
              </w:rPr>
            </w:pPr>
          </w:p>
        </w:tc>
      </w:tr>
    </w:tbl>
    <w:p w14:paraId="7BD49742">
      <w:pPr>
        <w:pStyle w:val="32"/>
        <w:widowControl/>
        <w:autoSpaceDE/>
        <w:autoSpaceDN/>
        <w:adjustRightInd/>
        <w:spacing w:line="560" w:lineRule="exact"/>
        <w:ind w:firstLine="560" w:firstLineChars="200"/>
        <w:textAlignment w:val="auto"/>
        <w:rPr>
          <w:rFonts w:hint="default" w:asciiTheme="minorEastAsia" w:hAnsiTheme="minorEastAsia" w:eastAsiaTheme="minorEastAsia" w:cstheme="minorEastAsia"/>
          <w:color w:val="auto"/>
          <w:sz w:val="28"/>
          <w:szCs w:val="28"/>
          <w:lang w:val="en-US"/>
        </w:rPr>
      </w:pPr>
      <w:r>
        <w:rPr>
          <w:rFonts w:asciiTheme="minorEastAsia" w:hAnsiTheme="minorEastAsia" w:eastAsiaTheme="minorEastAsia" w:cstheme="minorEastAsia"/>
          <w:color w:val="auto"/>
          <w:sz w:val="28"/>
          <w:szCs w:val="28"/>
          <w:lang w:val="en-US"/>
        </w:rPr>
        <w:t>在网络销售市场，竹木电商迅速发展，带动了我市成为以小家具为特色的竹木制品生产销售中心。目前，龙泉注册竹木电商网店已达700多家，相关产品在淘宝、天猫、拼多多、抖音等电商平台上分布于多个类目，包括小件家具、家装日用、卧室家具、收纳礼盒等，其中电商平台上小件家具消费者多达260万人。2022年，我市竹木电商销售额在上一年翻一番的基础上实现了30%的增速，达26亿元，牢牢占据我市网络零售额的半壁江山，其中竹小家具网销产量占全国同类目产品的60%以上，生产和销售竹小家具亿元以上企业达到 4家。</w:t>
      </w:r>
    </w:p>
    <w:p w14:paraId="22C0D696">
      <w:pPr>
        <w:pStyle w:val="20"/>
        <w:ind w:left="0" w:leftChars="0" w:firstLine="560" w:firstLineChars="200"/>
        <w:rPr>
          <w:color w:val="auto"/>
          <w:kern w:val="2"/>
          <w:sz w:val="28"/>
          <w:szCs w:val="20"/>
        </w:rPr>
      </w:pPr>
      <w:r>
        <w:rPr>
          <w:rFonts w:hint="eastAsia"/>
          <w:color w:val="auto"/>
          <w:kern w:val="2"/>
          <w:sz w:val="28"/>
          <w:szCs w:val="20"/>
        </w:rPr>
        <w:t>（4）第三产业现状</w:t>
      </w:r>
    </w:p>
    <w:p w14:paraId="6603CF3B">
      <w:pPr>
        <w:pStyle w:val="20"/>
        <w:ind w:left="0" w:leftChars="0" w:firstLine="560" w:firstLineChars="2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龙泉市生态旅游资源丰富，竹文化生态旅游发展前景极佳。森林旅游资源主要有龙泉山、披云山、昴山等历史遗留的森林资源及农（林）家乐、森林人家、森林村庄等新型生态休闲观光旅游载体。根据“森林人家（森林氧吧）为点，森林古道（或通道）为线，森林康养小镇（森林康养基地）为面”的休闲养生型品牌旅游格</w:t>
      </w:r>
      <w:r>
        <w:rPr>
          <w:rFonts w:hint="eastAsia"/>
          <w:color w:val="auto"/>
          <w:kern w:val="2"/>
          <w:sz w:val="28"/>
          <w:szCs w:val="20"/>
        </w:rPr>
        <w:t>局，成功创建了宝溪乡、兰巨乡、住龙镇省级森林康养名镇3个，建成炉岙村、柳山头村、溪头村等森林人家特色村12个，泉灵谷、凤羽休闲山庄及龙泉山森林康养基地创成省级森林康养基地，建成仙仁长寿谷、石鼓山、高山村等浙江森林氧吧14个，成功申报西街街道白云岩村、八都镇章府会村、住龙镇住溪村等国家“森林村庄”10个</w:t>
      </w:r>
      <w:r>
        <w:rPr>
          <w:rFonts w:hint="eastAsia" w:asciiTheme="minorEastAsia" w:hAnsiTheme="minorEastAsia" w:eastAsiaTheme="minorEastAsia" w:cstheme="minorEastAsia"/>
          <w:color w:val="auto"/>
          <w:sz w:val="28"/>
          <w:szCs w:val="28"/>
        </w:rPr>
        <w:t>。</w:t>
      </w:r>
    </w:p>
    <w:p w14:paraId="53B2D888">
      <w:pPr>
        <w:pStyle w:val="20"/>
        <w:ind w:left="0" w:leftChars="0" w:firstLine="560" w:firstLineChars="200"/>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同时，我市不断做大、做强、做优疗休养特色产业，助力高质量发展实现共同富裕，宝溪乡、住龙镇、竹垟乡和兰巨乡官浦垟村4处入选浙江省职工疗休养基地，成为全省职工开展疗休养活动的好去处。2022年全市森林旅游产值达36.5亿元，同比增长14.5%，游客总人数322.4万人次，同比增长9.0%。</w:t>
      </w:r>
    </w:p>
    <w:p w14:paraId="05952E67">
      <w:pPr>
        <w:pStyle w:val="10"/>
        <w:ind w:firstLine="0"/>
        <w:outlineLvl w:val="1"/>
        <w:rPr>
          <w:color w:val="auto"/>
        </w:rPr>
      </w:pPr>
      <w:bookmarkStart w:id="16" w:name="_Toc2237"/>
      <w:bookmarkStart w:id="17" w:name="_Toc161954056"/>
      <w:r>
        <w:rPr>
          <w:rFonts w:hint="eastAsia"/>
          <w:color w:val="auto"/>
        </w:rPr>
        <w:t>2.3 其他地区竹木产业分析</w:t>
      </w:r>
      <w:bookmarkEnd w:id="16"/>
      <w:bookmarkEnd w:id="17"/>
    </w:p>
    <w:p w14:paraId="6B4033FA">
      <w:pPr>
        <w:pStyle w:val="20"/>
        <w:ind w:left="0" w:leftChars="0" w:firstLine="560" w:firstLineChars="200"/>
        <w:rPr>
          <w:color w:val="auto"/>
          <w:kern w:val="2"/>
          <w:sz w:val="28"/>
          <w:szCs w:val="20"/>
        </w:rPr>
      </w:pPr>
      <w:r>
        <w:rPr>
          <w:rFonts w:hint="eastAsia"/>
          <w:color w:val="auto"/>
          <w:kern w:val="2"/>
          <w:sz w:val="28"/>
          <w:szCs w:val="20"/>
        </w:rPr>
        <w:t>（1）</w:t>
      </w:r>
      <w:r>
        <w:rPr>
          <w:color w:val="auto"/>
          <w:kern w:val="2"/>
          <w:sz w:val="28"/>
          <w:szCs w:val="20"/>
        </w:rPr>
        <w:t>浙江安吉</w:t>
      </w:r>
    </w:p>
    <w:p w14:paraId="4D9D4651">
      <w:pPr>
        <w:pStyle w:val="20"/>
        <w:ind w:left="0" w:leftChars="0" w:firstLine="560" w:firstLineChars="200"/>
        <w:rPr>
          <w:color w:val="auto"/>
          <w:kern w:val="2"/>
          <w:sz w:val="28"/>
          <w:szCs w:val="20"/>
        </w:rPr>
      </w:pPr>
      <w:r>
        <w:rPr>
          <w:rFonts w:hint="eastAsia"/>
          <w:color w:val="auto"/>
          <w:kern w:val="2"/>
          <w:sz w:val="28"/>
          <w:szCs w:val="20"/>
        </w:rPr>
        <w:t>安吉</w:t>
      </w:r>
      <w:r>
        <w:rPr>
          <w:color w:val="auto"/>
          <w:kern w:val="2"/>
          <w:sz w:val="28"/>
          <w:szCs w:val="20"/>
        </w:rPr>
        <w:t>是习近平总书记“绿水青山就是金山银山”理念诞生地，中国美丽乡村发源地和绿色发展先行地。安吉依托百万亩竹林景观资源，大力发展竹林旅游，通过旅游带动一产培育及二产发展，成为一、二产业产品的一个重要销售窗口。安吉县是著名的竹子之乡，全县总面积18.8万公顷，林地面积13.2万公顷，其中竹林面积达到6.7万公顷，森林覆盖率69.4%。有“中国竹子看浙江，浙江竹子看安吉”之誉。2022年，安吉竹产业总产值达到166亿元。</w:t>
      </w:r>
    </w:p>
    <w:p w14:paraId="2FFC345B">
      <w:pPr>
        <w:pStyle w:val="20"/>
        <w:ind w:left="0" w:leftChars="0" w:firstLine="560" w:firstLineChars="200"/>
        <w:rPr>
          <w:color w:val="auto"/>
          <w:kern w:val="2"/>
          <w:sz w:val="28"/>
          <w:szCs w:val="20"/>
        </w:rPr>
      </w:pPr>
      <w:r>
        <w:rPr>
          <w:color w:val="auto"/>
          <w:kern w:val="2"/>
          <w:sz w:val="28"/>
          <w:szCs w:val="20"/>
        </w:rPr>
        <w:t>安吉的竹加工产业链齐全，三产融合发展。安吉竹产业经历了资源培育、加工业兴起和产业融合3个发展阶段，不断加深对竹子经济开发、文化内涵和生态特性等多重价值的认识，一根竹子吃到底，打造形成了从根到叶、从物理到生化利用的完整产业链。安吉以全国1.8%的立竹量，创造了全国</w:t>
      </w:r>
      <w:r>
        <w:rPr>
          <w:rFonts w:hint="eastAsia"/>
          <w:color w:val="auto"/>
          <w:kern w:val="2"/>
          <w:sz w:val="28"/>
          <w:szCs w:val="20"/>
        </w:rPr>
        <w:t>5</w:t>
      </w:r>
      <w:r>
        <w:rPr>
          <w:color w:val="auto"/>
          <w:kern w:val="2"/>
          <w:sz w:val="28"/>
          <w:szCs w:val="20"/>
        </w:rPr>
        <w:t>%的竹产值，使竹产业成为推动县域经济发展、推进美丽乡村建设、践行“两山”理念的最重要产业。在安吉，随着农村劳动力的转移，劳动力成本上涨的同时毛竹和传统竹产品价格不涨反跌，林农和企业经济效益下滑。当地严格的环保政策制约了传统竹加工业发展。这是安吉竹产业所面临的问题，也是</w:t>
      </w:r>
      <w:r>
        <w:rPr>
          <w:rFonts w:hint="eastAsia"/>
          <w:color w:val="auto"/>
          <w:kern w:val="2"/>
          <w:sz w:val="28"/>
          <w:szCs w:val="20"/>
        </w:rPr>
        <w:t>龙泉</w:t>
      </w:r>
      <w:r>
        <w:rPr>
          <w:color w:val="auto"/>
          <w:kern w:val="2"/>
          <w:sz w:val="28"/>
          <w:szCs w:val="20"/>
        </w:rPr>
        <w:t>竹产业发展的契机。</w:t>
      </w:r>
    </w:p>
    <w:p w14:paraId="39D005F9">
      <w:pPr>
        <w:pStyle w:val="20"/>
        <w:ind w:left="0" w:leftChars="0" w:firstLine="560" w:firstLineChars="200"/>
        <w:rPr>
          <w:color w:val="auto"/>
          <w:kern w:val="2"/>
          <w:sz w:val="28"/>
          <w:szCs w:val="20"/>
        </w:rPr>
      </w:pPr>
      <w:r>
        <w:rPr>
          <w:rFonts w:hint="eastAsia"/>
          <w:color w:val="auto"/>
          <w:kern w:val="2"/>
          <w:sz w:val="28"/>
          <w:szCs w:val="20"/>
        </w:rPr>
        <w:t>（2）福建建瓯</w:t>
      </w:r>
    </w:p>
    <w:p w14:paraId="296BA2D0">
      <w:pPr>
        <w:pStyle w:val="20"/>
        <w:ind w:left="0" w:leftChars="0" w:firstLine="560" w:firstLineChars="200"/>
        <w:rPr>
          <w:color w:val="auto"/>
          <w:kern w:val="2"/>
          <w:sz w:val="28"/>
          <w:szCs w:val="20"/>
        </w:rPr>
      </w:pPr>
      <w:r>
        <w:rPr>
          <w:color w:val="auto"/>
          <w:kern w:val="2"/>
          <w:sz w:val="28"/>
          <w:szCs w:val="20"/>
        </w:rPr>
        <w:t>建瓯（古属建宁府建安县、瓯宁县）简称芝，是福建省北部农业大市，省级生态市和省级园林城市。建瓯是中国十龙泉乡之一，现有竹林面积873平方公里，主要以毛竹林为主，毛竹林面积达822.7平方公里，占有林地面积24%，毛竹立竹总数2.2亿株，平均2670株/公顷。毛竹林培育类型为笋竹两用，年产鲜笋近300千吨、竹材2800万根，毛竹林面积、立竹量、鲜笋和毛竹材产量均居全国第一。20</w:t>
      </w:r>
      <w:r>
        <w:rPr>
          <w:rFonts w:hint="eastAsia"/>
          <w:color w:val="auto"/>
          <w:kern w:val="2"/>
          <w:sz w:val="28"/>
          <w:szCs w:val="20"/>
        </w:rPr>
        <w:t>18</w:t>
      </w:r>
      <w:r>
        <w:rPr>
          <w:color w:val="auto"/>
          <w:kern w:val="2"/>
          <w:sz w:val="28"/>
          <w:szCs w:val="20"/>
        </w:rPr>
        <w:t>年，建瓯全市竹产业总值131.4亿元，其中竹山产值（一产）19.5亿元，笋竹加工产值（二产）87.8亿元，商贸旅游产值（三产）24.1亿元。建瓯竹业总产值达168.7亿元。全市竹业从业人员7万多人，竹产区竹农人均年销售笋竹收入8950元，占农村居民人均年可支配收入的38.7%。</w:t>
      </w:r>
    </w:p>
    <w:p w14:paraId="22C500B7">
      <w:pPr>
        <w:pStyle w:val="20"/>
        <w:ind w:left="0" w:leftChars="0" w:firstLine="560" w:firstLineChars="200"/>
        <w:rPr>
          <w:color w:val="auto"/>
          <w:kern w:val="2"/>
          <w:sz w:val="28"/>
          <w:szCs w:val="20"/>
        </w:rPr>
      </w:pPr>
      <w:r>
        <w:rPr>
          <w:rFonts w:hint="eastAsia"/>
          <w:color w:val="auto"/>
          <w:kern w:val="2"/>
          <w:sz w:val="28"/>
          <w:szCs w:val="20"/>
        </w:rPr>
        <w:t>近年来，建瓯竹产业发展迅速。</w:t>
      </w:r>
      <w:r>
        <w:rPr>
          <w:color w:val="auto"/>
          <w:kern w:val="2"/>
          <w:sz w:val="28"/>
          <w:szCs w:val="20"/>
        </w:rPr>
        <w:t>产业聚集、跨越发展，科技创新、绿色发展，是建瓯竹产业发展的道路。过去，建瓯竹加工企业以竹筷、竹签等初级加工产品为主，产品附加值低，企业的核心竞争力不高。随后，建瓯围绕打造林产工业千亿产值龙头的定位，鼓励企业转型升级开展技术研发。随着产业基金的扶持和各类政策的出台，许多优质企业落地建瓯。之后，竹胶板、重竹地板、竹刨切单板、竹浆纸、竹炭纤维等产品开始在建瓯不断涌现。</w:t>
      </w:r>
    </w:p>
    <w:p w14:paraId="0F8ABCC2">
      <w:pPr>
        <w:pStyle w:val="20"/>
        <w:ind w:left="0" w:leftChars="0" w:firstLine="560" w:firstLineChars="200"/>
        <w:rPr>
          <w:color w:val="auto"/>
          <w:kern w:val="2"/>
          <w:sz w:val="28"/>
          <w:szCs w:val="20"/>
        </w:rPr>
      </w:pPr>
      <w:r>
        <w:rPr>
          <w:rFonts w:hint="eastAsia"/>
          <w:color w:val="auto"/>
          <w:kern w:val="2"/>
          <w:sz w:val="28"/>
          <w:szCs w:val="20"/>
        </w:rPr>
        <w:t>（3）</w:t>
      </w:r>
      <w:r>
        <w:rPr>
          <w:color w:val="auto"/>
          <w:kern w:val="2"/>
          <w:sz w:val="28"/>
          <w:szCs w:val="20"/>
        </w:rPr>
        <w:t>浙江遂昌</w:t>
      </w:r>
    </w:p>
    <w:p w14:paraId="2B26E782">
      <w:pPr>
        <w:pStyle w:val="20"/>
        <w:ind w:left="0" w:leftChars="0" w:firstLine="560" w:firstLineChars="200"/>
        <w:rPr>
          <w:color w:val="auto"/>
          <w:kern w:val="2"/>
          <w:sz w:val="28"/>
          <w:szCs w:val="20"/>
        </w:rPr>
      </w:pPr>
      <w:r>
        <w:rPr>
          <w:rFonts w:hint="eastAsia"/>
          <w:color w:val="auto"/>
          <w:kern w:val="2"/>
          <w:sz w:val="28"/>
          <w:szCs w:val="20"/>
        </w:rPr>
        <w:t>遂昌县位于浙江省西南部，南接龙泉市。遂昌县地处浙江省西南部国家生态示范区，山川秀美，林海氤氲，云雾缥缈，素有“浙南林海，钱瓯之源，遍地金银，云雾山茶”的美誉，自然景观和人文景观丰富。全县现有竹林面积35万亩，其中毛竹林33万亩，小竹2万亩，竹林总面积位于全省第11位，是浙江省重点竹产区之一。2022年，遂昌县竹产业产值达16.7亿元，全链条产值超2亿元。</w:t>
      </w:r>
    </w:p>
    <w:p w14:paraId="209097A2">
      <w:pPr>
        <w:pStyle w:val="20"/>
        <w:shd w:val="clear" w:color="auto" w:fill="FFFFFF"/>
        <w:ind w:left="0" w:leftChars="0" w:firstLine="560" w:firstLineChars="200"/>
        <w:rPr>
          <w:color w:val="auto"/>
          <w:kern w:val="2"/>
          <w:sz w:val="28"/>
          <w:szCs w:val="20"/>
        </w:rPr>
      </w:pPr>
      <w:r>
        <w:rPr>
          <w:rFonts w:hint="eastAsia"/>
          <w:color w:val="auto"/>
          <w:kern w:val="2"/>
          <w:sz w:val="28"/>
          <w:szCs w:val="20"/>
        </w:rPr>
        <w:t>现有毛竹存量丰富，达6000万支，竹笋产量在7.6～8.0万吨之间（毛竹大小年不平衡）。竹林主要分布在三仁、妙高、大柘、高坪、垵口等11个乡（万亩以上）共计28万亩。全县竹加工企业达103家，其中竹炭55家、竹制板6家、初加工38家、竹笋3家、竹纤维1家。更有1996年成功研烧出国内第一窑的竹原炭后，一度引领国内竹炭制品生产的高潮，先后荣获“中国竹炭之乡”、“中国竹炭产业基地”等称号。近年来，我县又先后引进了佳禾竹业、信昇竹科技2家竹材人造板制造企业，成功开发了户外竹地板、车厢用竹地板等高端竹材人造板产品，其中佳禾竹高端户外竹地板精深加工生产线已于2019年底进行试生产，产值超1.3亿元。遂昌享有“中国最佳生态旅游县”、“中国旅游文化示范地”、“中国十大特色休闲基地”、“中国民间文化艺术之乡”、“中国王牌旅游目的地”、“浙江省十大生态旅游名城”等称号。全县有南尖岩景区、神龙谷景区两个包含竹子的4A级景区，中国竹炭博物馆3A级景区，以及三仁坑口亲农谷旅游公司，依托毛竹现代园区为主体的，集鲜笋采挖、鲜竹酒品</w:t>
      </w:r>
      <w:r>
        <w:rPr>
          <w:rFonts w:hint="eastAsia"/>
          <w:color w:val="auto"/>
          <w:kern w:val="2"/>
          <w:sz w:val="28"/>
          <w:szCs w:val="20"/>
          <w:lang w:eastAsia="zh-CN"/>
        </w:rPr>
        <w:t>尝</w:t>
      </w:r>
      <w:bookmarkStart w:id="105" w:name="_GoBack"/>
      <w:bookmarkEnd w:id="105"/>
      <w:r>
        <w:rPr>
          <w:rFonts w:hint="eastAsia"/>
          <w:color w:val="auto"/>
          <w:kern w:val="2"/>
          <w:sz w:val="28"/>
          <w:szCs w:val="20"/>
        </w:rPr>
        <w:t>等体验旅游。依托丰富的旅游资源和竹资源、竹文化，对于开展竹文化旅游具有得天独厚的优势。但竹文化旅游仍处于小规模，竹文化开发有限，有待进一步挖掘提升。</w:t>
      </w:r>
    </w:p>
    <w:p w14:paraId="34A237DB">
      <w:pPr>
        <w:pStyle w:val="20"/>
        <w:ind w:left="0" w:leftChars="0" w:firstLine="560" w:firstLineChars="200"/>
        <w:rPr>
          <w:color w:val="auto"/>
          <w:kern w:val="2"/>
          <w:sz w:val="28"/>
          <w:szCs w:val="20"/>
        </w:rPr>
      </w:pPr>
      <w:r>
        <w:rPr>
          <w:rFonts w:hint="eastAsia"/>
          <w:color w:val="auto"/>
          <w:kern w:val="2"/>
          <w:sz w:val="28"/>
          <w:szCs w:val="20"/>
        </w:rPr>
        <w:t>（4）</w:t>
      </w:r>
      <w:r>
        <w:rPr>
          <w:color w:val="auto"/>
          <w:kern w:val="2"/>
          <w:sz w:val="28"/>
          <w:szCs w:val="20"/>
        </w:rPr>
        <w:t>浙江</w:t>
      </w:r>
      <w:r>
        <w:rPr>
          <w:rFonts w:hint="eastAsia"/>
          <w:color w:val="auto"/>
          <w:kern w:val="2"/>
          <w:sz w:val="28"/>
          <w:szCs w:val="20"/>
        </w:rPr>
        <w:t>云和</w:t>
      </w:r>
    </w:p>
    <w:p w14:paraId="0646F583">
      <w:pPr>
        <w:pStyle w:val="20"/>
        <w:ind w:left="0" w:leftChars="0" w:firstLine="560" w:firstLineChars="200"/>
        <w:rPr>
          <w:color w:val="auto"/>
          <w:kern w:val="2"/>
          <w:sz w:val="28"/>
          <w:szCs w:val="20"/>
        </w:rPr>
      </w:pPr>
      <w:r>
        <w:rPr>
          <w:rFonts w:hint="eastAsia"/>
          <w:color w:val="auto"/>
          <w:kern w:val="2"/>
          <w:sz w:val="28"/>
          <w:szCs w:val="20"/>
        </w:rPr>
        <w:t>云和县地处浙西南，居瓯江上游，是丽水市地理中心，县域总面积989.6平方公里，辖4街道3镇3乡、71个行政村、15个社区，户籍人口11.38万、常住人口12.92万。目前，全县共有木制玩具生产企业1093家，成功注册“云和木玩”和“云和教玩”两个集体商标，拥有中国驰名商标3个、浙江名牌产品3个。2022年，云和县木制玩具产业实现产值80多亿元。目前已拥有木制玩具生产企业规上企业54家、亿元企业7家，国家高新技术企业13家。云和县木制玩具产品达十大类、上千个系列、数万个品种，实现从幼儿到老年全年龄段覆盖，产品总量占全国的66%，产品出口欧美等82个国家和地区。</w:t>
      </w:r>
    </w:p>
    <w:p w14:paraId="630965A3">
      <w:pPr>
        <w:pStyle w:val="20"/>
        <w:ind w:left="0" w:leftChars="0" w:firstLine="560" w:firstLineChars="200"/>
        <w:rPr>
          <w:color w:val="auto"/>
          <w:kern w:val="2"/>
          <w:sz w:val="28"/>
          <w:szCs w:val="20"/>
        </w:rPr>
      </w:pPr>
      <w:r>
        <w:rPr>
          <w:rFonts w:hint="eastAsia"/>
          <w:color w:val="auto"/>
          <w:kern w:val="2"/>
          <w:sz w:val="28"/>
          <w:szCs w:val="20"/>
        </w:rPr>
        <w:t>云和县积极培育发展木玩新兴文化产业，产业规模和水平不断提升，但发展中仍然存在一些问题和不足，主要体现在：产业结构不够合理，木制玩具仍然是云和文化产业的主导产业，成长性好、科技含量高、发展潜力大的文化产业项目和新业态还不多；市场主体规模偏小，规上文化企业占全县文化企业总数不足</w:t>
      </w:r>
      <w:r>
        <w:rPr>
          <w:color w:val="auto"/>
          <w:kern w:val="2"/>
          <w:sz w:val="28"/>
          <w:szCs w:val="20"/>
        </w:rPr>
        <w:t>5%，缺少有引领性的龙头企业；要素保障受到制约，财政扶持、金融政策和资本市场支持力度还有待加强，文化产业高级经营人才、研发设计人才较匮乏，借助外力促进文化产业发展的空间还未有效打开。</w:t>
      </w:r>
      <w:r>
        <w:rPr>
          <w:rFonts w:hint="eastAsia"/>
          <w:color w:val="auto"/>
          <w:kern w:val="2"/>
          <w:sz w:val="28"/>
          <w:szCs w:val="20"/>
        </w:rPr>
        <w:t>云和木玩产业带长期以来的</w:t>
      </w:r>
      <w:r>
        <w:rPr>
          <w:color w:val="auto"/>
          <w:kern w:val="2"/>
          <w:sz w:val="28"/>
          <w:szCs w:val="20"/>
        </w:rPr>
        <w:t>OEM代工模式，外贸思维，固化了企业家的品牌意识，当国际贸易环境发生变化，外贸订单锐减并向东南亚转移时，</w:t>
      </w:r>
      <w:r>
        <w:rPr>
          <w:rFonts w:hint="eastAsia"/>
          <w:color w:val="auto"/>
          <w:kern w:val="2"/>
          <w:sz w:val="28"/>
          <w:szCs w:val="20"/>
        </w:rPr>
        <w:t>才注重内销市场拓展。</w:t>
      </w:r>
    </w:p>
    <w:p w14:paraId="682C3F43">
      <w:pPr>
        <w:pStyle w:val="20"/>
        <w:ind w:left="0" w:leftChars="0" w:firstLine="560" w:firstLineChars="200"/>
        <w:rPr>
          <w:color w:val="auto"/>
          <w:kern w:val="2"/>
          <w:sz w:val="28"/>
          <w:szCs w:val="20"/>
        </w:rPr>
      </w:pPr>
    </w:p>
    <w:p w14:paraId="07A58D09">
      <w:pPr>
        <w:pStyle w:val="20"/>
        <w:ind w:left="0" w:leftChars="0" w:firstLine="560" w:firstLineChars="200"/>
        <w:rPr>
          <w:color w:val="auto"/>
          <w:kern w:val="2"/>
          <w:sz w:val="28"/>
          <w:szCs w:val="20"/>
        </w:rPr>
      </w:pPr>
      <w:r>
        <w:rPr>
          <w:rFonts w:hint="eastAsia"/>
          <w:color w:val="auto"/>
          <w:kern w:val="2"/>
          <w:sz w:val="28"/>
          <w:szCs w:val="20"/>
        </w:rPr>
        <w:t>（5）</w:t>
      </w:r>
      <w:r>
        <w:rPr>
          <w:color w:val="auto"/>
          <w:kern w:val="2"/>
          <w:sz w:val="28"/>
          <w:szCs w:val="20"/>
        </w:rPr>
        <w:t>浙江</w:t>
      </w:r>
      <w:r>
        <w:rPr>
          <w:rFonts w:hint="eastAsia"/>
          <w:color w:val="auto"/>
          <w:kern w:val="2"/>
          <w:sz w:val="28"/>
          <w:szCs w:val="20"/>
        </w:rPr>
        <w:t>庆元</w:t>
      </w:r>
    </w:p>
    <w:p w14:paraId="291986EE">
      <w:pPr>
        <w:pStyle w:val="20"/>
        <w:ind w:left="0" w:leftChars="0" w:firstLine="560" w:firstLineChars="200"/>
        <w:rPr>
          <w:color w:val="auto"/>
          <w:kern w:val="2"/>
          <w:sz w:val="28"/>
          <w:szCs w:val="20"/>
        </w:rPr>
      </w:pPr>
      <w:r>
        <w:rPr>
          <w:color w:val="auto"/>
          <w:kern w:val="2"/>
          <w:sz w:val="28"/>
          <w:szCs w:val="20"/>
        </w:rPr>
        <w:t>庆元县地形属浙西南中山区</w:t>
      </w:r>
      <w:r>
        <w:rPr>
          <w:rFonts w:hint="eastAsia"/>
          <w:color w:val="auto"/>
          <w:kern w:val="2"/>
          <w:sz w:val="28"/>
          <w:szCs w:val="20"/>
        </w:rPr>
        <w:t>，是浙江省林业重点林区，林业用地245.45万亩，占85.54%，全县森林总蓄积量为600万立方米，森林覆盖率82.3%。全县现有竹木种植面积188.85万亩，其中竹林面积34.2万亩，原料林（用材林）基地154.65万亩。</w:t>
      </w:r>
      <w:r>
        <w:rPr>
          <w:color w:val="auto"/>
          <w:kern w:val="2"/>
          <w:sz w:val="28"/>
          <w:szCs w:val="20"/>
        </w:rPr>
        <w:t>浙江省庆元县拥有丰富的竹林资源，是“中国特色竹乡”</w:t>
      </w:r>
      <w:r>
        <w:rPr>
          <w:rFonts w:hint="eastAsia"/>
          <w:color w:val="auto"/>
          <w:kern w:val="2"/>
          <w:sz w:val="28"/>
          <w:szCs w:val="20"/>
        </w:rPr>
        <w:t>。2022年，庆元县竹木产业产值约63亿元。</w:t>
      </w:r>
      <w:r>
        <w:rPr>
          <w:color w:val="auto"/>
          <w:kern w:val="2"/>
          <w:sz w:val="28"/>
          <w:szCs w:val="20"/>
        </w:rPr>
        <w:t>庆元县已拥有规上竹木企业41家，竹木家居产业链实现了规上产值44.63亿元，竹木产品种类达30多种。</w:t>
      </w:r>
    </w:p>
    <w:p w14:paraId="6486FC60">
      <w:pPr>
        <w:pStyle w:val="20"/>
        <w:ind w:left="0" w:leftChars="0" w:firstLine="560" w:firstLineChars="200"/>
        <w:rPr>
          <w:color w:val="auto"/>
          <w:kern w:val="2"/>
          <w:sz w:val="28"/>
          <w:szCs w:val="20"/>
        </w:rPr>
      </w:pPr>
      <w:r>
        <w:rPr>
          <w:color w:val="auto"/>
          <w:kern w:val="2"/>
          <w:sz w:val="28"/>
          <w:szCs w:val="20"/>
        </w:rPr>
        <w:t>竹木制品行业共取得各项专利3000多项，拥有省名牌产品12个、国家级高新技术企业20家。庆元竹木产业示范园区入选国家林业产业示范园区。目前，园区有竹木制品加工、贸易、服务等企业174家，省级以上林业重点企业12家，国家高新科技企业18家</w:t>
      </w:r>
      <w:r>
        <w:rPr>
          <w:rFonts w:hint="eastAsia"/>
          <w:color w:val="auto"/>
          <w:kern w:val="2"/>
          <w:sz w:val="28"/>
          <w:szCs w:val="20"/>
        </w:rPr>
        <w:t>。</w:t>
      </w:r>
      <w:r>
        <w:rPr>
          <w:color w:val="auto"/>
          <w:kern w:val="2"/>
          <w:sz w:val="28"/>
          <w:szCs w:val="20"/>
        </w:rPr>
        <w:t>2023年，庆元实现竹木行业出口总额5000万元，竹木行业出口潜力巨大。</w:t>
      </w:r>
    </w:p>
    <w:p w14:paraId="4634BB28">
      <w:pPr>
        <w:pStyle w:val="20"/>
        <w:ind w:left="0" w:leftChars="0" w:firstLine="560" w:firstLineChars="200"/>
        <w:rPr>
          <w:color w:val="auto"/>
          <w:kern w:val="2"/>
          <w:sz w:val="28"/>
          <w:szCs w:val="20"/>
        </w:rPr>
      </w:pPr>
      <w:r>
        <w:rPr>
          <w:rFonts w:hint="eastAsia"/>
          <w:color w:val="auto"/>
          <w:kern w:val="2"/>
          <w:sz w:val="28"/>
          <w:szCs w:val="20"/>
        </w:rPr>
        <w:t>庆元县</w:t>
      </w:r>
      <w:r>
        <w:rPr>
          <w:color w:val="auto"/>
          <w:kern w:val="2"/>
          <w:sz w:val="28"/>
          <w:szCs w:val="20"/>
        </w:rPr>
        <w:t>逐步形成砧板、铅笔等、餐厨配件、竹木家居、建筑竹板材等多元化</w:t>
      </w:r>
      <w:r>
        <w:rPr>
          <w:rFonts w:hint="eastAsia"/>
          <w:color w:val="auto"/>
          <w:kern w:val="2"/>
          <w:sz w:val="28"/>
          <w:szCs w:val="20"/>
        </w:rPr>
        <w:t>竹木</w:t>
      </w:r>
      <w:r>
        <w:rPr>
          <w:color w:val="auto"/>
          <w:kern w:val="2"/>
          <w:sz w:val="28"/>
          <w:szCs w:val="20"/>
        </w:rPr>
        <w:t>产品矩阵，竹木产业</w:t>
      </w:r>
      <w:r>
        <w:rPr>
          <w:rFonts w:hint="eastAsia"/>
          <w:color w:val="auto"/>
          <w:kern w:val="2"/>
          <w:sz w:val="28"/>
          <w:szCs w:val="20"/>
        </w:rPr>
        <w:t>快速</w:t>
      </w:r>
      <w:r>
        <w:rPr>
          <w:color w:val="auto"/>
          <w:kern w:val="2"/>
          <w:sz w:val="28"/>
          <w:szCs w:val="20"/>
        </w:rPr>
        <w:t>发展。带动近万户农户参与，在竹产业实施培育工程，共在全县培育高产高效竹林25万亩，每亩立竹量达145株，及各类相关竹木产业就业岗位近2万个。以“竹”为核心，建立主题森林健康旅游及系列配套休闲生活服务业，形成一二三产业融合的立体示范效应，实现服务业增加值41.98亿元，旅游收入29.39亿元。已有市县政府质量奖企业7家、品字标企业1家，累计参与制修（订）定国际标准1项、国家标准5项、行业标准23项，为主制定浙江制造标准6项，参与4项。竹木制品产业质量基础设施一站式服务平台入库机构9家，其中省级及以上4家，入库专家12名，其中高级专家7名。  </w:t>
      </w:r>
    </w:p>
    <w:p w14:paraId="55BCC2EA">
      <w:pPr>
        <w:pStyle w:val="10"/>
        <w:ind w:firstLine="0"/>
        <w:outlineLvl w:val="1"/>
        <w:rPr>
          <w:color w:val="auto"/>
        </w:rPr>
      </w:pPr>
      <w:bookmarkStart w:id="18" w:name="_Toc18529"/>
      <w:bookmarkStart w:id="19" w:name="_Toc161954057"/>
      <w:r>
        <w:rPr>
          <w:rFonts w:hint="eastAsia"/>
          <w:color w:val="auto"/>
        </w:rPr>
        <w:t>2.4 龙泉市竹木产业SWOT分析</w:t>
      </w:r>
      <w:bookmarkEnd w:id="18"/>
      <w:bookmarkEnd w:id="19"/>
    </w:p>
    <w:p w14:paraId="75FCA6A1">
      <w:pPr>
        <w:pStyle w:val="20"/>
        <w:ind w:left="0" w:leftChars="0" w:firstLine="560" w:firstLineChars="200"/>
        <w:rPr>
          <w:color w:val="auto"/>
          <w:kern w:val="2"/>
          <w:sz w:val="28"/>
          <w:szCs w:val="20"/>
        </w:rPr>
      </w:pPr>
      <w:r>
        <w:rPr>
          <w:rFonts w:hint="eastAsia"/>
          <w:color w:val="auto"/>
          <w:kern w:val="2"/>
          <w:sz w:val="28"/>
          <w:szCs w:val="20"/>
        </w:rPr>
        <w:t>2.4.1优势</w:t>
      </w:r>
    </w:p>
    <w:p w14:paraId="35A5A3C0">
      <w:pPr>
        <w:pStyle w:val="20"/>
        <w:numPr>
          <w:ilvl w:val="0"/>
          <w:numId w:val="2"/>
        </w:numPr>
        <w:ind w:left="0" w:leftChars="0" w:firstLine="560" w:firstLineChars="200"/>
        <w:rPr>
          <w:color w:val="auto"/>
          <w:kern w:val="2"/>
          <w:sz w:val="28"/>
          <w:szCs w:val="20"/>
        </w:rPr>
      </w:pPr>
      <w:bookmarkStart w:id="20" w:name="_Toc223313688"/>
      <w:bookmarkStart w:id="21" w:name="_Toc232568327"/>
      <w:r>
        <w:rPr>
          <w:rFonts w:hint="eastAsia"/>
          <w:color w:val="auto"/>
          <w:kern w:val="2"/>
          <w:sz w:val="28"/>
          <w:szCs w:val="20"/>
        </w:rPr>
        <w:t>自然资源丰富，生态环境良好。龙泉市为浙江省首批国家级森林城市，自然资源丰富，森林茂密，全市林业用地面积398.45万亩，占土地总面积的87.17%，森林覆盖率84.2%；全市活立木总蓄积量1456万立方米，素有“浙江林海”之称，龙泉同时又是全国的“特色竹乡”，拥有毛竹林面积55.1万亩，位据全省第二，仅次于安吉县。基于生态环境的优势和长久的历史渊源，为本案开发带来巨大的潜力。（2）景观特色明显，有利于形成竹海运动、度假体验目的地。龙泉市有多片连片成景的竹林景观，还有连绵起伏的山地景观，十分有利于开展竹海运动等体验活动，章府会村、溪头村等多处村落都具有较好的度假开发条件，可开发养生度假旅游产品。</w:t>
      </w:r>
      <w:bookmarkEnd w:id="20"/>
      <w:bookmarkEnd w:id="21"/>
      <w:r>
        <w:rPr>
          <w:rFonts w:hint="eastAsia"/>
          <w:color w:val="auto"/>
          <w:kern w:val="2"/>
          <w:sz w:val="28"/>
          <w:szCs w:val="20"/>
        </w:rPr>
        <w:t>（3）文化底蕴深厚，有利于景区价值提升，创造产品的特色和个性。文化是一个旅游景区生命力的核心，本案内部不仅有良好自然资源基础，而且文化底蕴丰厚。通过对宝剑文化、青瓷文化、竹文化、淳朴浓郁的地方文化以及丰富多彩的历史典故与民间传说进行深度挖掘和整合，将有利于深化景区产品价值、延长旅游景区的生命周期。</w:t>
      </w:r>
    </w:p>
    <w:p w14:paraId="5998137D">
      <w:pPr>
        <w:pStyle w:val="20"/>
        <w:numPr>
          <w:ilvl w:val="255"/>
          <w:numId w:val="0"/>
        </w:numPr>
        <w:ind w:left="420" w:leftChars="200"/>
        <w:rPr>
          <w:color w:val="auto"/>
          <w:kern w:val="2"/>
          <w:sz w:val="28"/>
          <w:szCs w:val="20"/>
        </w:rPr>
      </w:pPr>
    </w:p>
    <w:p w14:paraId="520ECE1D">
      <w:pPr>
        <w:pStyle w:val="20"/>
        <w:numPr>
          <w:ilvl w:val="255"/>
          <w:numId w:val="0"/>
        </w:numPr>
        <w:ind w:left="420" w:leftChars="200"/>
        <w:rPr>
          <w:color w:val="auto"/>
          <w:kern w:val="2"/>
          <w:sz w:val="28"/>
          <w:szCs w:val="20"/>
        </w:rPr>
      </w:pPr>
    </w:p>
    <w:p w14:paraId="435430E0">
      <w:pPr>
        <w:pStyle w:val="20"/>
        <w:ind w:left="0" w:leftChars="0" w:firstLine="560" w:firstLineChars="200"/>
        <w:rPr>
          <w:color w:val="auto"/>
          <w:kern w:val="2"/>
          <w:sz w:val="28"/>
          <w:szCs w:val="20"/>
        </w:rPr>
      </w:pPr>
      <w:r>
        <w:rPr>
          <w:rFonts w:hint="eastAsia"/>
          <w:color w:val="auto"/>
          <w:kern w:val="2"/>
          <w:sz w:val="28"/>
          <w:szCs w:val="20"/>
        </w:rPr>
        <w:t>2.4.2劣势</w:t>
      </w:r>
    </w:p>
    <w:p w14:paraId="4D33E4F0">
      <w:pPr>
        <w:pStyle w:val="20"/>
        <w:ind w:left="0" w:leftChars="0" w:firstLine="560" w:firstLineChars="200"/>
        <w:rPr>
          <w:color w:val="auto"/>
          <w:kern w:val="2"/>
          <w:sz w:val="28"/>
          <w:szCs w:val="20"/>
        </w:rPr>
      </w:pPr>
      <w:r>
        <w:rPr>
          <w:rFonts w:hint="eastAsia"/>
          <w:color w:val="auto"/>
          <w:kern w:val="2"/>
          <w:sz w:val="28"/>
          <w:szCs w:val="20"/>
        </w:rPr>
        <w:t>（1）低价伐竹生产消极，下山难。浙江省环保成本整体高于其他产竹省。随着“三改一拆”等政策的大力推行，导致龙泉许多竹木初加工小微园区关停。且由于亩产较低，新建园区审批用地难。竹木加工企业数量减少，导致竹材需求量和价格的进一步下降。竹林经营利润下滑，林农经营积极性受到严重打击和影响。缺乏足够的初加工小微园区限制了竹木原材料供应，进而抑制了竹木企业的高速成长。以我市八都镇竹材价格为例。2013年，毛竹厂家收购价为 44元/百斤，采伐成本为7元/百斤；2022年，毛竹厂家收购价为 32元/百斤，采伐成本为17元/百斤（有林道）。</w:t>
      </w:r>
    </w:p>
    <w:p w14:paraId="0C1FA318">
      <w:pPr>
        <w:pStyle w:val="20"/>
        <w:ind w:left="0" w:leftChars="0" w:firstLine="560" w:firstLineChars="200"/>
        <w:rPr>
          <w:color w:val="auto"/>
          <w:kern w:val="2"/>
          <w:sz w:val="28"/>
          <w:szCs w:val="20"/>
        </w:rPr>
      </w:pPr>
      <w:r>
        <w:rPr>
          <w:rFonts w:hint="eastAsia"/>
          <w:color w:val="auto"/>
          <w:kern w:val="2"/>
          <w:sz w:val="28"/>
          <w:szCs w:val="20"/>
        </w:rPr>
        <w:t>（2）创新动力不足。竹产业科学研究和技术储备薄弱、科研经费不足、科技成果较少、 成果转化和新产品开发能力有限，产品类型不够丰富；竹加工企业创新意识不强，创新力量薄弱，尚未真正成为创新主体，新技术、新工艺、新产品开发能力普遍较弱，产学研用结合等科技支撑模式覆盖面小；大多竹业从业人员和竹农没有接受系统的技术培训，大多生产加工企业缺乏独立的技术研发团队；中小企业在竹材加工利用环节的环保问题尚未得到根本解决，竹制品霉变、开裂等现象时有发生。</w:t>
      </w:r>
    </w:p>
    <w:p w14:paraId="003D1EB5">
      <w:pPr>
        <w:pStyle w:val="20"/>
        <w:ind w:left="0" w:leftChars="0" w:firstLine="560" w:firstLineChars="200"/>
        <w:rPr>
          <w:color w:val="auto"/>
          <w:kern w:val="2"/>
          <w:sz w:val="28"/>
          <w:szCs w:val="20"/>
        </w:rPr>
      </w:pPr>
      <w:r>
        <w:rPr>
          <w:rFonts w:hint="eastAsia"/>
          <w:color w:val="auto"/>
          <w:kern w:val="2"/>
          <w:sz w:val="28"/>
          <w:szCs w:val="20"/>
        </w:rPr>
        <w:t>（3）电商规范不够。龙泉市竹木产业发展仍以传统路径为主，尚未建立完善的业配套和生态体系以实现产业加速转型升级。一是竹木电商配套不健全。虽然当地已通过建立竹木电商园降低企业的快递物流成本，但相比义乌、江西等优势快递区域，龙泉市快递成本仍然偏高。据当地企业调研反馈，在同等寄送物品情况下，龙泉市快递费用可比义乌市高出 15%以上。且快递稳定性不高，在“双十一”等电商大促活动期间，快递企业容易因为单量较大而导致爆仓，进而影响竹木电商的发货时效。此外，电商企业注册地不在龙泉，管理也不变，龙泉多为生产基地。</w:t>
      </w:r>
    </w:p>
    <w:p w14:paraId="2F2994B9">
      <w:pPr>
        <w:pStyle w:val="20"/>
        <w:ind w:left="0" w:leftChars="0" w:firstLine="560" w:firstLineChars="200"/>
        <w:rPr>
          <w:color w:val="auto"/>
          <w:kern w:val="2"/>
          <w:sz w:val="28"/>
          <w:szCs w:val="20"/>
        </w:rPr>
      </w:pPr>
      <w:r>
        <w:rPr>
          <w:rFonts w:hint="eastAsia"/>
          <w:color w:val="auto"/>
          <w:kern w:val="2"/>
          <w:sz w:val="28"/>
          <w:szCs w:val="20"/>
        </w:rPr>
        <w:t>（4）产品同质附加值低。龙泉市竹木产业虽已形成特色发展优势，但当地大多数竹木企业产品品类单一，集中在竹筷等厨房用品，鞋架、书架、衣帽架等竹木制家具，积木、串珠等竹木制玩具等领域，制造工艺简单，进入门槛低，产品同质化程度高。中小企业仍以粗放经营为主，机械化程度和生产效率低，缺乏集约化和产业化生产意识，导致生产成本高，利润空间小。当地虽然创建了龙泉竹木产业示范园区等多个国家级、省级产业创新发展平台，并培育了能福、恒祥、千束等龙头企业，但绝大多数企业尚未形成自己的成熟品牌，缺乏品牌效应也使得当地产品难以形成差异化竞争优势，议价能力低，进一步压缩了企业的利润空间。疫情影响导致不少企业被迫停产停工，中小企业经营愈发困难。</w:t>
      </w:r>
    </w:p>
    <w:p w14:paraId="796E707E">
      <w:pPr>
        <w:pStyle w:val="20"/>
        <w:ind w:left="0" w:leftChars="0" w:firstLine="560" w:firstLineChars="200"/>
        <w:rPr>
          <w:color w:val="auto"/>
          <w:kern w:val="2"/>
          <w:sz w:val="28"/>
          <w:szCs w:val="20"/>
        </w:rPr>
      </w:pPr>
      <w:r>
        <w:rPr>
          <w:rFonts w:hint="eastAsia"/>
          <w:color w:val="auto"/>
          <w:kern w:val="2"/>
          <w:sz w:val="28"/>
          <w:szCs w:val="20"/>
        </w:rPr>
        <w:t>（5）规上企业出口依赖性高。龙泉市竹木产业企业数量众多，规模偏小，整体仍呈现“小、散、乱”的发展特点。竹木产业仍属于传统产业，生产方式较为落后，生产规模小、技术含量低、机械化程度低，企业家的后代们接班意愿不强，企业经营缺乏延续性阻碍了企业进一步做大做强。当地龙头企业虽然发展较好，但缺乏上市意愿；企业上市前期需耗费大量资金人力做准备，地方政府在上市支持方面力度不够；龙头企业不愿意上市进一步扩大发展，未充分发挥对当地中小企业进一步做大做强的示范引领作用。出口服务不完善，龙泉市竹木产业出口比重较高。出口关税、海运物流等成本占比高、波动大，对企业经营影响较大。</w:t>
      </w:r>
    </w:p>
    <w:p w14:paraId="5A54ED87">
      <w:pPr>
        <w:pStyle w:val="20"/>
        <w:ind w:left="0" w:leftChars="0" w:firstLine="560" w:firstLineChars="200"/>
        <w:rPr>
          <w:color w:val="auto"/>
          <w:kern w:val="2"/>
          <w:sz w:val="28"/>
          <w:szCs w:val="20"/>
        </w:rPr>
      </w:pPr>
      <w:r>
        <w:rPr>
          <w:rFonts w:hint="eastAsia"/>
          <w:color w:val="auto"/>
          <w:kern w:val="2"/>
          <w:sz w:val="28"/>
          <w:szCs w:val="20"/>
        </w:rPr>
        <w:t>（6）产业配套尚不完善。当地电商均为企业自发建立网店进行销售，缺乏真正掌握电子商务相关技术和理念的专业电商人才，电商运营模式难以跟上发展潮流，使得电商发展影响力较小，销路尚未全面铺开。汇率波动对出口企业带来的汇兑损失不容忽视，以能福为例，在进行套期保值的情况下，2021年汇兑损失仍然高达900多万元。当地尚未形成包含出口代理、跨境电商、海外仓储、退税申报等内容的完整外贸服务生态，使得出口企业只能自行承担全部成本。</w:t>
      </w:r>
    </w:p>
    <w:p w14:paraId="4468568D">
      <w:pPr>
        <w:pStyle w:val="20"/>
        <w:ind w:left="0" w:leftChars="0" w:firstLine="560" w:firstLineChars="200"/>
        <w:rPr>
          <w:color w:val="auto"/>
          <w:kern w:val="2"/>
          <w:sz w:val="28"/>
          <w:szCs w:val="20"/>
        </w:rPr>
      </w:pPr>
      <w:r>
        <w:rPr>
          <w:rFonts w:hint="eastAsia"/>
          <w:color w:val="auto"/>
          <w:kern w:val="2"/>
          <w:sz w:val="28"/>
          <w:szCs w:val="20"/>
        </w:rPr>
        <w:t>（7）龙头企业带动不明显</w:t>
      </w:r>
    </w:p>
    <w:p w14:paraId="2CF66D35">
      <w:pPr>
        <w:pStyle w:val="20"/>
        <w:ind w:left="0" w:leftChars="0" w:firstLine="560" w:firstLineChars="200"/>
        <w:rPr>
          <w:color w:val="auto"/>
          <w:kern w:val="2"/>
          <w:sz w:val="28"/>
          <w:szCs w:val="20"/>
        </w:rPr>
      </w:pPr>
      <w:r>
        <w:rPr>
          <w:rFonts w:hint="eastAsia"/>
          <w:color w:val="auto"/>
          <w:kern w:val="2"/>
          <w:sz w:val="28"/>
          <w:szCs w:val="20"/>
        </w:rPr>
        <w:t>头企业是产业发展的领头雁，是引导产业结构优化升级的排头兵，抓住一个龙头往往就能带动一个行业、带旺一批企业、带活一片区域。龙泉市缺乏竹木加工行业在全国全省具有重要行业影响力的龙头企业，竹木加工龙头企业数量也有待进一步提升、实力有待进一步增强、带动效益有待进一步凸显，需要进一步</w:t>
      </w:r>
      <w:r>
        <w:rPr>
          <w:color w:val="auto"/>
          <w:kern w:val="2"/>
          <w:sz w:val="28"/>
          <w:szCs w:val="20"/>
        </w:rPr>
        <w:t>加强产业协同发展</w:t>
      </w:r>
      <w:r>
        <w:rPr>
          <w:rFonts w:hint="eastAsia"/>
          <w:color w:val="auto"/>
          <w:kern w:val="2"/>
          <w:sz w:val="28"/>
          <w:szCs w:val="20"/>
        </w:rPr>
        <w:t>，这</w:t>
      </w:r>
      <w:r>
        <w:rPr>
          <w:color w:val="auto"/>
          <w:kern w:val="2"/>
          <w:sz w:val="28"/>
          <w:szCs w:val="20"/>
        </w:rPr>
        <w:t>也是推动</w:t>
      </w:r>
      <w:r>
        <w:rPr>
          <w:rFonts w:hint="eastAsia"/>
          <w:color w:val="auto"/>
          <w:kern w:val="2"/>
          <w:sz w:val="28"/>
          <w:szCs w:val="20"/>
        </w:rPr>
        <w:t>龙泉竹木</w:t>
      </w:r>
      <w:r>
        <w:rPr>
          <w:color w:val="auto"/>
          <w:kern w:val="2"/>
          <w:sz w:val="28"/>
          <w:szCs w:val="20"/>
        </w:rPr>
        <w:t>产业带动的重要举措</w:t>
      </w:r>
      <w:r>
        <w:rPr>
          <w:rFonts w:hint="eastAsia"/>
          <w:color w:val="auto"/>
          <w:kern w:val="2"/>
          <w:sz w:val="28"/>
          <w:szCs w:val="20"/>
        </w:rPr>
        <w:t>，亟需</w:t>
      </w:r>
      <w:r>
        <w:rPr>
          <w:color w:val="auto"/>
          <w:kern w:val="2"/>
          <w:sz w:val="28"/>
          <w:szCs w:val="20"/>
        </w:rPr>
        <w:t>通过产业链上下游企业的合作</w:t>
      </w:r>
      <w:r>
        <w:rPr>
          <w:rFonts w:hint="eastAsia"/>
          <w:color w:val="auto"/>
          <w:kern w:val="2"/>
          <w:sz w:val="28"/>
          <w:szCs w:val="20"/>
        </w:rPr>
        <w:t>，</w:t>
      </w:r>
      <w:r>
        <w:rPr>
          <w:color w:val="auto"/>
          <w:kern w:val="2"/>
          <w:sz w:val="28"/>
          <w:szCs w:val="20"/>
        </w:rPr>
        <w:t>形成完整的产业链条</w:t>
      </w:r>
      <w:r>
        <w:rPr>
          <w:rFonts w:hint="eastAsia"/>
          <w:color w:val="auto"/>
          <w:kern w:val="2"/>
          <w:sz w:val="28"/>
          <w:szCs w:val="20"/>
        </w:rPr>
        <w:t>，</w:t>
      </w:r>
      <w:r>
        <w:rPr>
          <w:color w:val="auto"/>
          <w:kern w:val="2"/>
          <w:sz w:val="28"/>
          <w:szCs w:val="20"/>
        </w:rPr>
        <w:t>提高整个产业的竞争力和带动效应。</w:t>
      </w:r>
    </w:p>
    <w:p w14:paraId="2236781D">
      <w:pPr>
        <w:pStyle w:val="20"/>
        <w:ind w:left="0" w:leftChars="0" w:firstLine="560" w:firstLineChars="200"/>
        <w:rPr>
          <w:color w:val="auto"/>
          <w:kern w:val="2"/>
          <w:sz w:val="28"/>
          <w:szCs w:val="20"/>
        </w:rPr>
      </w:pPr>
      <w:r>
        <w:rPr>
          <w:rFonts w:hint="eastAsia"/>
          <w:color w:val="auto"/>
          <w:kern w:val="2"/>
          <w:sz w:val="28"/>
          <w:szCs w:val="20"/>
        </w:rPr>
        <w:t>2.4.3机遇</w:t>
      </w:r>
    </w:p>
    <w:p w14:paraId="3440EC30">
      <w:pPr>
        <w:pStyle w:val="20"/>
        <w:ind w:left="0" w:leftChars="0" w:firstLine="560" w:firstLineChars="200"/>
        <w:rPr>
          <w:color w:val="auto"/>
          <w:kern w:val="2"/>
          <w:sz w:val="28"/>
          <w:szCs w:val="20"/>
        </w:rPr>
      </w:pPr>
      <w:bookmarkStart w:id="22" w:name="_Toc232568332"/>
      <w:bookmarkStart w:id="23" w:name="_Toc223313693"/>
      <w:r>
        <w:rPr>
          <w:rFonts w:hint="eastAsia"/>
          <w:color w:val="auto"/>
          <w:kern w:val="2"/>
          <w:sz w:val="28"/>
          <w:szCs w:val="20"/>
        </w:rPr>
        <w:t>我国已转向高质量发展阶段，我国经济韧性强、长期向好的基本面不会改变。生态文明和美丽中国建设向纵深推进，人民对美好生活的需求日益增加，推进塑料污染治理，实施碳达峰、碳中和目标，为竹产业发展提供了重大机遇，实施乡村振兴战略为竹产业发展创造了新途径，培育战略性新兴产业为竹产业发展注入了新动力，以竹代木、以竹代塑为竹产业发展赋予了新使命，促进国内国际双循环为竹产业发展拓展了新空间。机械化 智能化加工</w:t>
      </w:r>
    </w:p>
    <w:bookmarkEnd w:id="22"/>
    <w:bookmarkEnd w:id="23"/>
    <w:p w14:paraId="09E23092">
      <w:pPr>
        <w:pStyle w:val="20"/>
        <w:ind w:left="0" w:leftChars="0" w:firstLine="560" w:firstLineChars="200"/>
        <w:rPr>
          <w:color w:val="auto"/>
          <w:kern w:val="2"/>
          <w:sz w:val="28"/>
          <w:szCs w:val="20"/>
        </w:rPr>
      </w:pPr>
      <w:r>
        <w:rPr>
          <w:rFonts w:hint="eastAsia"/>
          <w:color w:val="auto"/>
          <w:kern w:val="2"/>
          <w:sz w:val="28"/>
          <w:szCs w:val="20"/>
        </w:rPr>
        <w:t>2.4.4挑战</w:t>
      </w:r>
    </w:p>
    <w:p w14:paraId="13424D10">
      <w:pPr>
        <w:pStyle w:val="20"/>
        <w:ind w:left="0" w:leftChars="0" w:firstLine="560" w:firstLineChars="200"/>
        <w:rPr>
          <w:color w:val="auto"/>
          <w:kern w:val="2"/>
          <w:sz w:val="28"/>
          <w:szCs w:val="20"/>
        </w:rPr>
      </w:pPr>
      <w:bookmarkStart w:id="24" w:name="_Toc232568336"/>
      <w:bookmarkStart w:id="25" w:name="_Toc223313697"/>
      <w:r>
        <w:rPr>
          <w:rFonts w:hint="eastAsia"/>
          <w:color w:val="auto"/>
          <w:kern w:val="2"/>
          <w:sz w:val="28"/>
          <w:szCs w:val="20"/>
        </w:rPr>
        <w:t>（1）如何提升竹林集约经营水平和综合效益？</w:t>
      </w:r>
    </w:p>
    <w:p w14:paraId="4E065C31">
      <w:pPr>
        <w:pStyle w:val="20"/>
        <w:ind w:left="0" w:leftChars="0" w:firstLine="560" w:firstLineChars="200"/>
        <w:rPr>
          <w:color w:val="auto"/>
          <w:kern w:val="2"/>
          <w:sz w:val="28"/>
          <w:szCs w:val="20"/>
        </w:rPr>
      </w:pPr>
      <w:r>
        <w:rPr>
          <w:rFonts w:hint="eastAsia"/>
          <w:color w:val="auto"/>
          <w:kern w:val="2"/>
          <w:sz w:val="28"/>
          <w:szCs w:val="20"/>
        </w:rPr>
        <w:t>低产低质低效竹林面积仍然不少，约占3</w:t>
      </w:r>
      <w:r>
        <w:rPr>
          <w:color w:val="auto"/>
          <w:kern w:val="2"/>
          <w:sz w:val="28"/>
          <w:szCs w:val="20"/>
        </w:rPr>
        <w:t>0%</w:t>
      </w:r>
      <w:r>
        <w:rPr>
          <w:rFonts w:hint="eastAsia"/>
          <w:color w:val="auto"/>
          <w:kern w:val="2"/>
          <w:sz w:val="28"/>
          <w:szCs w:val="20"/>
        </w:rPr>
        <w:t xml:space="preserve">，集约经营竹林25万亩，只占 </w:t>
      </w:r>
      <w:r>
        <w:rPr>
          <w:color w:val="auto"/>
          <w:kern w:val="2"/>
          <w:sz w:val="28"/>
          <w:szCs w:val="20"/>
        </w:rPr>
        <w:t>30%</w:t>
      </w:r>
      <w:r>
        <w:rPr>
          <w:rFonts w:hint="eastAsia"/>
          <w:color w:val="auto"/>
          <w:kern w:val="2"/>
          <w:sz w:val="28"/>
          <w:szCs w:val="20"/>
        </w:rPr>
        <w:t>左右；“混改纯”和粗放经营导致林地土壤肥力下降，立竹平均胸径和平均株高呈降低趋势，林地生产力不高。</w:t>
      </w:r>
    </w:p>
    <w:p w14:paraId="05680B03">
      <w:pPr>
        <w:pStyle w:val="20"/>
        <w:ind w:left="0" w:leftChars="0" w:firstLine="560" w:firstLineChars="200"/>
        <w:rPr>
          <w:color w:val="auto"/>
          <w:kern w:val="2"/>
          <w:sz w:val="28"/>
          <w:szCs w:val="20"/>
        </w:rPr>
      </w:pPr>
      <w:r>
        <w:rPr>
          <w:rFonts w:hint="eastAsia"/>
          <w:color w:val="auto"/>
          <w:kern w:val="2"/>
          <w:sz w:val="28"/>
          <w:szCs w:val="20"/>
        </w:rPr>
        <w:t>（2）如何提升采运和加工机械化、自动化水平？</w:t>
      </w:r>
    </w:p>
    <w:p w14:paraId="7A968B38">
      <w:pPr>
        <w:pStyle w:val="20"/>
        <w:ind w:left="0" w:leftChars="0" w:firstLine="560" w:firstLineChars="200"/>
        <w:rPr>
          <w:color w:val="auto"/>
          <w:kern w:val="2"/>
          <w:sz w:val="28"/>
          <w:szCs w:val="20"/>
        </w:rPr>
      </w:pPr>
      <w:r>
        <w:rPr>
          <w:rFonts w:hint="eastAsia"/>
          <w:color w:val="auto"/>
          <w:kern w:val="2"/>
          <w:sz w:val="28"/>
          <w:szCs w:val="20"/>
        </w:rPr>
        <w:t>竹林道路等基础设施建设滞后，严重影响竹材运输；竹材采收基本靠人工，缺乏工业化采收机械和技术；竹加工企业大多是劳动密集型中小企业、小微企业，甚至是家庭作坊，机械化、自动化程度不高，竹材加工主要采取单机加工，缺乏机械化和连续化生产装备技术，企业综合实力弱，抗风险能力差。</w:t>
      </w:r>
    </w:p>
    <w:p w14:paraId="773A88B3">
      <w:pPr>
        <w:pStyle w:val="20"/>
        <w:ind w:left="0" w:leftChars="0" w:firstLine="560" w:firstLineChars="200"/>
        <w:rPr>
          <w:color w:val="auto"/>
          <w:kern w:val="2"/>
          <w:sz w:val="28"/>
          <w:szCs w:val="20"/>
        </w:rPr>
      </w:pPr>
      <w:bookmarkStart w:id="26" w:name="_Toc223313691"/>
      <w:bookmarkStart w:id="27" w:name="_Toc232568330"/>
      <w:r>
        <w:rPr>
          <w:rFonts w:hint="eastAsia"/>
          <w:color w:val="auto"/>
          <w:kern w:val="2"/>
          <w:sz w:val="28"/>
          <w:szCs w:val="20"/>
        </w:rPr>
        <w:t>（3）如何多渠道筹集资金，发挥各个利益主体的积极性，对接招商引资，形成合力，推进本项目的建设</w:t>
      </w:r>
    </w:p>
    <w:p w14:paraId="1D0DA732">
      <w:pPr>
        <w:pStyle w:val="20"/>
        <w:ind w:left="0" w:leftChars="0" w:firstLine="560" w:firstLineChars="200"/>
        <w:rPr>
          <w:color w:val="auto"/>
          <w:kern w:val="2"/>
          <w:sz w:val="28"/>
          <w:szCs w:val="20"/>
        </w:rPr>
      </w:pPr>
      <w:r>
        <w:rPr>
          <w:rFonts w:hint="eastAsia"/>
          <w:color w:val="auto"/>
          <w:kern w:val="2"/>
          <w:sz w:val="28"/>
          <w:szCs w:val="20"/>
        </w:rPr>
        <w:t>资金对于产业发展的重要性不言而喻。本规划区必须立足创新，大胆开发竹木新产品，树立鲜明龙泉形象，创新融资方式，拓宽融资渠道，发挥各个利益主体的积极性，对经营性项目采取招商引资策略，推进项目的建设。</w:t>
      </w:r>
      <w:bookmarkEnd w:id="24"/>
      <w:bookmarkEnd w:id="25"/>
      <w:bookmarkEnd w:id="26"/>
      <w:bookmarkEnd w:id="27"/>
      <w:bookmarkStart w:id="28" w:name="_Toc232568337"/>
      <w:bookmarkStart w:id="29" w:name="_Toc223313698"/>
    </w:p>
    <w:p w14:paraId="2E014D8D">
      <w:pPr>
        <w:pStyle w:val="20"/>
        <w:numPr>
          <w:ilvl w:val="0"/>
          <w:numId w:val="3"/>
        </w:numPr>
        <w:ind w:left="0" w:leftChars="0" w:firstLine="560" w:firstLineChars="200"/>
        <w:rPr>
          <w:color w:val="auto"/>
          <w:kern w:val="2"/>
          <w:sz w:val="28"/>
          <w:szCs w:val="20"/>
        </w:rPr>
      </w:pPr>
      <w:r>
        <w:rPr>
          <w:rFonts w:hint="eastAsia"/>
          <w:color w:val="auto"/>
          <w:kern w:val="2"/>
          <w:sz w:val="28"/>
          <w:szCs w:val="20"/>
        </w:rPr>
        <w:t>如何协调环境保护和旅游开发的关系，实现均衡发展?如何协调龙泉与丽水市整体融合发展？</w:t>
      </w:r>
    </w:p>
    <w:bookmarkEnd w:id="28"/>
    <w:bookmarkEnd w:id="29"/>
    <w:p w14:paraId="466A4806">
      <w:pPr>
        <w:pStyle w:val="20"/>
        <w:shd w:val="clear" w:color="auto" w:fill="FFFFFF"/>
        <w:wordWrap w:val="0"/>
        <w:spacing w:before="384" w:after="0" w:line="442" w:lineRule="atLeast"/>
        <w:ind w:left="0" w:leftChars="0" w:firstLine="560" w:firstLineChars="200"/>
        <w:jc w:val="left"/>
        <w:rPr>
          <w:color w:val="auto"/>
          <w:kern w:val="2"/>
          <w:sz w:val="28"/>
          <w:szCs w:val="20"/>
        </w:rPr>
      </w:pPr>
      <w:r>
        <w:rPr>
          <w:rFonts w:hint="eastAsia"/>
          <w:color w:val="auto"/>
          <w:kern w:val="2"/>
          <w:sz w:val="28"/>
          <w:szCs w:val="20"/>
        </w:rPr>
        <w:t>旅游开发可以对地区经济起到促进作用，但是和所有的旅游开发一样，面临生态介入的问题。如何在开发的过程中因地制宜，结合当地的实际情况保护好原有生态环境、动植资源，处理好污水，生活垃圾，是一系列急需解决的问题。</w:t>
      </w:r>
      <w:r>
        <w:rPr>
          <w:rFonts w:hint="eastAsia"/>
          <w:color w:val="auto"/>
          <w:kern w:val="2"/>
          <w:sz w:val="28"/>
          <w:szCs w:val="20"/>
          <w:shd w:val="clear" w:color="auto" w:fill="FFFFFF"/>
        </w:rPr>
        <w:t>《 丽水市“一带三区” 发展规划》中龙泉庆元作为三区之一的特色发展示范区</w:t>
      </w:r>
      <w:r>
        <w:rPr>
          <w:rFonts w:hint="eastAsia"/>
          <w:color w:val="auto"/>
          <w:kern w:val="2"/>
          <w:sz w:val="28"/>
          <w:szCs w:val="20"/>
        </w:rPr>
        <w:t>。如何</w:t>
      </w:r>
      <w:r>
        <w:rPr>
          <w:rFonts w:hint="eastAsia"/>
          <w:color w:val="auto"/>
          <w:kern w:val="2"/>
          <w:sz w:val="28"/>
          <w:szCs w:val="20"/>
          <w:shd w:val="clear" w:color="auto" w:fill="FFFFFF"/>
          <w:lang w:bidi="ar"/>
        </w:rPr>
        <w:t>加快建设龙庆聚落发展区块</w:t>
      </w:r>
      <w:r>
        <w:rPr>
          <w:rFonts w:hint="eastAsia"/>
          <w:color w:val="auto"/>
          <w:kern w:val="2"/>
          <w:sz w:val="28"/>
          <w:szCs w:val="20"/>
          <w:lang w:bidi="ar"/>
        </w:rPr>
        <w:t>，</w:t>
      </w:r>
      <w:r>
        <w:rPr>
          <w:rFonts w:hint="eastAsia"/>
          <w:color w:val="auto"/>
          <w:kern w:val="2"/>
          <w:sz w:val="28"/>
          <w:szCs w:val="20"/>
          <w:shd w:val="clear" w:color="auto" w:fill="FFFFFF"/>
          <w:lang w:bidi="ar"/>
        </w:rPr>
        <w:t>以建设世界经典文创高地为发展目标，推进国家公园建设，构建环国家公园文创大走廊，建设文创特色小镇群，扩大丽水文创影响力，形成百亿文创产业集群</w:t>
      </w:r>
      <w:r>
        <w:rPr>
          <w:rFonts w:hint="eastAsia"/>
          <w:color w:val="auto"/>
          <w:kern w:val="2"/>
          <w:sz w:val="28"/>
          <w:szCs w:val="20"/>
          <w:lang w:bidi="ar"/>
        </w:rPr>
        <w:t>？</w:t>
      </w:r>
    </w:p>
    <w:p w14:paraId="1EBEE21B">
      <w:pPr>
        <w:pStyle w:val="20"/>
        <w:ind w:left="0" w:leftChars="0" w:firstLine="560" w:firstLineChars="200"/>
        <w:rPr>
          <w:color w:val="auto"/>
          <w:kern w:val="2"/>
          <w:sz w:val="28"/>
          <w:szCs w:val="20"/>
        </w:rPr>
      </w:pPr>
      <w:r>
        <w:rPr>
          <w:rFonts w:hint="eastAsia"/>
          <w:color w:val="auto"/>
          <w:kern w:val="2"/>
          <w:sz w:val="28"/>
          <w:szCs w:val="20"/>
        </w:rPr>
        <w:t>（5）如何提升科技支撑能力和创新能力?</w:t>
      </w:r>
    </w:p>
    <w:p w14:paraId="02307913">
      <w:pPr>
        <w:pStyle w:val="20"/>
        <w:ind w:left="0" w:leftChars="0" w:firstLine="560" w:firstLineChars="200"/>
        <w:rPr>
          <w:color w:val="auto"/>
          <w:kern w:val="2"/>
          <w:sz w:val="28"/>
          <w:szCs w:val="20"/>
        </w:rPr>
      </w:pPr>
      <w:r>
        <w:rPr>
          <w:rFonts w:hint="eastAsia"/>
          <w:color w:val="auto"/>
          <w:kern w:val="2"/>
          <w:sz w:val="28"/>
          <w:szCs w:val="20"/>
        </w:rPr>
        <w:t>科技支撑能力和创新能力至关重要。如何加强科学研究和技术储备，加大成果转化和新产品开发能力，加速科技创新与产品研发；如何提升竹加工企业创新意识，产学研用结合；如何整体提升大多竹业从业人员和竹农从业水平，组建技术研发团队，攻克关键技术难题。</w:t>
      </w:r>
    </w:p>
    <w:p w14:paraId="0E8ACB88">
      <w:pPr>
        <w:pStyle w:val="20"/>
        <w:ind w:left="0" w:leftChars="0" w:firstLine="560" w:firstLineChars="200"/>
        <w:rPr>
          <w:color w:val="auto"/>
          <w:kern w:val="2"/>
          <w:sz w:val="28"/>
          <w:szCs w:val="20"/>
        </w:rPr>
      </w:pPr>
      <w:r>
        <w:rPr>
          <w:rFonts w:hint="eastAsia"/>
          <w:color w:val="auto"/>
          <w:kern w:val="2"/>
          <w:sz w:val="28"/>
          <w:szCs w:val="20"/>
        </w:rPr>
        <w:t>（6）如何拓展竹产品消费市场?</w:t>
      </w:r>
    </w:p>
    <w:p w14:paraId="5222B2A2">
      <w:pPr>
        <w:pStyle w:val="20"/>
        <w:ind w:left="0" w:leftChars="0" w:firstLine="560" w:firstLineChars="200"/>
        <w:rPr>
          <w:color w:val="auto"/>
          <w:kern w:val="2"/>
          <w:sz w:val="28"/>
          <w:szCs w:val="20"/>
        </w:rPr>
      </w:pPr>
      <w:r>
        <w:rPr>
          <w:rFonts w:hint="eastAsia"/>
          <w:color w:val="auto"/>
          <w:kern w:val="2"/>
          <w:sz w:val="28"/>
          <w:szCs w:val="20"/>
        </w:rPr>
        <w:t>国内竹产品消费市场不旺，消费者对竹产品认知度不高。市场上为广大消费者喜爱接纳的竹产品种类少，品种单一，特色不明显，竹产品市场的整体消费氛围尚未形成。竹文化支撑和引领作用亟待开发。</w:t>
      </w:r>
    </w:p>
    <w:p w14:paraId="09DF99B2">
      <w:pPr>
        <w:pStyle w:val="20"/>
        <w:ind w:left="0" w:leftChars="0" w:firstLine="560" w:firstLineChars="200"/>
        <w:rPr>
          <w:color w:val="auto"/>
          <w:kern w:val="2"/>
          <w:sz w:val="28"/>
          <w:szCs w:val="20"/>
        </w:rPr>
      </w:pPr>
    </w:p>
    <w:p w14:paraId="0749E231">
      <w:pPr>
        <w:pStyle w:val="20"/>
        <w:ind w:left="0" w:leftChars="0" w:firstLine="560" w:firstLineChars="200"/>
        <w:rPr>
          <w:color w:val="auto"/>
          <w:kern w:val="2"/>
          <w:sz w:val="28"/>
          <w:szCs w:val="20"/>
        </w:rPr>
      </w:pPr>
    </w:p>
    <w:p w14:paraId="0799CE17">
      <w:pPr>
        <w:pStyle w:val="20"/>
        <w:ind w:left="0" w:leftChars="0" w:firstLine="560" w:firstLineChars="200"/>
        <w:rPr>
          <w:color w:val="auto"/>
          <w:kern w:val="2"/>
          <w:sz w:val="28"/>
          <w:szCs w:val="20"/>
        </w:rPr>
      </w:pPr>
    </w:p>
    <w:p w14:paraId="61267E5D">
      <w:pPr>
        <w:pStyle w:val="20"/>
        <w:ind w:left="0" w:leftChars="0" w:firstLine="560" w:firstLineChars="200"/>
        <w:rPr>
          <w:color w:val="auto"/>
          <w:kern w:val="2"/>
          <w:sz w:val="28"/>
          <w:szCs w:val="20"/>
        </w:rPr>
        <w:sectPr>
          <w:pgSz w:w="11906" w:h="16838"/>
          <w:pgMar w:top="1440" w:right="1800" w:bottom="1440" w:left="1800" w:header="851" w:footer="992" w:gutter="0"/>
          <w:pgNumType w:start="1"/>
          <w:cols w:space="425" w:num="1"/>
          <w:docGrid w:type="lines" w:linePitch="312" w:charSpace="0"/>
        </w:sectPr>
      </w:pPr>
    </w:p>
    <w:p w14:paraId="7F546FA5">
      <w:pPr>
        <w:pStyle w:val="20"/>
        <w:rPr>
          <w:color w:val="auto"/>
        </w:rPr>
      </w:pPr>
    </w:p>
    <w:p w14:paraId="6CBF7047">
      <w:pPr>
        <w:spacing w:line="500" w:lineRule="exact"/>
        <w:ind w:firstLine="643" w:firstLineChars="200"/>
        <w:jc w:val="center"/>
        <w:outlineLvl w:val="0"/>
        <w:rPr>
          <w:rFonts w:ascii="宋体" w:hAnsi="宋体"/>
          <w:b/>
          <w:bCs/>
          <w:color w:val="auto"/>
          <w:sz w:val="32"/>
          <w:szCs w:val="32"/>
        </w:rPr>
      </w:pPr>
      <w:bookmarkStart w:id="30" w:name="_Toc31517"/>
      <w:bookmarkStart w:id="31" w:name="_Toc161954058"/>
      <w:r>
        <w:rPr>
          <w:rFonts w:hint="eastAsia" w:ascii="宋体" w:hAnsi="宋体"/>
          <w:b/>
          <w:bCs/>
          <w:color w:val="auto"/>
          <w:sz w:val="32"/>
          <w:szCs w:val="32"/>
        </w:rPr>
        <w:t>第三章 发展思路</w:t>
      </w:r>
      <w:bookmarkEnd w:id="30"/>
      <w:bookmarkEnd w:id="31"/>
    </w:p>
    <w:p w14:paraId="7D2CA846">
      <w:pPr>
        <w:pStyle w:val="10"/>
        <w:ind w:firstLine="0"/>
        <w:outlineLvl w:val="1"/>
        <w:rPr>
          <w:color w:val="auto"/>
        </w:rPr>
      </w:pPr>
      <w:bookmarkStart w:id="32" w:name="_Toc161954059"/>
      <w:bookmarkStart w:id="33" w:name="_Toc1057"/>
      <w:r>
        <w:rPr>
          <w:rFonts w:hint="eastAsia"/>
          <w:color w:val="auto"/>
        </w:rPr>
        <w:t>3.1 指导思想</w:t>
      </w:r>
      <w:bookmarkEnd w:id="32"/>
      <w:bookmarkEnd w:id="33"/>
    </w:p>
    <w:p w14:paraId="1DB49A4F">
      <w:pPr>
        <w:pStyle w:val="20"/>
        <w:ind w:left="0" w:leftChars="0" w:firstLine="560" w:firstLineChars="200"/>
        <w:rPr>
          <w:color w:val="auto"/>
          <w:kern w:val="2"/>
          <w:sz w:val="28"/>
          <w:szCs w:val="20"/>
        </w:rPr>
      </w:pPr>
      <w:r>
        <w:rPr>
          <w:rFonts w:hint="eastAsia"/>
          <w:color w:val="auto"/>
          <w:kern w:val="2"/>
          <w:sz w:val="28"/>
          <w:szCs w:val="20"/>
        </w:rPr>
        <w:t>以习近平新时代中国特色社会主义思想为指导，全面贯彻党的二十大精神，牢固树立和践行绿水青山就是金山银山的发展理念，以推动竹木产业高质量发展为主题，以乡村振兴战略为统揽，聚焦龙泉市战略目标，按照“提升一产、做优二产、壮大三产”的发展思路，以改善生态、改善民生为主线，以改革创新为动力，以市场需求为导向，依靠科技进步，发展竹木产业新质生产力，优化产业结构，实现一二三产业融合发展，着力抓好竹木资源培育、竹木材精深加工、产品设计制造、市场应用拓展等全链条全要素协调发展，全面融入“双循环”新发展格局，坚持走产业融合化、产品品牌化、主体多元化、经营数字化、方式绿色化的路子，着力完善发展机制、优化要素配置、调整产品结构、补齐发展短板、推进集群成链，加快构建现代竹木生产体系、产业体系、经营体系和服务体系，延伸产业链、融通供应链、提升价值链，促进竹木产业向技术创新型转变、向更加注重满足质的需求转变，把竹木产业打造成龙泉市共富产业。</w:t>
      </w:r>
    </w:p>
    <w:p w14:paraId="06EDB789">
      <w:pPr>
        <w:pStyle w:val="10"/>
        <w:ind w:firstLine="0"/>
        <w:outlineLvl w:val="1"/>
        <w:rPr>
          <w:color w:val="auto"/>
        </w:rPr>
      </w:pPr>
      <w:bookmarkStart w:id="34" w:name="_Toc161954060"/>
      <w:bookmarkStart w:id="35" w:name="_Toc25308"/>
      <w:r>
        <w:rPr>
          <w:rFonts w:hint="eastAsia"/>
          <w:color w:val="auto"/>
        </w:rPr>
        <w:t>3.2 基本原则</w:t>
      </w:r>
      <w:bookmarkEnd w:id="34"/>
      <w:bookmarkEnd w:id="35"/>
    </w:p>
    <w:p w14:paraId="6C4CCE72">
      <w:pPr>
        <w:pStyle w:val="20"/>
        <w:ind w:left="0" w:leftChars="0" w:firstLine="560" w:firstLineChars="200"/>
        <w:rPr>
          <w:color w:val="auto"/>
          <w:kern w:val="2"/>
          <w:sz w:val="28"/>
          <w:szCs w:val="20"/>
        </w:rPr>
      </w:pPr>
      <w:r>
        <w:rPr>
          <w:rFonts w:hint="eastAsia"/>
          <w:color w:val="auto"/>
          <w:kern w:val="2"/>
          <w:sz w:val="28"/>
          <w:szCs w:val="20"/>
        </w:rPr>
        <w:t>（一）保护优先，兴林富民</w:t>
      </w:r>
    </w:p>
    <w:p w14:paraId="04803BF1">
      <w:pPr>
        <w:pStyle w:val="20"/>
        <w:ind w:left="0" w:leftChars="0" w:firstLine="560" w:firstLineChars="200"/>
        <w:rPr>
          <w:color w:val="auto"/>
          <w:kern w:val="2"/>
          <w:sz w:val="28"/>
          <w:szCs w:val="20"/>
        </w:rPr>
      </w:pPr>
      <w:r>
        <w:rPr>
          <w:rFonts w:hint="eastAsia"/>
          <w:color w:val="auto"/>
          <w:kern w:val="2"/>
          <w:sz w:val="28"/>
          <w:szCs w:val="20"/>
        </w:rPr>
        <w:t>坚持 “提升一产、做优二产、壮大三产”，高品质打造竹木产业生态圈、创新竹木产业生态链，探索竹木生态价值转化路径，落实产业生态化与生态产业化要求，大力发展竹木加工绿色新产业、新业态，统筹推进龙泉竹木资源培育和开发利用，实现“生态美丽、林农富裕、产业兴旺”。</w:t>
      </w:r>
    </w:p>
    <w:p w14:paraId="60968FE4">
      <w:pPr>
        <w:pStyle w:val="20"/>
        <w:ind w:left="0" w:leftChars="0" w:firstLine="560" w:firstLineChars="200"/>
        <w:rPr>
          <w:color w:val="auto"/>
          <w:kern w:val="2"/>
          <w:sz w:val="28"/>
          <w:szCs w:val="20"/>
        </w:rPr>
      </w:pPr>
      <w:r>
        <w:rPr>
          <w:rFonts w:hint="eastAsia"/>
          <w:color w:val="auto"/>
          <w:kern w:val="2"/>
          <w:sz w:val="28"/>
          <w:szCs w:val="20"/>
        </w:rPr>
        <w:t>（二）因地制宜，合理布局</w:t>
      </w:r>
    </w:p>
    <w:p w14:paraId="33365E11">
      <w:pPr>
        <w:pStyle w:val="20"/>
        <w:ind w:left="0" w:leftChars="0" w:firstLine="560" w:firstLineChars="200"/>
        <w:rPr>
          <w:color w:val="auto"/>
          <w:kern w:val="2"/>
          <w:sz w:val="28"/>
          <w:szCs w:val="20"/>
        </w:rPr>
      </w:pPr>
      <w:r>
        <w:rPr>
          <w:rFonts w:hint="eastAsia"/>
          <w:color w:val="auto"/>
          <w:kern w:val="2"/>
          <w:sz w:val="28"/>
          <w:szCs w:val="20"/>
        </w:rPr>
        <w:t>结合竹木产业发展现状，因地制宜、分类指导，按照竹木资源综合利用、错位发展的思路，调整优化区域产业布局，充分挖掘竹木产业潜力，创新发展具有地方特色的竹木加工产业。根据当地资源状况，着力补短板、强弱项、促融合，分区分类破解竹木产业发展中存在的瓶颈问题，提升整体效益。</w:t>
      </w:r>
    </w:p>
    <w:p w14:paraId="75C79464">
      <w:pPr>
        <w:pStyle w:val="20"/>
        <w:ind w:left="0" w:leftChars="0" w:firstLine="560" w:firstLineChars="200"/>
        <w:rPr>
          <w:color w:val="auto"/>
          <w:kern w:val="2"/>
          <w:sz w:val="28"/>
          <w:szCs w:val="20"/>
        </w:rPr>
      </w:pPr>
      <w:r>
        <w:rPr>
          <w:rFonts w:hint="eastAsia"/>
          <w:color w:val="auto"/>
          <w:kern w:val="2"/>
          <w:sz w:val="28"/>
          <w:szCs w:val="20"/>
        </w:rPr>
        <w:t>（三）科技支撑，示范辐射</w:t>
      </w:r>
    </w:p>
    <w:p w14:paraId="6CDA6D1F">
      <w:pPr>
        <w:pStyle w:val="20"/>
        <w:ind w:left="0" w:leftChars="0" w:firstLine="560" w:firstLineChars="200"/>
        <w:rPr>
          <w:color w:val="auto"/>
          <w:kern w:val="2"/>
          <w:sz w:val="28"/>
          <w:szCs w:val="20"/>
        </w:rPr>
      </w:pPr>
      <w:r>
        <w:rPr>
          <w:rFonts w:hint="eastAsia"/>
          <w:color w:val="auto"/>
          <w:kern w:val="2"/>
          <w:sz w:val="28"/>
          <w:szCs w:val="20"/>
        </w:rPr>
        <w:t>加大科技投入，从科学培育、集约经营、技术创新、产品研发等方面强化科技支撑，加强科技培训，不断吸收、引进和消化应用国内外竹木产业高新技术成果，提高资源培育和产品加工的科技含量，示范辐射竹木产业的发展。</w:t>
      </w:r>
    </w:p>
    <w:p w14:paraId="423C6389">
      <w:pPr>
        <w:pStyle w:val="20"/>
        <w:ind w:left="0" w:leftChars="0" w:firstLine="560" w:firstLineChars="200"/>
        <w:rPr>
          <w:color w:val="auto"/>
          <w:kern w:val="2"/>
          <w:sz w:val="28"/>
          <w:szCs w:val="20"/>
        </w:rPr>
      </w:pPr>
      <w:r>
        <w:rPr>
          <w:rFonts w:hint="eastAsia"/>
          <w:color w:val="auto"/>
          <w:kern w:val="2"/>
          <w:sz w:val="28"/>
          <w:szCs w:val="20"/>
        </w:rPr>
        <w:t>（四）政策扶持，市场导向</w:t>
      </w:r>
    </w:p>
    <w:p w14:paraId="62A07567">
      <w:pPr>
        <w:pStyle w:val="20"/>
        <w:ind w:left="0" w:leftChars="0" w:firstLine="560" w:firstLineChars="200"/>
        <w:rPr>
          <w:color w:val="auto"/>
          <w:kern w:val="2"/>
          <w:sz w:val="28"/>
          <w:szCs w:val="20"/>
        </w:rPr>
      </w:pPr>
      <w:r>
        <w:rPr>
          <w:rFonts w:hint="eastAsia"/>
          <w:color w:val="auto"/>
          <w:kern w:val="2"/>
          <w:sz w:val="28"/>
          <w:szCs w:val="20"/>
        </w:rPr>
        <w:t>充分发挥市场对资源配置的决定性作用，优化营商环境，及时兑现、落实竹木产业“双招双引”政策，激发各类市场主体活力，增强内生发展动力。构建统一市场体系，打通市场贸易的淤点、堵点，促进生产、分配、流通、消费融入国内外市场。</w:t>
      </w:r>
    </w:p>
    <w:p w14:paraId="59DC6207">
      <w:pPr>
        <w:pStyle w:val="10"/>
        <w:ind w:firstLine="0"/>
        <w:outlineLvl w:val="1"/>
        <w:rPr>
          <w:color w:val="auto"/>
        </w:rPr>
      </w:pPr>
      <w:bookmarkStart w:id="36" w:name="_Toc161954061"/>
      <w:bookmarkStart w:id="37" w:name="_Toc263"/>
      <w:r>
        <w:rPr>
          <w:rFonts w:hint="eastAsia"/>
          <w:color w:val="auto"/>
        </w:rPr>
        <w:t>3.3 规划依据</w:t>
      </w:r>
      <w:bookmarkEnd w:id="36"/>
      <w:bookmarkEnd w:id="37"/>
    </w:p>
    <w:p w14:paraId="6F43A18E">
      <w:pPr>
        <w:pStyle w:val="20"/>
        <w:ind w:left="0" w:leftChars="0" w:firstLine="560" w:firstLineChars="200"/>
        <w:rPr>
          <w:color w:val="auto"/>
          <w:kern w:val="2"/>
          <w:sz w:val="28"/>
          <w:szCs w:val="20"/>
        </w:rPr>
      </w:pPr>
      <w:r>
        <w:rPr>
          <w:rFonts w:hint="eastAsia"/>
          <w:color w:val="auto"/>
          <w:kern w:val="2"/>
          <w:sz w:val="28"/>
          <w:szCs w:val="20"/>
        </w:rPr>
        <w:t>1、《中华人民共和国森林法》；</w:t>
      </w:r>
    </w:p>
    <w:p w14:paraId="421C9066">
      <w:pPr>
        <w:pStyle w:val="20"/>
        <w:ind w:left="0" w:leftChars="0" w:firstLine="560" w:firstLineChars="200"/>
        <w:rPr>
          <w:color w:val="auto"/>
          <w:kern w:val="2"/>
          <w:sz w:val="28"/>
          <w:szCs w:val="20"/>
        </w:rPr>
      </w:pPr>
      <w:r>
        <w:rPr>
          <w:rFonts w:hint="eastAsia"/>
          <w:color w:val="auto"/>
          <w:kern w:val="2"/>
          <w:sz w:val="28"/>
          <w:szCs w:val="20"/>
        </w:rPr>
        <w:t>2、《中华人民共和国森林法实施条例》；</w:t>
      </w:r>
    </w:p>
    <w:p w14:paraId="0F34CB73">
      <w:pPr>
        <w:pStyle w:val="20"/>
        <w:ind w:left="0" w:leftChars="0" w:firstLine="560" w:firstLineChars="200"/>
        <w:rPr>
          <w:color w:val="auto"/>
          <w:kern w:val="2"/>
          <w:sz w:val="28"/>
          <w:szCs w:val="20"/>
        </w:rPr>
      </w:pPr>
      <w:r>
        <w:rPr>
          <w:rFonts w:hint="eastAsia"/>
          <w:color w:val="auto"/>
          <w:kern w:val="2"/>
          <w:sz w:val="28"/>
          <w:szCs w:val="20"/>
        </w:rPr>
        <w:t>3、《全国竹产业发展规划(2021—2030年)》</w:t>
      </w:r>
    </w:p>
    <w:p w14:paraId="2EC7FF0B">
      <w:pPr>
        <w:pStyle w:val="20"/>
        <w:ind w:left="0" w:leftChars="0" w:firstLine="560" w:firstLineChars="200"/>
        <w:rPr>
          <w:color w:val="auto"/>
          <w:kern w:val="2"/>
          <w:sz w:val="28"/>
          <w:szCs w:val="20"/>
        </w:rPr>
      </w:pPr>
      <w:r>
        <w:rPr>
          <w:rFonts w:hint="eastAsia"/>
          <w:color w:val="auto"/>
          <w:kern w:val="2"/>
          <w:sz w:val="28"/>
          <w:szCs w:val="20"/>
        </w:rPr>
        <w:t>4、《“以竹代塑”全球行动计划（2023—2030）》</w:t>
      </w:r>
    </w:p>
    <w:p w14:paraId="1840E4D0">
      <w:pPr>
        <w:pStyle w:val="20"/>
        <w:ind w:left="0" w:leftChars="0" w:firstLine="560" w:firstLineChars="200"/>
        <w:rPr>
          <w:color w:val="auto"/>
          <w:kern w:val="2"/>
          <w:sz w:val="28"/>
          <w:szCs w:val="20"/>
        </w:rPr>
      </w:pPr>
      <w:r>
        <w:rPr>
          <w:rFonts w:hint="eastAsia"/>
          <w:color w:val="auto"/>
          <w:kern w:val="2"/>
          <w:sz w:val="28"/>
          <w:szCs w:val="20"/>
        </w:rPr>
        <w:t>5、《加快“以竹代塑”发展三年行动计划》</w:t>
      </w:r>
    </w:p>
    <w:p w14:paraId="3D952386">
      <w:pPr>
        <w:pStyle w:val="20"/>
        <w:ind w:left="0" w:leftChars="0" w:firstLine="560" w:firstLineChars="200"/>
        <w:rPr>
          <w:color w:val="auto"/>
          <w:kern w:val="2"/>
          <w:sz w:val="28"/>
          <w:szCs w:val="20"/>
        </w:rPr>
      </w:pPr>
      <w:r>
        <w:rPr>
          <w:rFonts w:hint="eastAsia"/>
          <w:color w:val="auto"/>
          <w:kern w:val="2"/>
          <w:sz w:val="28"/>
          <w:szCs w:val="20"/>
        </w:rPr>
        <w:t>6、《关于加快全国竹产业发展的指导意见》（国家林业和草原局，2020年12月）；</w:t>
      </w:r>
    </w:p>
    <w:p w14:paraId="38BC9C7D">
      <w:pPr>
        <w:pStyle w:val="20"/>
        <w:ind w:left="0" w:leftChars="0" w:firstLine="560" w:firstLineChars="200"/>
        <w:rPr>
          <w:color w:val="auto"/>
          <w:kern w:val="2"/>
          <w:sz w:val="28"/>
          <w:szCs w:val="20"/>
        </w:rPr>
      </w:pPr>
      <w:r>
        <w:rPr>
          <w:rFonts w:hint="eastAsia"/>
          <w:color w:val="auto"/>
          <w:kern w:val="2"/>
          <w:sz w:val="28"/>
          <w:szCs w:val="20"/>
        </w:rPr>
        <w:t>7、《浙江省国民经济和社会发展第十四个五年规划和二〇三五年远景目标纲要》（2021年1月）；</w:t>
      </w:r>
    </w:p>
    <w:p w14:paraId="148B9EB9">
      <w:pPr>
        <w:pStyle w:val="20"/>
        <w:ind w:left="0" w:leftChars="0" w:firstLine="560" w:firstLineChars="200"/>
        <w:rPr>
          <w:color w:val="auto"/>
          <w:kern w:val="2"/>
          <w:sz w:val="28"/>
          <w:szCs w:val="20"/>
        </w:rPr>
      </w:pPr>
      <w:r>
        <w:rPr>
          <w:rFonts w:hint="eastAsia"/>
          <w:color w:val="auto"/>
          <w:kern w:val="2"/>
          <w:sz w:val="28"/>
          <w:szCs w:val="20"/>
        </w:rPr>
        <w:t>8、《浙江省林业发展“十四五”规划》；</w:t>
      </w:r>
    </w:p>
    <w:p w14:paraId="4A2E3649">
      <w:pPr>
        <w:pStyle w:val="20"/>
        <w:ind w:left="0" w:leftChars="0" w:firstLine="560" w:firstLineChars="200"/>
        <w:rPr>
          <w:color w:val="auto"/>
          <w:kern w:val="2"/>
          <w:sz w:val="28"/>
          <w:szCs w:val="20"/>
        </w:rPr>
      </w:pPr>
      <w:r>
        <w:rPr>
          <w:rFonts w:hint="eastAsia"/>
          <w:color w:val="auto"/>
          <w:kern w:val="2"/>
          <w:sz w:val="28"/>
          <w:szCs w:val="20"/>
        </w:rPr>
        <w:t>9、《浙江省林区道路建设中长期规划（2021-2030年）》；</w:t>
      </w:r>
    </w:p>
    <w:p w14:paraId="3DBB9AB6">
      <w:pPr>
        <w:pStyle w:val="20"/>
        <w:ind w:left="0" w:leftChars="0" w:firstLine="560" w:firstLineChars="200"/>
        <w:rPr>
          <w:color w:val="auto"/>
          <w:kern w:val="2"/>
          <w:sz w:val="28"/>
          <w:szCs w:val="20"/>
        </w:rPr>
      </w:pPr>
      <w:r>
        <w:rPr>
          <w:rFonts w:hint="eastAsia"/>
          <w:color w:val="auto"/>
          <w:kern w:val="2"/>
          <w:sz w:val="28"/>
          <w:szCs w:val="20"/>
        </w:rPr>
        <w:t>10、《浙江省林业局等8部门关于推进竹产业高质量发展的意见》（浙林改〔2020〕38号）；</w:t>
      </w:r>
    </w:p>
    <w:p w14:paraId="4CDCF337">
      <w:pPr>
        <w:pStyle w:val="20"/>
        <w:ind w:left="0" w:leftChars="0" w:firstLine="560" w:firstLineChars="200"/>
        <w:rPr>
          <w:color w:val="auto"/>
          <w:kern w:val="2"/>
          <w:sz w:val="28"/>
          <w:szCs w:val="20"/>
        </w:rPr>
      </w:pPr>
      <w:bookmarkStart w:id="38" w:name="_Toc21513"/>
      <w:bookmarkStart w:id="39" w:name="_Toc5993"/>
      <w:bookmarkStart w:id="40" w:name="_Toc21412"/>
      <w:r>
        <w:rPr>
          <w:rFonts w:hint="eastAsia"/>
          <w:color w:val="auto"/>
          <w:kern w:val="2"/>
          <w:sz w:val="28"/>
          <w:szCs w:val="20"/>
        </w:rPr>
        <w:t>11、《浙江省自然保护地总体布局和发展“十四五”规划》；</w:t>
      </w:r>
      <w:bookmarkEnd w:id="38"/>
      <w:bookmarkEnd w:id="39"/>
      <w:bookmarkEnd w:id="40"/>
    </w:p>
    <w:p w14:paraId="2B1EC7B9">
      <w:pPr>
        <w:pStyle w:val="20"/>
        <w:ind w:left="0" w:leftChars="0" w:firstLine="560" w:firstLineChars="200"/>
        <w:rPr>
          <w:color w:val="auto"/>
          <w:kern w:val="2"/>
          <w:sz w:val="28"/>
          <w:szCs w:val="20"/>
        </w:rPr>
      </w:pPr>
      <w:r>
        <w:rPr>
          <w:rFonts w:hint="eastAsia"/>
          <w:color w:val="auto"/>
          <w:kern w:val="2"/>
          <w:sz w:val="28"/>
          <w:szCs w:val="20"/>
        </w:rPr>
        <w:t>12、《浙江省山区26县跨越式高质量发展实施方案（</w:t>
      </w:r>
      <w:r>
        <w:rPr>
          <w:rFonts w:hint="eastAsia"/>
          <w:color w:val="auto"/>
          <w:kern w:val="2"/>
          <w:sz w:val="28"/>
          <w:szCs w:val="20"/>
          <w:lang w:eastAsia="zh-CN"/>
        </w:rPr>
        <w:t>2024-2028</w:t>
      </w:r>
      <w:r>
        <w:rPr>
          <w:rFonts w:hint="eastAsia"/>
          <w:color w:val="auto"/>
          <w:kern w:val="2"/>
          <w:sz w:val="28"/>
          <w:szCs w:val="20"/>
        </w:rPr>
        <w:t>年）》；</w:t>
      </w:r>
    </w:p>
    <w:p w14:paraId="20284FFF">
      <w:pPr>
        <w:pStyle w:val="20"/>
        <w:ind w:left="0" w:leftChars="0" w:firstLine="560" w:firstLineChars="200"/>
        <w:rPr>
          <w:color w:val="auto"/>
          <w:kern w:val="2"/>
          <w:sz w:val="28"/>
          <w:szCs w:val="20"/>
        </w:rPr>
      </w:pPr>
      <w:r>
        <w:rPr>
          <w:rFonts w:hint="eastAsia"/>
          <w:color w:val="auto"/>
          <w:kern w:val="2"/>
          <w:sz w:val="28"/>
          <w:szCs w:val="20"/>
        </w:rPr>
        <w:t>13、</w:t>
      </w:r>
      <w:r>
        <w:rPr>
          <w:color w:val="auto"/>
          <w:kern w:val="2"/>
          <w:sz w:val="28"/>
          <w:szCs w:val="20"/>
        </w:rPr>
        <w:t>《丽水市生态工业发展“十四五”规划》</w:t>
      </w:r>
    </w:p>
    <w:p w14:paraId="0AC7E1A6">
      <w:pPr>
        <w:pStyle w:val="20"/>
        <w:ind w:left="0" w:leftChars="0" w:firstLine="560" w:firstLineChars="200"/>
        <w:rPr>
          <w:color w:val="auto"/>
          <w:kern w:val="2"/>
          <w:sz w:val="28"/>
          <w:szCs w:val="20"/>
        </w:rPr>
      </w:pPr>
      <w:r>
        <w:rPr>
          <w:rFonts w:hint="eastAsia"/>
          <w:color w:val="auto"/>
          <w:kern w:val="2"/>
          <w:sz w:val="28"/>
          <w:szCs w:val="20"/>
        </w:rPr>
        <w:t>14、《龙泉市国民经济和社会发展第十四个五年规划和二零三五年远景目标纲要》；</w:t>
      </w:r>
    </w:p>
    <w:p w14:paraId="40998770">
      <w:pPr>
        <w:pStyle w:val="20"/>
        <w:ind w:left="0" w:leftChars="0" w:firstLine="560" w:firstLineChars="200"/>
        <w:rPr>
          <w:color w:val="auto"/>
          <w:kern w:val="2"/>
          <w:sz w:val="28"/>
          <w:szCs w:val="20"/>
        </w:rPr>
      </w:pPr>
      <w:bookmarkStart w:id="41" w:name="_Toc4446"/>
      <w:bookmarkStart w:id="42" w:name="_Toc32506"/>
      <w:bookmarkStart w:id="43" w:name="_Toc20824"/>
      <w:r>
        <w:rPr>
          <w:rFonts w:hint="eastAsia"/>
          <w:color w:val="auto"/>
          <w:kern w:val="2"/>
          <w:sz w:val="28"/>
          <w:szCs w:val="20"/>
        </w:rPr>
        <w:t>15、《高水平建设美丽龙泉规划纲要（2020-2035年）》；</w:t>
      </w:r>
      <w:bookmarkEnd w:id="41"/>
      <w:bookmarkEnd w:id="42"/>
      <w:bookmarkEnd w:id="43"/>
    </w:p>
    <w:p w14:paraId="2D5A7513">
      <w:pPr>
        <w:pStyle w:val="20"/>
        <w:ind w:left="0" w:leftChars="0" w:firstLine="560" w:firstLineChars="200"/>
        <w:rPr>
          <w:color w:val="auto"/>
          <w:kern w:val="2"/>
          <w:sz w:val="28"/>
          <w:szCs w:val="20"/>
        </w:rPr>
      </w:pPr>
      <w:r>
        <w:rPr>
          <w:rFonts w:hint="eastAsia"/>
          <w:color w:val="auto"/>
          <w:kern w:val="2"/>
          <w:sz w:val="28"/>
          <w:szCs w:val="20"/>
        </w:rPr>
        <w:t>16、《浙江龙泉市国土空间总体规划（2021-2035）》</w:t>
      </w:r>
    </w:p>
    <w:p w14:paraId="112492D0">
      <w:pPr>
        <w:pStyle w:val="20"/>
        <w:ind w:left="0" w:leftChars="0" w:firstLine="560" w:firstLineChars="200"/>
        <w:rPr>
          <w:color w:val="auto"/>
          <w:kern w:val="2"/>
          <w:sz w:val="28"/>
          <w:szCs w:val="20"/>
        </w:rPr>
      </w:pPr>
      <w:r>
        <w:rPr>
          <w:rFonts w:hint="eastAsia"/>
          <w:color w:val="auto"/>
          <w:kern w:val="2"/>
          <w:sz w:val="28"/>
          <w:szCs w:val="20"/>
        </w:rPr>
        <w:t>17、《龙泉市国土绿化建设规划（2020-2024年）》；</w:t>
      </w:r>
    </w:p>
    <w:p w14:paraId="5BFCBAB6">
      <w:pPr>
        <w:pStyle w:val="20"/>
        <w:ind w:left="0" w:leftChars="0" w:firstLine="560" w:firstLineChars="200"/>
        <w:rPr>
          <w:color w:val="auto"/>
          <w:kern w:val="2"/>
          <w:sz w:val="28"/>
          <w:szCs w:val="20"/>
        </w:rPr>
      </w:pPr>
      <w:r>
        <w:rPr>
          <w:rFonts w:hint="eastAsia"/>
          <w:color w:val="auto"/>
          <w:kern w:val="2"/>
          <w:sz w:val="28"/>
          <w:szCs w:val="20"/>
        </w:rPr>
        <w:t>18、《龙泉市综合交通运输发展“十四五”规划》</w:t>
      </w:r>
    </w:p>
    <w:p w14:paraId="7FB13956">
      <w:pPr>
        <w:pStyle w:val="20"/>
        <w:ind w:left="0" w:leftChars="0" w:firstLine="560" w:firstLineChars="200"/>
        <w:rPr>
          <w:color w:val="auto"/>
          <w:kern w:val="2"/>
          <w:sz w:val="28"/>
          <w:szCs w:val="20"/>
        </w:rPr>
      </w:pPr>
      <w:r>
        <w:rPr>
          <w:rFonts w:hint="eastAsia"/>
          <w:color w:val="auto"/>
          <w:kern w:val="2"/>
          <w:sz w:val="28"/>
          <w:szCs w:val="20"/>
        </w:rPr>
        <w:t>19、《龙泉市林业发展“十四五”规划》；</w:t>
      </w:r>
    </w:p>
    <w:p w14:paraId="3C1BDAC7">
      <w:pPr>
        <w:pStyle w:val="20"/>
        <w:ind w:left="0" w:leftChars="0" w:firstLine="560" w:firstLineChars="200"/>
        <w:rPr>
          <w:color w:val="auto"/>
          <w:kern w:val="2"/>
          <w:sz w:val="28"/>
          <w:szCs w:val="20"/>
        </w:rPr>
      </w:pPr>
      <w:r>
        <w:rPr>
          <w:rFonts w:hint="eastAsia"/>
          <w:color w:val="auto"/>
          <w:kern w:val="2"/>
          <w:sz w:val="28"/>
          <w:szCs w:val="20"/>
        </w:rPr>
        <w:t>20、《龙泉市小微企业园高质量发展五年规划（2018-2022年）》；</w:t>
      </w:r>
    </w:p>
    <w:p w14:paraId="5B538D6B">
      <w:pPr>
        <w:pStyle w:val="20"/>
        <w:ind w:left="0" w:leftChars="0" w:firstLine="560" w:firstLineChars="200"/>
        <w:rPr>
          <w:color w:val="auto"/>
          <w:kern w:val="2"/>
          <w:sz w:val="28"/>
          <w:szCs w:val="20"/>
        </w:rPr>
      </w:pPr>
      <w:bookmarkStart w:id="44" w:name="_Toc9938"/>
      <w:bookmarkStart w:id="45" w:name="_Toc25488"/>
      <w:bookmarkStart w:id="46" w:name="_Toc26177"/>
      <w:r>
        <w:rPr>
          <w:rFonts w:hint="eastAsia"/>
          <w:color w:val="auto"/>
          <w:kern w:val="2"/>
          <w:sz w:val="28"/>
          <w:szCs w:val="20"/>
        </w:rPr>
        <w:t>21、《龙泉市全域旅游总体规划（2018-2035年）》；</w:t>
      </w:r>
      <w:bookmarkEnd w:id="44"/>
      <w:bookmarkEnd w:id="45"/>
      <w:bookmarkEnd w:id="46"/>
    </w:p>
    <w:p w14:paraId="32EC334E">
      <w:pPr>
        <w:pStyle w:val="20"/>
        <w:ind w:left="0" w:leftChars="0" w:firstLine="560" w:firstLineChars="200"/>
        <w:rPr>
          <w:color w:val="auto"/>
          <w:kern w:val="2"/>
          <w:sz w:val="28"/>
          <w:szCs w:val="20"/>
        </w:rPr>
      </w:pPr>
      <w:r>
        <w:rPr>
          <w:rFonts w:hint="eastAsia"/>
          <w:color w:val="auto"/>
          <w:kern w:val="2"/>
          <w:sz w:val="28"/>
          <w:szCs w:val="20"/>
        </w:rPr>
        <w:t>22、《浙江省龙泉市林场森林经营方案（2018-2027年）》；</w:t>
      </w:r>
    </w:p>
    <w:p w14:paraId="07883BAA">
      <w:pPr>
        <w:pStyle w:val="20"/>
        <w:ind w:left="0" w:leftChars="0" w:firstLine="560" w:firstLineChars="200"/>
        <w:rPr>
          <w:color w:val="auto"/>
          <w:kern w:val="2"/>
          <w:sz w:val="28"/>
          <w:szCs w:val="20"/>
        </w:rPr>
      </w:pPr>
      <w:r>
        <w:rPr>
          <w:rFonts w:hint="eastAsia"/>
          <w:color w:val="auto"/>
          <w:kern w:val="2"/>
          <w:sz w:val="28"/>
          <w:szCs w:val="20"/>
        </w:rPr>
        <w:t>23、国家的有关道路、林道、小微工业园区等建设的政策、法规、规范、技术标准、规定；</w:t>
      </w:r>
    </w:p>
    <w:p w14:paraId="61E75539">
      <w:pPr>
        <w:pStyle w:val="20"/>
        <w:ind w:left="0" w:leftChars="0" w:firstLine="560" w:firstLineChars="200"/>
        <w:rPr>
          <w:color w:val="auto"/>
          <w:kern w:val="2"/>
          <w:sz w:val="28"/>
          <w:szCs w:val="20"/>
        </w:rPr>
      </w:pPr>
      <w:r>
        <w:rPr>
          <w:rFonts w:hint="eastAsia"/>
          <w:color w:val="auto"/>
          <w:kern w:val="2"/>
          <w:sz w:val="28"/>
          <w:szCs w:val="20"/>
        </w:rPr>
        <w:t>24、其它相关文件资料。</w:t>
      </w:r>
    </w:p>
    <w:p w14:paraId="3EAD0692">
      <w:pPr>
        <w:pStyle w:val="10"/>
        <w:ind w:firstLine="0"/>
        <w:outlineLvl w:val="1"/>
        <w:rPr>
          <w:color w:val="auto"/>
        </w:rPr>
      </w:pPr>
      <w:bookmarkStart w:id="47" w:name="_Toc16479"/>
      <w:bookmarkStart w:id="48" w:name="_Toc67173637"/>
      <w:bookmarkStart w:id="49" w:name="_Toc161954062"/>
      <w:r>
        <w:rPr>
          <w:rFonts w:hint="eastAsia"/>
          <w:color w:val="auto"/>
        </w:rPr>
        <w:t>3.4规划期限</w:t>
      </w:r>
      <w:bookmarkEnd w:id="47"/>
      <w:bookmarkEnd w:id="48"/>
      <w:bookmarkEnd w:id="49"/>
    </w:p>
    <w:p w14:paraId="19C24671">
      <w:pPr>
        <w:pStyle w:val="20"/>
        <w:ind w:left="0" w:leftChars="0" w:firstLine="560" w:firstLineChars="200"/>
        <w:rPr>
          <w:color w:val="auto"/>
          <w:kern w:val="2"/>
          <w:sz w:val="28"/>
          <w:szCs w:val="20"/>
        </w:rPr>
      </w:pPr>
      <w:r>
        <w:rPr>
          <w:rFonts w:hint="eastAsia"/>
          <w:color w:val="auto"/>
          <w:kern w:val="2"/>
          <w:sz w:val="28"/>
          <w:szCs w:val="20"/>
        </w:rPr>
        <w:t>龙泉市竹木产业发展规划期限为5年，即2023年-2027年。</w:t>
      </w:r>
    </w:p>
    <w:p w14:paraId="70823E8A">
      <w:pPr>
        <w:pStyle w:val="10"/>
        <w:ind w:firstLine="0"/>
        <w:outlineLvl w:val="1"/>
        <w:rPr>
          <w:color w:val="auto"/>
        </w:rPr>
      </w:pPr>
      <w:bookmarkStart w:id="50" w:name="_Toc6657"/>
      <w:bookmarkStart w:id="51" w:name="_Toc161954063"/>
      <w:r>
        <w:rPr>
          <w:rFonts w:hint="eastAsia"/>
          <w:color w:val="auto"/>
        </w:rPr>
        <w:t>3.5 发展目标</w:t>
      </w:r>
      <w:bookmarkEnd w:id="50"/>
      <w:bookmarkEnd w:id="51"/>
    </w:p>
    <w:p w14:paraId="0C2672E6">
      <w:pPr>
        <w:pStyle w:val="20"/>
        <w:ind w:left="0" w:leftChars="0" w:firstLine="560" w:firstLineChars="200"/>
        <w:rPr>
          <w:color w:val="auto"/>
          <w:kern w:val="2"/>
          <w:sz w:val="28"/>
          <w:szCs w:val="20"/>
        </w:rPr>
      </w:pPr>
      <w:r>
        <w:rPr>
          <w:rFonts w:hint="eastAsia"/>
          <w:color w:val="auto"/>
          <w:kern w:val="2"/>
          <w:sz w:val="28"/>
          <w:szCs w:val="20"/>
        </w:rPr>
        <w:t>（一）总体目标</w:t>
      </w:r>
    </w:p>
    <w:p w14:paraId="091BC868">
      <w:pPr>
        <w:pStyle w:val="20"/>
        <w:ind w:left="0" w:leftChars="0" w:firstLine="560" w:firstLineChars="200"/>
        <w:rPr>
          <w:color w:val="auto"/>
          <w:kern w:val="2"/>
          <w:sz w:val="28"/>
          <w:szCs w:val="20"/>
        </w:rPr>
      </w:pPr>
      <w:r>
        <w:rPr>
          <w:rFonts w:hint="eastAsia" w:asciiTheme="majorEastAsia" w:hAnsiTheme="majorEastAsia" w:eastAsiaTheme="majorEastAsia"/>
          <w:bCs/>
          <w:color w:val="auto"/>
          <w:kern w:val="44"/>
          <w:sz w:val="28"/>
          <w:szCs w:val="28"/>
        </w:rPr>
        <w:t>以习近平新时代中国特色社会主义思想为指导，坚持“绿水青山就是金山银山”的发展理念，弘扬“剑瓷品质 极致匠心”龙泉精神，以生</w:t>
      </w:r>
      <w:r>
        <w:rPr>
          <w:rFonts w:hint="eastAsia"/>
          <w:color w:val="auto"/>
          <w:kern w:val="2"/>
          <w:sz w:val="28"/>
          <w:szCs w:val="20"/>
        </w:rPr>
        <w:t>态文明建设为中心，以创新协同发展为要点，按照“提升一产、做优二产、壮大三产”的思路，实现三产融合发展，努力把竹木产业打造成共富产业。</w:t>
      </w:r>
    </w:p>
    <w:p w14:paraId="2D26C8BA">
      <w:pPr>
        <w:pStyle w:val="20"/>
        <w:ind w:left="0" w:leftChars="0" w:firstLine="560" w:firstLineChars="200"/>
        <w:rPr>
          <w:color w:val="auto"/>
          <w:kern w:val="2"/>
          <w:sz w:val="28"/>
          <w:szCs w:val="20"/>
        </w:rPr>
      </w:pPr>
      <w:r>
        <w:rPr>
          <w:rFonts w:hint="eastAsia"/>
          <w:color w:val="auto"/>
          <w:kern w:val="2"/>
          <w:sz w:val="28"/>
          <w:szCs w:val="20"/>
        </w:rPr>
        <w:t>（二）具体目标</w:t>
      </w:r>
    </w:p>
    <w:p w14:paraId="38CAB688">
      <w:pPr>
        <w:pStyle w:val="20"/>
        <w:ind w:left="0" w:leftChars="0" w:firstLine="560" w:firstLineChars="200"/>
        <w:rPr>
          <w:color w:val="auto"/>
          <w:kern w:val="2"/>
          <w:sz w:val="28"/>
          <w:szCs w:val="20"/>
        </w:rPr>
      </w:pPr>
      <w:r>
        <w:rPr>
          <w:rFonts w:hint="eastAsia"/>
          <w:color w:val="auto"/>
          <w:kern w:val="2"/>
          <w:sz w:val="28"/>
          <w:szCs w:val="20"/>
        </w:rPr>
        <w:t>规划目标，到2027年，竹林面积稳定在61万亩，打造现代竹木产业基地30万亩。鲜竹笋产量突破8万吨，竹笋加工量1万吨，竹木产业产值突破100亿元，其中，竹产业产值突破55亿元、木材产业产值突破45亿元。打造省级现代竹产业园区1个，新增竹区道路300公里，竹农人均竹产业年收入增加1200元。</w:t>
      </w:r>
    </w:p>
    <w:p w14:paraId="13498C8C">
      <w:pPr>
        <w:pStyle w:val="20"/>
        <w:ind w:left="0" w:leftChars="0" w:firstLine="562" w:firstLineChars="200"/>
        <w:jc w:val="center"/>
        <w:rPr>
          <w:b/>
          <w:bCs/>
          <w:color w:val="auto"/>
          <w:kern w:val="2"/>
          <w:sz w:val="28"/>
          <w:szCs w:val="20"/>
        </w:rPr>
      </w:pPr>
      <w:r>
        <w:rPr>
          <w:rFonts w:hint="eastAsia"/>
          <w:b/>
          <w:bCs/>
          <w:color w:val="auto"/>
          <w:kern w:val="2"/>
          <w:sz w:val="28"/>
          <w:szCs w:val="20"/>
        </w:rPr>
        <w:t>龙泉市“</w:t>
      </w:r>
      <w:r>
        <w:rPr>
          <w:rFonts w:hint="eastAsia"/>
          <w:b/>
          <w:bCs/>
          <w:color w:val="auto"/>
          <w:kern w:val="2"/>
          <w:sz w:val="28"/>
          <w:szCs w:val="20"/>
          <w:lang w:eastAsia="zh-CN"/>
        </w:rPr>
        <w:t>2024-2028</w:t>
      </w:r>
      <w:r>
        <w:rPr>
          <w:rFonts w:hint="eastAsia"/>
          <w:b/>
          <w:bCs/>
          <w:color w:val="auto"/>
          <w:kern w:val="2"/>
          <w:sz w:val="28"/>
          <w:szCs w:val="20"/>
        </w:rPr>
        <w:t>”竹木产业发展主要指标表</w:t>
      </w:r>
    </w:p>
    <w:tbl>
      <w:tblPr>
        <w:tblStyle w:val="21"/>
        <w:tblW w:w="0" w:type="auto"/>
        <w:jc w:val="center"/>
        <w:tblCellSpacing w:w="0" w:type="dxa"/>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889"/>
        <w:gridCol w:w="2155"/>
        <w:gridCol w:w="2034"/>
      </w:tblGrid>
      <w:tr w14:paraId="1695B441">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37"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1C389C41">
            <w:pPr>
              <w:pStyle w:val="18"/>
              <w:ind w:firstLine="482"/>
              <w:rPr>
                <w:color w:val="auto"/>
              </w:rPr>
            </w:pPr>
            <w:r>
              <w:rPr>
                <w:rStyle w:val="24"/>
                <w:rFonts w:hint="eastAsia" w:asciiTheme="minorEastAsia" w:hAnsiTheme="minorEastAsia" w:cstheme="minorEastAsia"/>
                <w:color w:val="auto"/>
              </w:rPr>
              <w:t>指标名称</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474B5288">
            <w:pPr>
              <w:pStyle w:val="18"/>
              <w:ind w:firstLine="482"/>
              <w:rPr>
                <w:color w:val="auto"/>
              </w:rPr>
            </w:pPr>
            <w:r>
              <w:rPr>
                <w:rStyle w:val="24"/>
                <w:rFonts w:hint="eastAsia" w:asciiTheme="minorEastAsia" w:hAnsiTheme="minorEastAsia" w:cstheme="minorEastAsia"/>
                <w:color w:val="auto"/>
              </w:rPr>
              <w:t>202</w:t>
            </w:r>
            <w:r>
              <w:rPr>
                <w:rStyle w:val="24"/>
                <w:rFonts w:hint="eastAsia" w:asciiTheme="minorEastAsia" w:hAnsiTheme="minorEastAsia" w:cstheme="minorEastAsia"/>
                <w:color w:val="auto"/>
                <w:lang w:val="en-US" w:eastAsia="zh-CN"/>
              </w:rPr>
              <w:t>4</w:t>
            </w:r>
            <w:r>
              <w:rPr>
                <w:rStyle w:val="24"/>
                <w:rFonts w:hint="eastAsia" w:asciiTheme="minorEastAsia" w:hAnsiTheme="minorEastAsia" w:cstheme="minorEastAsia"/>
                <w:color w:val="auto"/>
              </w:rPr>
              <w:t>年</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68CEA218">
            <w:pPr>
              <w:pStyle w:val="18"/>
              <w:ind w:firstLine="482"/>
              <w:rPr>
                <w:color w:val="auto"/>
              </w:rPr>
            </w:pPr>
            <w:r>
              <w:rPr>
                <w:rStyle w:val="24"/>
                <w:rFonts w:hint="eastAsia" w:asciiTheme="minorEastAsia" w:hAnsiTheme="minorEastAsia" w:cstheme="minorEastAsia"/>
                <w:color w:val="auto"/>
              </w:rPr>
              <w:t>202</w:t>
            </w:r>
            <w:r>
              <w:rPr>
                <w:rStyle w:val="24"/>
                <w:rFonts w:hint="eastAsia" w:asciiTheme="minorEastAsia" w:hAnsiTheme="minorEastAsia" w:cstheme="minorEastAsia"/>
                <w:color w:val="auto"/>
                <w:lang w:val="en-US" w:eastAsia="zh-CN"/>
              </w:rPr>
              <w:t>8</w:t>
            </w:r>
            <w:r>
              <w:rPr>
                <w:rStyle w:val="24"/>
                <w:rFonts w:hint="eastAsia" w:asciiTheme="minorEastAsia" w:hAnsiTheme="minorEastAsia" w:cstheme="minorEastAsia"/>
                <w:color w:val="auto"/>
              </w:rPr>
              <w:t>年</w:t>
            </w:r>
          </w:p>
        </w:tc>
      </w:tr>
      <w:tr w14:paraId="6F878F23">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1F36C549">
            <w:pPr>
              <w:pStyle w:val="18"/>
              <w:ind w:firstLine="480"/>
              <w:rPr>
                <w:color w:val="auto"/>
              </w:rPr>
            </w:pPr>
            <w:r>
              <w:rPr>
                <w:rFonts w:hint="eastAsia"/>
                <w:color w:val="auto"/>
              </w:rPr>
              <w:t>竹木产业产值（亿元）</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214C2F0E">
            <w:pPr>
              <w:pStyle w:val="18"/>
              <w:ind w:firstLine="480"/>
              <w:rPr>
                <w:color w:val="auto"/>
              </w:rPr>
            </w:pPr>
            <w:r>
              <w:rPr>
                <w:rFonts w:hint="eastAsia"/>
                <w:color w:val="auto"/>
              </w:rPr>
              <w:t>67</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1C28EB83">
            <w:pPr>
              <w:pStyle w:val="18"/>
              <w:ind w:firstLine="480"/>
              <w:rPr>
                <w:color w:val="auto"/>
              </w:rPr>
            </w:pPr>
            <w:r>
              <w:rPr>
                <w:rFonts w:hint="eastAsia"/>
                <w:color w:val="auto"/>
              </w:rPr>
              <w:t>100</w:t>
            </w:r>
          </w:p>
        </w:tc>
      </w:tr>
      <w:tr w14:paraId="618201F6">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1DE34366">
            <w:pPr>
              <w:pStyle w:val="18"/>
              <w:ind w:firstLine="480"/>
              <w:rPr>
                <w:color w:val="auto"/>
              </w:rPr>
            </w:pPr>
            <w:r>
              <w:rPr>
                <w:rFonts w:hint="eastAsia"/>
                <w:color w:val="auto"/>
              </w:rPr>
              <w:t>产值超亿元企业（家）</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39835F90">
            <w:pPr>
              <w:pStyle w:val="18"/>
              <w:ind w:firstLine="480"/>
              <w:rPr>
                <w:color w:val="auto"/>
              </w:rPr>
            </w:pPr>
            <w:r>
              <w:rPr>
                <w:rFonts w:hint="eastAsia"/>
                <w:color w:val="auto"/>
              </w:rPr>
              <w:t>5</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3685A0DA">
            <w:pPr>
              <w:pStyle w:val="18"/>
              <w:ind w:firstLine="480"/>
              <w:rPr>
                <w:color w:val="auto"/>
              </w:rPr>
            </w:pPr>
            <w:r>
              <w:rPr>
                <w:rFonts w:hint="eastAsia"/>
                <w:color w:val="auto"/>
              </w:rPr>
              <w:t>8</w:t>
            </w:r>
          </w:p>
        </w:tc>
      </w:tr>
      <w:tr w14:paraId="645241A7">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14E1514A">
            <w:pPr>
              <w:pStyle w:val="18"/>
              <w:ind w:firstLine="480"/>
              <w:rPr>
                <w:color w:val="auto"/>
              </w:rPr>
            </w:pPr>
            <w:r>
              <w:rPr>
                <w:rFonts w:hint="eastAsia"/>
                <w:color w:val="auto"/>
              </w:rPr>
              <w:t>产值超</w:t>
            </w:r>
            <w:r>
              <w:rPr>
                <w:color w:val="auto"/>
              </w:rPr>
              <w:t>5000</w:t>
            </w:r>
            <w:r>
              <w:rPr>
                <w:rFonts w:hint="eastAsia"/>
                <w:color w:val="auto"/>
              </w:rPr>
              <w:t>万元企业（家）</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204B19B5">
            <w:pPr>
              <w:pStyle w:val="18"/>
              <w:ind w:firstLine="480"/>
              <w:rPr>
                <w:color w:val="auto"/>
              </w:rPr>
            </w:pPr>
            <w:r>
              <w:rPr>
                <w:rFonts w:hint="eastAsia"/>
                <w:color w:val="auto"/>
              </w:rPr>
              <w:t>10</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27F927F4">
            <w:pPr>
              <w:pStyle w:val="18"/>
              <w:ind w:firstLine="480"/>
              <w:rPr>
                <w:color w:val="auto"/>
              </w:rPr>
            </w:pPr>
            <w:r>
              <w:rPr>
                <w:rFonts w:hint="eastAsia"/>
                <w:color w:val="auto"/>
              </w:rPr>
              <w:t>15</w:t>
            </w:r>
          </w:p>
        </w:tc>
      </w:tr>
      <w:tr w14:paraId="691D8234">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45DF3B6E">
            <w:pPr>
              <w:pStyle w:val="18"/>
              <w:ind w:firstLine="480"/>
              <w:rPr>
                <w:color w:val="auto"/>
              </w:rPr>
            </w:pPr>
            <w:r>
              <w:rPr>
                <w:rFonts w:hint="eastAsia"/>
                <w:color w:val="auto"/>
              </w:rPr>
              <w:t>产值超</w:t>
            </w:r>
            <w:r>
              <w:rPr>
                <w:color w:val="auto"/>
              </w:rPr>
              <w:t>2000</w:t>
            </w:r>
            <w:r>
              <w:rPr>
                <w:rFonts w:hint="eastAsia"/>
                <w:color w:val="auto"/>
              </w:rPr>
              <w:t>万元企业（家）</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519FD27A">
            <w:pPr>
              <w:pStyle w:val="18"/>
              <w:ind w:firstLine="480"/>
              <w:rPr>
                <w:color w:val="auto"/>
              </w:rPr>
            </w:pPr>
            <w:r>
              <w:rPr>
                <w:rFonts w:hint="eastAsia"/>
                <w:color w:val="auto"/>
              </w:rPr>
              <w:t>34</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1915B751">
            <w:pPr>
              <w:pStyle w:val="18"/>
              <w:ind w:firstLine="480"/>
              <w:rPr>
                <w:color w:val="auto"/>
              </w:rPr>
            </w:pPr>
            <w:r>
              <w:rPr>
                <w:rFonts w:hint="eastAsia"/>
                <w:color w:val="auto"/>
              </w:rPr>
              <w:t>50</w:t>
            </w:r>
          </w:p>
        </w:tc>
      </w:tr>
      <w:tr w14:paraId="571388CD">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6F005422">
            <w:pPr>
              <w:pStyle w:val="18"/>
              <w:ind w:firstLine="480"/>
              <w:rPr>
                <w:color w:val="auto"/>
              </w:rPr>
            </w:pPr>
            <w:r>
              <w:rPr>
                <w:rFonts w:hint="eastAsia"/>
                <w:color w:val="auto"/>
              </w:rPr>
              <w:t>竹林示范基地（万亩）</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10B41790">
            <w:pPr>
              <w:pStyle w:val="18"/>
              <w:ind w:firstLine="480"/>
              <w:rPr>
                <w:color w:val="auto"/>
              </w:rPr>
            </w:pPr>
            <w:r>
              <w:rPr>
                <w:rFonts w:hint="eastAsia"/>
                <w:color w:val="auto"/>
              </w:rPr>
              <w:t>25</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02696FC1">
            <w:pPr>
              <w:pStyle w:val="18"/>
              <w:ind w:firstLine="480"/>
              <w:rPr>
                <w:color w:val="auto"/>
              </w:rPr>
            </w:pPr>
            <w:r>
              <w:rPr>
                <w:rFonts w:hint="eastAsia"/>
                <w:color w:val="auto"/>
              </w:rPr>
              <w:t>30</w:t>
            </w:r>
          </w:p>
        </w:tc>
      </w:tr>
      <w:tr w14:paraId="4BBB7138">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397DFC53">
            <w:pPr>
              <w:pStyle w:val="18"/>
              <w:ind w:firstLine="480"/>
              <w:rPr>
                <w:color w:val="auto"/>
              </w:rPr>
            </w:pPr>
            <w:r>
              <w:rPr>
                <w:rFonts w:hint="eastAsia"/>
                <w:color w:val="auto"/>
              </w:rPr>
              <w:t>鲜竹笋产量（万吨）</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4D192B28">
            <w:pPr>
              <w:pStyle w:val="18"/>
              <w:ind w:firstLine="480"/>
              <w:rPr>
                <w:color w:val="auto"/>
              </w:rPr>
            </w:pPr>
            <w:r>
              <w:rPr>
                <w:rFonts w:hint="eastAsia"/>
                <w:color w:val="auto"/>
              </w:rPr>
              <w:t>6</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1A101FB0">
            <w:pPr>
              <w:pStyle w:val="18"/>
              <w:ind w:firstLine="480"/>
              <w:rPr>
                <w:color w:val="auto"/>
              </w:rPr>
            </w:pPr>
            <w:r>
              <w:rPr>
                <w:rFonts w:hint="eastAsia"/>
                <w:color w:val="auto"/>
              </w:rPr>
              <w:t>8</w:t>
            </w:r>
          </w:p>
        </w:tc>
      </w:tr>
      <w:tr w14:paraId="7B826B7E">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2ACEE782">
            <w:pPr>
              <w:pStyle w:val="18"/>
              <w:ind w:firstLine="480"/>
              <w:rPr>
                <w:color w:val="auto"/>
              </w:rPr>
            </w:pPr>
            <w:r>
              <w:rPr>
                <w:rFonts w:hint="eastAsia"/>
                <w:color w:val="auto"/>
              </w:rPr>
              <w:t>竹笋加工量（万吨）</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08F551E2">
            <w:pPr>
              <w:pStyle w:val="18"/>
              <w:ind w:firstLine="480"/>
              <w:rPr>
                <w:color w:val="auto"/>
              </w:rPr>
            </w:pPr>
            <w:r>
              <w:rPr>
                <w:rFonts w:hint="eastAsia"/>
                <w:color w:val="auto"/>
              </w:rPr>
              <w:t>0.5</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1F5FDB5E">
            <w:pPr>
              <w:pStyle w:val="18"/>
              <w:ind w:firstLine="480"/>
              <w:rPr>
                <w:color w:val="auto"/>
              </w:rPr>
            </w:pPr>
            <w:r>
              <w:rPr>
                <w:rFonts w:hint="eastAsia"/>
                <w:color w:val="auto"/>
              </w:rPr>
              <w:t>1</w:t>
            </w:r>
          </w:p>
        </w:tc>
      </w:tr>
      <w:tr w14:paraId="65B05BA7">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538088C0">
            <w:pPr>
              <w:pStyle w:val="18"/>
              <w:ind w:firstLine="480"/>
              <w:rPr>
                <w:color w:val="auto"/>
              </w:rPr>
            </w:pPr>
            <w:r>
              <w:rPr>
                <w:rFonts w:hint="eastAsia"/>
                <w:color w:val="auto"/>
              </w:rPr>
              <w:t>竹木材加工量（万株）</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0C669CCB">
            <w:pPr>
              <w:pStyle w:val="18"/>
              <w:ind w:firstLine="480"/>
              <w:rPr>
                <w:color w:val="auto"/>
              </w:rPr>
            </w:pPr>
            <w:r>
              <w:rPr>
                <w:rFonts w:hint="eastAsia"/>
                <w:color w:val="auto"/>
              </w:rPr>
              <w:t>6500</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54E3ABC9">
            <w:pPr>
              <w:pStyle w:val="18"/>
              <w:ind w:firstLine="480"/>
              <w:rPr>
                <w:color w:val="auto"/>
              </w:rPr>
            </w:pPr>
            <w:r>
              <w:rPr>
                <w:rFonts w:hint="eastAsia"/>
                <w:color w:val="auto"/>
              </w:rPr>
              <w:t>8500</w:t>
            </w:r>
          </w:p>
        </w:tc>
      </w:tr>
      <w:tr w14:paraId="47CCF1F2">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7676DBC3">
            <w:pPr>
              <w:pStyle w:val="18"/>
              <w:ind w:firstLine="480"/>
              <w:rPr>
                <w:color w:val="auto"/>
              </w:rPr>
            </w:pPr>
            <w:r>
              <w:rPr>
                <w:rFonts w:hint="eastAsia"/>
                <w:color w:val="auto"/>
              </w:rPr>
              <w:t>竹材初加工点（个）</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72819D55">
            <w:pPr>
              <w:pStyle w:val="18"/>
              <w:ind w:firstLine="480"/>
              <w:rPr>
                <w:color w:val="auto"/>
              </w:rPr>
            </w:pPr>
            <w:r>
              <w:rPr>
                <w:rFonts w:hint="eastAsia"/>
                <w:color w:val="auto"/>
              </w:rPr>
              <w:t>4</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094897EE">
            <w:pPr>
              <w:pStyle w:val="18"/>
              <w:ind w:firstLine="480"/>
              <w:rPr>
                <w:color w:val="auto"/>
              </w:rPr>
            </w:pPr>
            <w:r>
              <w:rPr>
                <w:rFonts w:hint="eastAsia"/>
                <w:color w:val="auto"/>
              </w:rPr>
              <w:t>25</w:t>
            </w:r>
          </w:p>
        </w:tc>
      </w:tr>
      <w:tr w14:paraId="77D712B9">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2"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3AF00823">
            <w:pPr>
              <w:pStyle w:val="18"/>
              <w:ind w:firstLine="480"/>
              <w:rPr>
                <w:color w:val="auto"/>
              </w:rPr>
            </w:pPr>
            <w:r>
              <w:rPr>
                <w:rFonts w:hint="eastAsia"/>
                <w:color w:val="auto"/>
              </w:rPr>
              <w:t>竹林道（公里）</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418ECA40">
            <w:pPr>
              <w:pStyle w:val="18"/>
              <w:ind w:firstLine="480"/>
              <w:rPr>
                <w:color w:val="auto"/>
              </w:rPr>
            </w:pPr>
            <w:r>
              <w:rPr>
                <w:rFonts w:hint="eastAsia"/>
                <w:color w:val="auto"/>
              </w:rPr>
              <w:t>3276</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1C2D18AD">
            <w:pPr>
              <w:pStyle w:val="18"/>
              <w:ind w:firstLine="480"/>
              <w:rPr>
                <w:color w:val="auto"/>
              </w:rPr>
            </w:pPr>
            <w:r>
              <w:rPr>
                <w:rFonts w:hint="eastAsia"/>
                <w:color w:val="auto"/>
              </w:rPr>
              <w:t>3600</w:t>
            </w:r>
          </w:p>
        </w:tc>
      </w:tr>
      <w:tr w14:paraId="329A7853">
        <w:tblPrEx>
          <w:tblBorders>
            <w:top w:val="single" w:color="CCCCCC" w:sz="4" w:space="0"/>
            <w:left w:val="single" w:color="CCCCCC" w:sz="4"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57" w:hRule="atLeast"/>
          <w:tblCellSpacing w:w="0" w:type="dxa"/>
          <w:jc w:val="center"/>
        </w:trPr>
        <w:tc>
          <w:tcPr>
            <w:tcW w:w="3889" w:type="dxa"/>
            <w:tcBorders>
              <w:bottom w:val="single" w:color="CCCCCC" w:sz="4" w:space="0"/>
              <w:right w:val="single" w:color="CCCCCC" w:sz="4" w:space="0"/>
            </w:tcBorders>
            <w:shd w:val="clear" w:color="auto" w:fill="FFFFFF"/>
            <w:tcMar>
              <w:left w:w="120" w:type="dxa"/>
              <w:right w:w="120" w:type="dxa"/>
            </w:tcMar>
            <w:vAlign w:val="center"/>
          </w:tcPr>
          <w:p w14:paraId="3BDA5354">
            <w:pPr>
              <w:pStyle w:val="18"/>
              <w:ind w:firstLine="480"/>
              <w:rPr>
                <w:color w:val="auto"/>
              </w:rPr>
            </w:pPr>
            <w:r>
              <w:rPr>
                <w:rFonts w:hint="eastAsia"/>
                <w:color w:val="auto"/>
              </w:rPr>
              <w:t>竹农人均竹产业年收入（元）</w:t>
            </w:r>
          </w:p>
        </w:tc>
        <w:tc>
          <w:tcPr>
            <w:tcW w:w="2155" w:type="dxa"/>
            <w:tcBorders>
              <w:bottom w:val="single" w:color="CCCCCC" w:sz="4" w:space="0"/>
              <w:right w:val="single" w:color="CCCCCC" w:sz="4" w:space="0"/>
            </w:tcBorders>
            <w:shd w:val="clear" w:color="auto" w:fill="FFFFFF"/>
            <w:tcMar>
              <w:left w:w="120" w:type="dxa"/>
              <w:right w:w="120" w:type="dxa"/>
            </w:tcMar>
            <w:vAlign w:val="center"/>
          </w:tcPr>
          <w:p w14:paraId="3D5F05B0">
            <w:pPr>
              <w:pStyle w:val="18"/>
              <w:ind w:firstLine="480"/>
              <w:rPr>
                <w:color w:val="auto"/>
              </w:rPr>
            </w:pPr>
            <w:r>
              <w:rPr>
                <w:rFonts w:hint="eastAsia"/>
                <w:color w:val="auto"/>
              </w:rPr>
              <w:t>4300</w:t>
            </w:r>
          </w:p>
        </w:tc>
        <w:tc>
          <w:tcPr>
            <w:tcW w:w="2034" w:type="dxa"/>
            <w:tcBorders>
              <w:bottom w:val="single" w:color="CCCCCC" w:sz="4" w:space="0"/>
              <w:right w:val="single" w:color="CCCCCC" w:sz="4" w:space="0"/>
            </w:tcBorders>
            <w:shd w:val="clear" w:color="auto" w:fill="FFFFFF"/>
            <w:tcMar>
              <w:left w:w="120" w:type="dxa"/>
              <w:right w:w="120" w:type="dxa"/>
            </w:tcMar>
            <w:vAlign w:val="center"/>
          </w:tcPr>
          <w:p w14:paraId="35C2BE4D">
            <w:pPr>
              <w:pStyle w:val="18"/>
              <w:ind w:firstLine="480"/>
              <w:rPr>
                <w:color w:val="auto"/>
              </w:rPr>
            </w:pPr>
            <w:r>
              <w:rPr>
                <w:rFonts w:hint="eastAsia"/>
                <w:color w:val="auto"/>
              </w:rPr>
              <w:t>5500</w:t>
            </w:r>
          </w:p>
        </w:tc>
      </w:tr>
    </w:tbl>
    <w:p w14:paraId="40500F98">
      <w:pPr>
        <w:spacing w:line="500" w:lineRule="exact"/>
        <w:ind w:firstLine="480" w:firstLineChars="200"/>
        <w:rPr>
          <w:rFonts w:ascii="宋体" w:hAnsi="宋体"/>
          <w:color w:val="auto"/>
          <w:sz w:val="24"/>
        </w:rPr>
      </w:pPr>
    </w:p>
    <w:p w14:paraId="20E31856">
      <w:pPr>
        <w:pStyle w:val="6"/>
        <w:rPr>
          <w:color w:val="auto"/>
        </w:rPr>
        <w:sectPr>
          <w:pgSz w:w="11906" w:h="16838"/>
          <w:pgMar w:top="1440" w:right="1800" w:bottom="1440" w:left="1800" w:header="851" w:footer="992" w:gutter="0"/>
          <w:cols w:space="425" w:num="1"/>
          <w:docGrid w:type="lines" w:linePitch="312" w:charSpace="0"/>
        </w:sectPr>
      </w:pPr>
    </w:p>
    <w:p w14:paraId="4A7C2DEA">
      <w:pPr>
        <w:spacing w:line="500" w:lineRule="exact"/>
        <w:ind w:firstLine="643" w:firstLineChars="200"/>
        <w:jc w:val="center"/>
        <w:outlineLvl w:val="0"/>
        <w:rPr>
          <w:rFonts w:ascii="宋体" w:hAnsi="宋体"/>
          <w:b/>
          <w:bCs/>
          <w:color w:val="auto"/>
          <w:sz w:val="32"/>
          <w:szCs w:val="32"/>
        </w:rPr>
      </w:pPr>
      <w:bookmarkStart w:id="52" w:name="_Toc161954064"/>
      <w:bookmarkStart w:id="53" w:name="_Toc22158"/>
      <w:r>
        <w:rPr>
          <w:rFonts w:hint="eastAsia" w:ascii="宋体" w:hAnsi="宋体"/>
          <w:b/>
          <w:bCs/>
          <w:color w:val="auto"/>
          <w:sz w:val="32"/>
          <w:szCs w:val="32"/>
        </w:rPr>
        <w:t>第四章 产业布局</w:t>
      </w:r>
      <w:bookmarkEnd w:id="52"/>
      <w:bookmarkEnd w:id="53"/>
    </w:p>
    <w:p w14:paraId="2333192A">
      <w:pPr>
        <w:pStyle w:val="20"/>
        <w:ind w:left="0" w:leftChars="0" w:firstLine="560" w:firstLineChars="200"/>
        <w:rPr>
          <w:color w:val="auto"/>
          <w:kern w:val="2"/>
          <w:sz w:val="28"/>
          <w:szCs w:val="20"/>
        </w:rPr>
      </w:pPr>
      <w:r>
        <w:rPr>
          <w:rFonts w:hint="eastAsia"/>
          <w:color w:val="auto"/>
          <w:kern w:val="2"/>
          <w:sz w:val="28"/>
          <w:szCs w:val="20"/>
        </w:rPr>
        <w:t>依托龙泉市竹木资源，聚焦竹木产业重点项目，抓重点、补短板、强弱项，优化竹木产业生产力布局，加强竹木产业基础设施建设，优化竹木产业供应链，提升竹林资源就地转化加工能力水平，构建现代竹木产业发展新格局。</w:t>
      </w:r>
    </w:p>
    <w:p w14:paraId="1910FF3A">
      <w:pPr>
        <w:pStyle w:val="20"/>
        <w:ind w:left="0" w:leftChars="0" w:firstLine="560" w:firstLineChars="200"/>
        <w:rPr>
          <w:color w:val="auto"/>
          <w:kern w:val="2"/>
          <w:sz w:val="28"/>
          <w:szCs w:val="20"/>
        </w:rPr>
      </w:pPr>
      <w:r>
        <w:rPr>
          <w:rFonts w:hint="eastAsia"/>
          <w:color w:val="auto"/>
          <w:kern w:val="2"/>
          <w:sz w:val="28"/>
          <w:szCs w:val="20"/>
        </w:rPr>
        <w:t>根据龙泉市竹木资源分布特征和产业发展基础，全市竹木产业形成</w:t>
      </w:r>
      <w:r>
        <w:rPr>
          <w:rFonts w:hint="eastAsia"/>
          <w:b/>
          <w:bCs/>
          <w:color w:val="auto"/>
          <w:kern w:val="2"/>
          <w:sz w:val="28"/>
          <w:szCs w:val="20"/>
        </w:rPr>
        <w:t>“一心、两翼、多点”</w:t>
      </w:r>
      <w:r>
        <w:rPr>
          <w:rFonts w:hint="eastAsia"/>
          <w:color w:val="auto"/>
          <w:kern w:val="2"/>
          <w:sz w:val="28"/>
          <w:szCs w:val="20"/>
        </w:rPr>
        <w:t>的一二三产融合发展新格局。</w:t>
      </w:r>
    </w:p>
    <w:p w14:paraId="11525544">
      <w:pPr>
        <w:pStyle w:val="20"/>
        <w:ind w:left="0" w:leftChars="0" w:firstLine="562" w:firstLineChars="200"/>
        <w:rPr>
          <w:color w:val="auto"/>
          <w:kern w:val="2"/>
          <w:sz w:val="28"/>
          <w:szCs w:val="20"/>
        </w:rPr>
      </w:pPr>
      <w:r>
        <w:rPr>
          <w:rFonts w:hint="eastAsia"/>
          <w:b/>
          <w:bCs/>
          <w:color w:val="auto"/>
          <w:kern w:val="2"/>
          <w:sz w:val="28"/>
          <w:szCs w:val="20"/>
        </w:rPr>
        <w:t>“一心”：</w:t>
      </w:r>
      <w:r>
        <w:rPr>
          <w:rFonts w:hint="eastAsia"/>
          <w:color w:val="auto"/>
          <w:kern w:val="2"/>
          <w:sz w:val="28"/>
          <w:szCs w:val="20"/>
        </w:rPr>
        <w:t>指浙江龙泉经济开发区。全力打造成为竹、木制品加工，包括：太阳伞、竹木胶合板、竹木家具及日用品、包装制造、竹笋等食品加工等融合于一体的国家龙泉竹产业示范区，包括芳野区块（40亩）、炉田区块（30亩）、湾头区块（80亩）。</w:t>
      </w:r>
    </w:p>
    <w:p w14:paraId="13B461F0">
      <w:pPr>
        <w:pStyle w:val="20"/>
        <w:ind w:left="0" w:leftChars="0" w:firstLine="562" w:firstLineChars="200"/>
        <w:rPr>
          <w:color w:val="auto"/>
          <w:kern w:val="2"/>
          <w:sz w:val="28"/>
          <w:szCs w:val="20"/>
        </w:rPr>
      </w:pPr>
      <w:r>
        <w:rPr>
          <w:rFonts w:hint="eastAsia"/>
          <w:b/>
          <w:bCs/>
          <w:color w:val="auto"/>
          <w:kern w:val="2"/>
          <w:sz w:val="28"/>
          <w:szCs w:val="20"/>
        </w:rPr>
        <w:t>“两翼”：</w:t>
      </w:r>
      <w:r>
        <w:rPr>
          <w:rFonts w:hint="eastAsia"/>
          <w:color w:val="auto"/>
          <w:kern w:val="2"/>
          <w:sz w:val="28"/>
          <w:szCs w:val="20"/>
        </w:rPr>
        <w:t>指以安仁为东翼，以八都、查田、上垟为西翼。主要沿G25 长深高速和 S328省道伸展布局；东向自龙泉市区至安仁镇，可伸展至云和界；西向自龙泉市区沿G25 长深高速至兰巨乡、查田镇、小梅镇，沿 S328 省道至八都镇、上垟镇、竹垟畲族乡、宝溪乡，可伸展至庆元界。两翼打造成竹木制玩具、板材、休闲家具和竹木制家居用品的产业带。</w:t>
      </w:r>
    </w:p>
    <w:p w14:paraId="5E699949">
      <w:pPr>
        <w:pStyle w:val="20"/>
        <w:ind w:left="0" w:leftChars="0" w:firstLine="562" w:firstLineChars="200"/>
        <w:rPr>
          <w:color w:val="auto"/>
          <w:kern w:val="2"/>
          <w:sz w:val="28"/>
          <w:szCs w:val="20"/>
        </w:rPr>
      </w:pPr>
      <w:r>
        <w:rPr>
          <w:rFonts w:hint="eastAsia"/>
          <w:b/>
          <w:bCs/>
          <w:color w:val="auto"/>
          <w:kern w:val="2"/>
          <w:sz w:val="28"/>
          <w:szCs w:val="20"/>
        </w:rPr>
        <w:t>“多点”：</w:t>
      </w:r>
      <w:r>
        <w:rPr>
          <w:rFonts w:hint="eastAsia"/>
          <w:color w:val="auto"/>
          <w:kern w:val="2"/>
          <w:sz w:val="28"/>
          <w:szCs w:val="20"/>
        </w:rPr>
        <w:t>建设分散型、区域性的竹木产业加工小型产业园以及竹木初加工点，安仁以木制玩具为主，八都以竹制品加工为主，查田以木制品加工为主，宝溪以竹旅游为特色。包括八都、查田、小梅、上烊、锦溪、宝溪、住龙、竹垟、安仁、塔石、城北等主要竹产业乡镇的重点村建设笋竹初级加工点，建设兰巨生态产业平台，优化特色加工点分布，依托小微园区建设，进一步推动竹产业前端笋竹原料产业链前移，打造竹木初加工示范区，以竹子的剖、解等机械初加工为主。</w:t>
      </w:r>
    </w:p>
    <w:p w14:paraId="2603D730">
      <w:pPr>
        <w:pStyle w:val="6"/>
        <w:rPr>
          <w:rFonts w:ascii="宋体" w:hAnsi="宋体"/>
          <w:color w:val="auto"/>
          <w:sz w:val="24"/>
        </w:rPr>
      </w:pPr>
    </w:p>
    <w:p w14:paraId="7CBAF5C3">
      <w:pPr>
        <w:pStyle w:val="10"/>
        <w:rPr>
          <w:rFonts w:ascii="宋体" w:hAnsi="宋体"/>
          <w:color w:val="auto"/>
          <w:sz w:val="24"/>
        </w:rPr>
      </w:pPr>
    </w:p>
    <w:p w14:paraId="61723A03">
      <w:pPr>
        <w:pStyle w:val="20"/>
        <w:rPr>
          <w:color w:val="auto"/>
        </w:rPr>
      </w:pPr>
    </w:p>
    <w:p w14:paraId="7B33227D">
      <w:pPr>
        <w:pStyle w:val="6"/>
        <w:rPr>
          <w:rFonts w:ascii="宋体" w:hAnsi="宋体"/>
          <w:color w:val="auto"/>
          <w:sz w:val="24"/>
        </w:rPr>
        <w:sectPr>
          <w:pgSz w:w="11906" w:h="16838"/>
          <w:pgMar w:top="1440" w:right="1800" w:bottom="1440" w:left="1800" w:header="851" w:footer="992" w:gutter="0"/>
          <w:cols w:space="425" w:num="1"/>
          <w:docGrid w:type="lines" w:linePitch="312" w:charSpace="0"/>
        </w:sectPr>
      </w:pPr>
    </w:p>
    <w:p w14:paraId="538E6945">
      <w:pPr>
        <w:spacing w:line="500" w:lineRule="exact"/>
        <w:jc w:val="center"/>
        <w:outlineLvl w:val="0"/>
        <w:rPr>
          <w:rFonts w:ascii="宋体" w:hAnsi="宋体"/>
          <w:b/>
          <w:bCs/>
          <w:color w:val="auto"/>
          <w:sz w:val="32"/>
          <w:szCs w:val="32"/>
        </w:rPr>
      </w:pPr>
      <w:bookmarkStart w:id="54" w:name="_Toc21306"/>
      <w:bookmarkStart w:id="55" w:name="_Toc161954065"/>
      <w:r>
        <w:rPr>
          <w:rFonts w:hint="eastAsia" w:ascii="宋体" w:hAnsi="宋体"/>
          <w:b/>
          <w:bCs/>
          <w:color w:val="auto"/>
          <w:sz w:val="32"/>
          <w:szCs w:val="32"/>
        </w:rPr>
        <w:t>第五章 主要任务</w:t>
      </w:r>
      <w:bookmarkEnd w:id="54"/>
      <w:bookmarkEnd w:id="55"/>
    </w:p>
    <w:p w14:paraId="77AE13AD">
      <w:pPr>
        <w:pStyle w:val="10"/>
        <w:ind w:firstLine="0"/>
        <w:outlineLvl w:val="1"/>
        <w:rPr>
          <w:color w:val="auto"/>
        </w:rPr>
      </w:pPr>
      <w:bookmarkStart w:id="56" w:name="_Toc23083"/>
      <w:bookmarkStart w:id="57" w:name="_Toc161954066"/>
      <w:r>
        <w:rPr>
          <w:rFonts w:hint="eastAsia"/>
          <w:color w:val="auto"/>
        </w:rPr>
        <w:t>5.1 优化提升竹林培育产业</w:t>
      </w:r>
      <w:bookmarkEnd w:id="56"/>
      <w:bookmarkEnd w:id="57"/>
    </w:p>
    <w:p w14:paraId="27985818">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（1）毛竹林高效培育及集约化经营。</w:t>
      </w:r>
    </w:p>
    <w:p w14:paraId="44B1DC53">
      <w:pPr>
        <w:ind w:firstLine="560" w:firstLineChars="200"/>
        <w:rPr>
          <w:rFonts w:ascii="宋体" w:hAnsi="宋体" w:cs="宋体"/>
          <w:b/>
          <w:color w:val="auto"/>
          <w:kern w:val="44"/>
          <w:sz w:val="28"/>
          <w:szCs w:val="28"/>
        </w:rPr>
      </w:pPr>
      <w:r>
        <w:rPr>
          <w:rFonts w:hint="eastAsia" w:ascii="宋体" w:hAnsi="宋体"/>
          <w:bCs/>
          <w:color w:val="auto"/>
          <w:kern w:val="44"/>
          <w:sz w:val="28"/>
          <w:szCs w:val="28"/>
        </w:rPr>
        <w:t>立足现有竹林资源，通过调节竹林结构和改善竹林生长环境条件提升竹林生产力，科学培育竹林资源。分类编制和落实竹林经营方案，加快优良竹种审（认）定，大力推广良种良法，支持选育优质专用竹品种或笋材两用竹品种。按“去杂留纯、去小留大、去密留稀、去劣留优”原则，通过抚育间伐、水肥管理、病虫防治等模式开展龙泉市低产低效竹林改造，合理控制立竹量。采取结构调整、测土配方（平衡）施肥等针对性措施，推进竹林集约规模经营。此外，以利用方向产品开发需求为目的，针对以竹代塑特用材需求竹林开展定向培育，定向培育纤维用竹和代塑竹制品加工用竹种。</w:t>
      </w:r>
      <w:r>
        <w:rPr>
          <w:rFonts w:hint="eastAsia" w:ascii="宋体" w:hAnsi="宋体" w:cs="宋体"/>
          <w:b/>
          <w:color w:val="auto"/>
          <w:kern w:val="44"/>
          <w:sz w:val="28"/>
          <w:szCs w:val="28"/>
        </w:rPr>
        <w:t>到2027年，新增建设笋用林示范基地5000亩，材用林示范基地15000亩，笋材两用林示范基地30000亩；筛选并定向培育高品质、专用化的代塑竹制品加工用竹种2-3种，面积超300亩。</w:t>
      </w:r>
    </w:p>
    <w:p w14:paraId="5F54AD67">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（2）中小径竹资源培育。</w:t>
      </w:r>
    </w:p>
    <w:p w14:paraId="6C3BBAD0">
      <w:pPr>
        <w:ind w:firstLine="560" w:firstLineChars="200"/>
        <w:rPr>
          <w:rFonts w:ascii="宋体" w:hAnsi="宋体"/>
          <w:bCs/>
          <w:color w:val="auto"/>
          <w:kern w:val="44"/>
          <w:sz w:val="28"/>
          <w:szCs w:val="28"/>
        </w:rPr>
      </w:pPr>
      <w:r>
        <w:rPr>
          <w:rFonts w:hint="eastAsia" w:ascii="宋体" w:hAnsi="宋体"/>
          <w:bCs/>
          <w:color w:val="auto"/>
          <w:kern w:val="44"/>
          <w:sz w:val="28"/>
          <w:szCs w:val="28"/>
        </w:rPr>
        <w:t>通过选育引进优良竹种、适度新造高效竹林，加快形成规模效应，推进中小径竹资源培育和现代竹林产业基地建设。重点引进和推广方竹、佯黄竹、绿竹等优良竹种，积极申报省级现代竹林产业示范基地。加强竹林丰产指导，积极开办竹林经营管理技术培训班，组织科技特派员、乡土专家开展竹林间伐轮作、择伐适龄竹材等丰产技术指导。</w:t>
      </w:r>
      <w:r>
        <w:rPr>
          <w:rFonts w:hint="eastAsia" w:ascii="宋体" w:hAnsi="宋体" w:cs="宋体"/>
          <w:b/>
          <w:color w:val="auto"/>
          <w:kern w:val="44"/>
          <w:sz w:val="28"/>
          <w:szCs w:val="28"/>
        </w:rPr>
        <w:t>至2027年，其中笋用竹种，新引进5个，包括方竹、佯黄竹、绿竹等，面积共300亩；其中叶用竹资源培育，主要以箬竹等为主，面积1000亩；合计新引进竹种10个，发展面积超1300亩。</w:t>
      </w:r>
    </w:p>
    <w:p w14:paraId="3C2F4346">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（3）竹林机械化经营建设项目。</w:t>
      </w:r>
    </w:p>
    <w:p w14:paraId="02E4C901">
      <w:pPr>
        <w:ind w:firstLine="560" w:firstLineChars="200"/>
        <w:rPr>
          <w:rFonts w:ascii="宋体" w:hAnsi="宋体"/>
          <w:b/>
          <w:color w:val="auto"/>
          <w:kern w:val="44"/>
          <w:sz w:val="28"/>
          <w:szCs w:val="28"/>
        </w:rPr>
      </w:pPr>
      <w:r>
        <w:rPr>
          <w:rFonts w:hint="eastAsia" w:ascii="宋体" w:hAnsi="宋体" w:cs="宋体"/>
          <w:bCs/>
          <w:color w:val="auto"/>
          <w:kern w:val="44"/>
          <w:sz w:val="28"/>
          <w:szCs w:val="28"/>
        </w:rPr>
        <w:t>借力国家林草装备科技创新园和竹工机械研发生产地区，引入先进适宜的竹林机械。支持竹产区乡镇、村或公司组建竹材采伐、竹笋采挖的专业化队伍，</w:t>
      </w:r>
      <w:r>
        <w:rPr>
          <w:rFonts w:hint="eastAsia" w:ascii="宋体" w:hAnsi="宋体" w:cs="宋体"/>
          <w:b/>
          <w:color w:val="auto"/>
          <w:kern w:val="44"/>
          <w:sz w:val="28"/>
          <w:szCs w:val="28"/>
        </w:rPr>
        <w:t>引导笋、竹专业合作社组建专业采伐队伍</w:t>
      </w:r>
      <w:r>
        <w:rPr>
          <w:rFonts w:hint="eastAsia" w:ascii="宋体" w:hAnsi="宋体" w:cs="宋体"/>
          <w:bCs/>
          <w:color w:val="auto"/>
          <w:kern w:val="44"/>
          <w:sz w:val="28"/>
          <w:szCs w:val="28"/>
        </w:rPr>
        <w:t>。</w:t>
      </w:r>
      <w:r>
        <w:rPr>
          <w:rFonts w:hint="eastAsia" w:ascii="宋体" w:hAnsi="宋体"/>
          <w:bCs/>
          <w:color w:val="auto"/>
          <w:kern w:val="44"/>
          <w:sz w:val="28"/>
          <w:szCs w:val="28"/>
        </w:rPr>
        <w:t>创新适配的竹林种植模式和宜机化改造模式。在</w:t>
      </w:r>
      <w:r>
        <w:rPr>
          <w:rFonts w:hint="eastAsia" w:ascii="宋体" w:hAnsi="宋体"/>
          <w:b/>
          <w:color w:val="auto"/>
          <w:kern w:val="44"/>
          <w:sz w:val="28"/>
          <w:szCs w:val="28"/>
        </w:rPr>
        <w:t>竹材抚育和采伐机械化、笋竹采收智能化、林间运输自动化、竹材备料加工连续化等方面进行技术改造</w:t>
      </w:r>
      <w:r>
        <w:rPr>
          <w:rFonts w:hint="eastAsia" w:ascii="宋体" w:hAnsi="宋体"/>
          <w:bCs/>
          <w:color w:val="auto"/>
          <w:kern w:val="44"/>
          <w:sz w:val="28"/>
          <w:szCs w:val="28"/>
        </w:rPr>
        <w:t>，建设适于推广的现代竹林全程机械化经营模式。</w:t>
      </w:r>
      <w:r>
        <w:rPr>
          <w:rFonts w:hint="eastAsia" w:ascii="宋体" w:hAnsi="宋体" w:cs="宋体"/>
          <w:bCs/>
          <w:color w:val="auto"/>
          <w:kern w:val="44"/>
          <w:sz w:val="28"/>
          <w:szCs w:val="28"/>
        </w:rPr>
        <w:t>通过培训提高作业人员专业化技能，熟练操作适用林业机械，降低劳动强度和竹材采伐、竹笋采挖成本，提高生产效率。支持科研院校加大对毛竹采伐、截材运输及冬笋探测等生产装备的研发。大力推进竹业生产方式向“机器换人”转变，对购置的</w:t>
      </w:r>
      <w:r>
        <w:rPr>
          <w:rFonts w:hint="eastAsia" w:ascii="宋体" w:hAnsi="宋体" w:cs="宋体"/>
          <w:b/>
          <w:color w:val="auto"/>
          <w:kern w:val="44"/>
          <w:sz w:val="28"/>
          <w:szCs w:val="28"/>
        </w:rPr>
        <w:t>割灌机、采伐油锯、竹兜机、微耕机、轨道输送设备等竹机械装备纳入农机购置补贴名单</w:t>
      </w:r>
      <w:r>
        <w:rPr>
          <w:rFonts w:hint="eastAsia" w:ascii="宋体" w:hAnsi="宋体" w:cs="宋体"/>
          <w:bCs/>
          <w:color w:val="auto"/>
          <w:kern w:val="44"/>
          <w:sz w:val="28"/>
          <w:szCs w:val="28"/>
        </w:rPr>
        <w:t>，享受与农机的一样的购置贴补等财政相应支持政策。</w:t>
      </w:r>
      <w:r>
        <w:rPr>
          <w:rFonts w:hint="eastAsia" w:ascii="宋体" w:hAnsi="宋体" w:cs="宋体"/>
          <w:b/>
          <w:color w:val="auto"/>
          <w:kern w:val="44"/>
          <w:sz w:val="28"/>
          <w:szCs w:val="28"/>
        </w:rPr>
        <w:t>到2027年，建立竹林全程机械化经营示范基地5000亩。</w:t>
      </w:r>
    </w:p>
    <w:p w14:paraId="605CFFF5">
      <w:pPr>
        <w:pStyle w:val="17"/>
        <w:shd w:val="clear" w:color="auto" w:fill="FFFFFF"/>
        <w:ind w:firstLine="562" w:firstLineChars="200"/>
        <w:outlineLvl w:val="2"/>
        <w:rPr>
          <w:rFonts w:hint="default" w:ascii="楷体_GB2312" w:hAnsi="楷体_GB2312" w:eastAsia="楷体_GB2312" w:cs="楷体_GB2312"/>
          <w:b/>
          <w:color w:val="auto"/>
          <w:kern w:val="2"/>
          <w:sz w:val="28"/>
          <w:szCs w:val="28"/>
        </w:rPr>
      </w:pPr>
      <w:r>
        <w:rPr>
          <w:rFonts w:ascii="楷体_GB2312" w:hAnsi="楷体_GB2312" w:eastAsia="楷体_GB2312" w:cs="楷体_GB2312"/>
          <w:b/>
          <w:color w:val="auto"/>
          <w:kern w:val="2"/>
          <w:sz w:val="28"/>
          <w:szCs w:val="28"/>
        </w:rPr>
        <w:t>（4）林下复合经营基地建设项目。</w:t>
      </w:r>
    </w:p>
    <w:p w14:paraId="052D2D13">
      <w:pPr>
        <w:pStyle w:val="17"/>
        <w:shd w:val="clear" w:color="auto" w:fill="FFFFFF"/>
        <w:ind w:firstLine="560" w:firstLineChars="200"/>
        <w:rPr>
          <w:rFonts w:hint="default" w:cs="宋体"/>
          <w:b/>
          <w:color w:val="auto"/>
          <w:kern w:val="44"/>
          <w:sz w:val="28"/>
          <w:szCs w:val="28"/>
        </w:rPr>
      </w:pPr>
      <w:r>
        <w:rPr>
          <w:bCs/>
          <w:color w:val="auto"/>
          <w:kern w:val="44"/>
          <w:sz w:val="28"/>
          <w:szCs w:val="28"/>
        </w:rPr>
        <w:t>深化“一亩山万元钱”推广示范行动，积极吸引社会资本，发展林下复合经营，建设连片的规模较大的林下复合示范基地，促其上档次、成规模,以点带面辐射带动周边形成发展。重点推广林药、竹菌、竹禽等复合经营模式</w:t>
      </w:r>
      <w:r>
        <w:rPr>
          <w:color w:val="auto"/>
          <w:sz w:val="21"/>
          <w:szCs w:val="21"/>
          <w:shd w:val="clear" w:color="auto" w:fill="FFFFFF"/>
        </w:rPr>
        <w:t>，</w:t>
      </w:r>
      <w:r>
        <w:rPr>
          <w:rFonts w:cs="宋体"/>
          <w:bCs/>
          <w:color w:val="auto"/>
          <w:kern w:val="44"/>
          <w:sz w:val="28"/>
          <w:szCs w:val="28"/>
        </w:rPr>
        <w:t>培育壮大林下中药材产业，提高林下空间利用率。其中，林药模式以种植多花黄精、七叶一枝花等中药材为主；林菌模式以种植竹荪、大球盖菇等食用菌为主，同时积极发展桑黄、紫芝等食药用菌；林禽模式以竹林下养鸡为主。</w:t>
      </w:r>
      <w:r>
        <w:rPr>
          <w:rFonts w:cs="宋体"/>
          <w:b/>
          <w:color w:val="auto"/>
          <w:kern w:val="44"/>
          <w:sz w:val="28"/>
          <w:szCs w:val="28"/>
        </w:rPr>
        <w:t>到2027年，建设一批林下经济示范基地，建设林下复合经营示范基地10000亩，空间利用率得到提升。</w:t>
      </w:r>
    </w:p>
    <w:p w14:paraId="3D28C5B4">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（5）碳汇竹林培育项目。</w:t>
      </w:r>
    </w:p>
    <w:p w14:paraId="039231EA">
      <w:pPr>
        <w:pStyle w:val="17"/>
        <w:shd w:val="clear" w:color="auto" w:fill="FFFFFF"/>
        <w:ind w:firstLine="560" w:firstLineChars="200"/>
        <w:rPr>
          <w:rFonts w:hint="default" w:cs="宋体"/>
          <w:b/>
          <w:color w:val="auto"/>
          <w:kern w:val="44"/>
          <w:sz w:val="28"/>
          <w:szCs w:val="28"/>
        </w:rPr>
      </w:pPr>
      <w:r>
        <w:rPr>
          <w:bCs/>
          <w:color w:val="auto"/>
          <w:kern w:val="44"/>
          <w:sz w:val="28"/>
          <w:szCs w:val="28"/>
        </w:rPr>
        <w:t>积极推进毛竹林分类经营，适度调整毛竹林经营结构，针对龙泉市抛荒毛竹林，加快毛竹林生态公益林建设，并开展抛荒毛竹林生态修复试点，探索研究竹林-阔叶树种改造、竹林补植珍贵树种、竹林修复套种中药材等多模式修复技术措施，改善毛竹林林分结构和林相，并引导社会力量参与竹林改造修复，提升毛竹林生态效益；进一步探索建立国家竹林碳汇龙泉交易中心,建设国内领先的竹林碳汇机制创新和技术研发试验区。</w:t>
      </w:r>
      <w:r>
        <w:rPr>
          <w:rFonts w:cs="宋体"/>
          <w:b/>
          <w:color w:val="auto"/>
          <w:kern w:val="44"/>
          <w:sz w:val="28"/>
          <w:szCs w:val="28"/>
        </w:rPr>
        <w:t>到2027年，建立碳汇竹林培育示范基地3个。</w:t>
      </w:r>
    </w:p>
    <w:p w14:paraId="6355DE87">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（6）新型经营主体建设项目。</w:t>
      </w:r>
    </w:p>
    <w:p w14:paraId="72A041E2">
      <w:pPr>
        <w:ind w:firstLine="560" w:firstLineChars="200"/>
        <w:rPr>
          <w:rFonts w:ascii="宋体" w:hAnsi="宋体" w:cs="宋体"/>
          <w:b/>
          <w:color w:val="auto"/>
          <w:kern w:val="44"/>
          <w:sz w:val="28"/>
          <w:szCs w:val="28"/>
        </w:rPr>
      </w:pPr>
      <w:r>
        <w:rPr>
          <w:rFonts w:hint="eastAsia" w:ascii="宋体" w:hAnsi="宋体"/>
          <w:bCs/>
          <w:color w:val="auto"/>
          <w:kern w:val="44"/>
          <w:sz w:val="28"/>
          <w:szCs w:val="28"/>
        </w:rPr>
        <w:t>加快引导竹林流转，加大低小散企业联合重组，大力培育和发展合作社、现代职业农民、乡土专家、专业大户、专业林场、家庭林场等新型经营主体，培育行业龙头企</w:t>
      </w:r>
      <w:r>
        <w:rPr>
          <w:rFonts w:hint="eastAsia" w:ascii="宋体" w:hAnsi="宋体" w:cs="Calibri"/>
          <w:bCs/>
          <w:color w:val="auto"/>
          <w:kern w:val="44"/>
          <w:sz w:val="28"/>
          <w:szCs w:val="28"/>
        </w:rPr>
        <w:t>业等市场经营主体，推动分散经营向产业规模化、集约化、标准化发展，提高竞争力。</w:t>
      </w:r>
      <w:r>
        <w:rPr>
          <w:rFonts w:hint="eastAsia" w:ascii="宋体" w:hAnsi="宋体"/>
          <w:bCs/>
          <w:color w:val="auto"/>
          <w:kern w:val="44"/>
          <w:sz w:val="28"/>
          <w:szCs w:val="28"/>
        </w:rPr>
        <w:t>重点竹区的乡镇或村要引导竹农以承包经营竹林资产或货币出资入股，组建按股份分红的股份制合作组织，支持工商资本“上山入林”，加快推进竹林经营向规模集约高效发展。合作组织要统一策划、标准生产、整体营销，实现竹类农产品规模化、标准化、基地化、专业化、订单化生产经营，促进竹农增收。</w:t>
      </w:r>
      <w:r>
        <w:rPr>
          <w:rFonts w:hint="eastAsia" w:ascii="宋体" w:hAnsi="宋体" w:cs="宋体"/>
          <w:b/>
          <w:color w:val="auto"/>
          <w:kern w:val="44"/>
          <w:sz w:val="28"/>
          <w:szCs w:val="28"/>
        </w:rPr>
        <w:t>到2027年，新培育家庭林场、合作经济组织等经营主体30家，新组建专业化培育、经营、采伐技术服务队伍2个。</w:t>
      </w:r>
    </w:p>
    <w:p w14:paraId="3CDCD188">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（7）林区道路优化工程建设项目。</w:t>
      </w:r>
    </w:p>
    <w:p w14:paraId="0D625FFA">
      <w:pPr>
        <w:ind w:firstLine="560" w:firstLineChars="200"/>
        <w:rPr>
          <w:rFonts w:ascii="宋体" w:hAnsi="宋体" w:cs="宋体"/>
          <w:b/>
          <w:color w:val="auto"/>
          <w:kern w:val="44"/>
          <w:sz w:val="28"/>
          <w:szCs w:val="28"/>
        </w:rPr>
      </w:pPr>
      <w:r>
        <w:rPr>
          <w:rFonts w:hint="eastAsia" w:ascii="宋体" w:hAnsi="宋体"/>
          <w:bCs/>
          <w:color w:val="auto"/>
          <w:kern w:val="44"/>
          <w:sz w:val="28"/>
          <w:szCs w:val="28"/>
        </w:rPr>
        <w:t>遵循“因地制宜、注重实效”的原则，加快推进重点林区道路建设，积极探索投资机制，多渠道筹集林区道路建设资金，进一步提升林区道路硬化、等级和补助标准，形成布局科学化、功能多样化、效益最大化的竹林区道路网络。</w:t>
      </w:r>
      <w:r>
        <w:rPr>
          <w:rFonts w:hint="eastAsia" w:ascii="宋体" w:hAnsi="宋体" w:cs="宋体"/>
          <w:b/>
          <w:color w:val="auto"/>
          <w:kern w:val="44"/>
          <w:sz w:val="28"/>
          <w:szCs w:val="28"/>
        </w:rPr>
        <w:t>根据竹林区路网密度达到40米/公顷标准要求，到2027年，新建竹林道路500公里，改造提升100公里。</w:t>
      </w:r>
    </w:p>
    <w:p w14:paraId="6F59C7D9">
      <w:pPr>
        <w:pStyle w:val="10"/>
        <w:ind w:firstLine="0"/>
        <w:outlineLvl w:val="1"/>
        <w:rPr>
          <w:color w:val="auto"/>
        </w:rPr>
      </w:pPr>
      <w:bookmarkStart w:id="58" w:name="_Toc161954067"/>
      <w:bookmarkStart w:id="59" w:name="_Toc21164"/>
      <w:r>
        <w:rPr>
          <w:rFonts w:hint="eastAsia"/>
          <w:color w:val="auto"/>
        </w:rPr>
        <w:t>5.2 加快发展竹木加工产业</w:t>
      </w:r>
      <w:bookmarkEnd w:id="58"/>
      <w:bookmarkEnd w:id="59"/>
    </w:p>
    <w:p w14:paraId="0B5C5B25">
      <w:pPr>
        <w:adjustRightInd w:val="0"/>
        <w:snapToGrid w:val="0"/>
        <w:spacing w:line="384" w:lineRule="auto"/>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（1）小微园区及初级加工点建设项目。</w:t>
      </w:r>
    </w:p>
    <w:p w14:paraId="54E8ECB0">
      <w:pPr>
        <w:adjustRightInd w:val="0"/>
        <w:snapToGrid w:val="0"/>
        <w:spacing w:line="384" w:lineRule="auto"/>
        <w:ind w:firstLine="560" w:firstLineChars="200"/>
        <w:rPr>
          <w:b/>
          <w:color w:val="auto"/>
          <w:sz w:val="28"/>
          <w:szCs w:val="28"/>
        </w:rPr>
      </w:pPr>
      <w:r>
        <w:rPr>
          <w:rFonts w:hint="eastAsia" w:ascii="宋体" w:hAnsi="宋体"/>
          <w:color w:val="auto"/>
          <w:sz w:val="28"/>
          <w:szCs w:val="28"/>
        </w:rPr>
        <w:t>笋竹初级加工点和小微园区既要与龙泉市竹资源合理利用相匹配，又要与笋竹精深加工原料供应相匹配；同时要结合城镇规划和美丽乡村建设要求，做到统一规划、统一道路硬化、统一供水电气、统一标准厂房、统一环保标准即“五统一”要求，按农业基地配套产业规划建设笋竹</w:t>
      </w:r>
      <w:r>
        <w:rPr>
          <w:rFonts w:hint="eastAsia" w:ascii="宋体" w:hAnsi="宋体"/>
          <w:bCs/>
          <w:color w:val="auto"/>
          <w:kern w:val="44"/>
          <w:sz w:val="28"/>
          <w:szCs w:val="28"/>
        </w:rPr>
        <w:t>初级加工点和小微园区，解决本地区笋、竹等原料的出路以及加工企业原料的供应。优先保障</w:t>
      </w:r>
      <w:r>
        <w:rPr>
          <w:rFonts w:hint="eastAsia" w:ascii="宋体" w:hAnsi="宋体"/>
          <w:color w:val="auto"/>
          <w:sz w:val="28"/>
          <w:szCs w:val="28"/>
        </w:rPr>
        <w:t>笋竹</w:t>
      </w:r>
      <w:r>
        <w:rPr>
          <w:rFonts w:hint="eastAsia" w:ascii="宋体" w:hAnsi="宋体"/>
          <w:bCs/>
          <w:color w:val="auto"/>
          <w:kern w:val="44"/>
          <w:sz w:val="28"/>
          <w:szCs w:val="28"/>
        </w:rPr>
        <w:t>初级加工点和小微园区用地、用能和排污权指标。制定竹材、竹笋初级加工点小微企业入园标准，建立完善小微企业入园审核制度，规范运行，优化管理，提升综合服务能力。通过政府引导、市场化运作，广泛吸引</w:t>
      </w:r>
      <w:r>
        <w:rPr>
          <w:rFonts w:hint="eastAsia" w:ascii="宋体" w:hAnsi="宋体"/>
          <w:color w:val="auto"/>
          <w:kern w:val="44"/>
          <w:sz w:val="28"/>
          <w:szCs w:val="28"/>
        </w:rPr>
        <w:t>竹产业振兴投资基金</w:t>
      </w:r>
      <w:r>
        <w:rPr>
          <w:rFonts w:hint="eastAsia" w:ascii="宋体" w:hAnsi="宋体"/>
          <w:bCs/>
          <w:color w:val="auto"/>
          <w:kern w:val="44"/>
          <w:sz w:val="28"/>
          <w:szCs w:val="28"/>
        </w:rPr>
        <w:t>、村集体经济和社会资本参与建设。通过建设考核评价机制，创新管理模式，推动企业绿色发展，完善初级加工点和小微园区长效管理机制，引导中小微园区向专精特新方向发展。</w:t>
      </w:r>
      <w:r>
        <w:rPr>
          <w:rFonts w:hint="eastAsia" w:ascii="宋体" w:hAnsi="宋体"/>
          <w:b/>
          <w:color w:val="auto"/>
          <w:kern w:val="44"/>
          <w:sz w:val="28"/>
          <w:szCs w:val="28"/>
        </w:rPr>
        <w:t>到2027年，</w:t>
      </w:r>
      <w:r>
        <w:rPr>
          <w:rFonts w:hint="eastAsia"/>
          <w:b/>
          <w:color w:val="auto"/>
          <w:sz w:val="28"/>
          <w:szCs w:val="28"/>
        </w:rPr>
        <w:t>在八都镇、安仁镇、锦溪镇等乡镇竹建设竹材精深加工小微园区，形成独具特色的产业发展集聚地、引领地；</w:t>
      </w:r>
      <w:r>
        <w:rPr>
          <w:rFonts w:hint="eastAsia" w:ascii="宋体" w:hAnsi="宋体"/>
          <w:b/>
          <w:color w:val="auto"/>
          <w:kern w:val="44"/>
          <w:sz w:val="28"/>
          <w:szCs w:val="28"/>
        </w:rPr>
        <w:t>建设一批小微园区和笋竹初级加工点，详见</w:t>
      </w:r>
      <w:r>
        <w:rPr>
          <w:rFonts w:hint="eastAsia"/>
          <w:b/>
          <w:color w:val="auto"/>
          <w:sz w:val="28"/>
          <w:szCs w:val="28"/>
        </w:rPr>
        <w:t>附表；通过笋竹初级加工点和小微园区建设，每年加工消耗竹材3000万株以上、竹笋1万吨。</w:t>
      </w:r>
    </w:p>
    <w:p w14:paraId="338B1B2E">
      <w:pPr>
        <w:ind w:firstLine="64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（2）领军企业集聚提升建设项目。</w:t>
      </w:r>
    </w:p>
    <w:p w14:paraId="415A2EB0">
      <w:pPr>
        <w:ind w:firstLine="640"/>
        <w:jc w:val="left"/>
        <w:rPr>
          <w:b/>
          <w:bCs/>
          <w:color w:val="auto"/>
          <w:sz w:val="28"/>
          <w:szCs w:val="28"/>
        </w:rPr>
      </w:pPr>
      <w:r>
        <w:rPr>
          <w:rFonts w:ascii="宋体" w:hAnsi="宋体"/>
          <w:bCs/>
          <w:color w:val="auto"/>
          <w:kern w:val="44"/>
          <w:sz w:val="28"/>
          <w:szCs w:val="28"/>
        </w:rPr>
        <w:t>龙泉市在</w:t>
      </w:r>
      <w:r>
        <w:rPr>
          <w:rFonts w:ascii="宋体" w:hAnsi="宋体"/>
          <w:b/>
          <w:color w:val="auto"/>
          <w:kern w:val="44"/>
          <w:sz w:val="28"/>
          <w:szCs w:val="28"/>
        </w:rPr>
        <w:t>竹木小家具、厨房用品、木制玩具、户外休闲用品</w:t>
      </w:r>
      <w:r>
        <w:rPr>
          <w:rFonts w:ascii="宋体" w:hAnsi="宋体"/>
          <w:bCs/>
          <w:color w:val="auto"/>
          <w:kern w:val="44"/>
          <w:sz w:val="28"/>
          <w:szCs w:val="28"/>
        </w:rPr>
        <w:t>等领域已形成特色产业优势，培育出浙江能福旅游用品发展有限公司、浙江千束家居用品有限公司、浙江恒祥玩具集团有限公司等龙头企业，产业发展势头良好、龙头带动效应明显。龙泉市应立足“龙泉竹居”产业生态体系建设，聚焦家具板材、厨房用品、休闲玩具等主打领域，围绕当地龙头企业发展，将细分产业做深做透，持续巩固提升现有优势。</w:t>
      </w:r>
      <w:r>
        <w:rPr>
          <w:rFonts w:hint="eastAsia" w:ascii="宋体" w:hAnsi="宋体"/>
          <w:bCs/>
          <w:color w:val="auto"/>
          <w:kern w:val="44"/>
          <w:sz w:val="28"/>
          <w:szCs w:val="28"/>
        </w:rPr>
        <w:t>提升企业的创新意识、品牌意识、规模意识等。完善省级以上龙头企业等企业品牌申报与评定工作</w:t>
      </w:r>
      <w:r>
        <w:rPr>
          <w:rFonts w:hint="eastAsia" w:ascii="Microsoft Yi Baiti" w:hAnsi="Microsoft Yi Baiti" w:cs="Microsoft Yi Baiti"/>
          <w:bCs/>
          <w:color w:val="auto"/>
          <w:kern w:val="44"/>
          <w:sz w:val="28"/>
          <w:szCs w:val="28"/>
        </w:rPr>
        <w:t>，</w:t>
      </w:r>
      <w:r>
        <w:rPr>
          <w:rFonts w:hint="eastAsia" w:ascii="宋体" w:hAnsi="宋体"/>
          <w:bCs/>
          <w:color w:val="auto"/>
          <w:kern w:val="44"/>
          <w:sz w:val="28"/>
          <w:szCs w:val="28"/>
        </w:rPr>
        <w:t>推进企业建设与产业培育规范化、规模化和现代化</w:t>
      </w:r>
      <w:r>
        <w:rPr>
          <w:rFonts w:hint="eastAsia" w:ascii="Microsoft Yi Baiti" w:hAnsi="Microsoft Yi Baiti" w:cs="Microsoft Yi Baiti"/>
          <w:bCs/>
          <w:color w:val="auto"/>
          <w:kern w:val="44"/>
          <w:sz w:val="28"/>
          <w:szCs w:val="28"/>
        </w:rPr>
        <w:t>。营造良好的发展环境，引进一批在</w:t>
      </w:r>
      <w:r>
        <w:rPr>
          <w:rFonts w:hint="eastAsia" w:ascii="Microsoft Yi Baiti" w:hAnsi="Microsoft Yi Baiti" w:cs="Microsoft Yi Baiti"/>
          <w:b/>
          <w:color w:val="auto"/>
          <w:kern w:val="44"/>
          <w:sz w:val="28"/>
          <w:szCs w:val="28"/>
        </w:rPr>
        <w:t>竹木日用品、竹木加工机械、竹质结构材</w:t>
      </w:r>
      <w:r>
        <w:rPr>
          <w:rFonts w:hint="eastAsia" w:ascii="Microsoft Yi Baiti" w:hAnsi="Microsoft Yi Baiti" w:cs="Microsoft Yi Baiti"/>
          <w:bCs/>
          <w:color w:val="auto"/>
          <w:kern w:val="44"/>
          <w:sz w:val="28"/>
          <w:szCs w:val="28"/>
        </w:rPr>
        <w:t>等产品上有实力、有品牌、高附加值和科技含量高的加工企业。加快推进上下游企业之间、生产企业与研发机构之间的强强联合，鼓励和帮助竹加工企业通过联营、合并、兼并等方式组建一批拥有自主知识产权、核心竞争力强的大型企业集团，培育企业上市，利用资本市场发展竹加工产业。加大企业家、高级管理和技术研发人才培养引进力度，建立一支懂经营、擅管理、善钻研、具备国际化视野和战略思维的高端人才队伍。加大对技能型产业工人的培养培训力度，为企业订单式培养人才；建立健全企业鼓励人才创新的激励机制和科技成果有偿转移机制。支持有条件的龙头骨干企业实行期权、股权激励人才，打造产业集群创业创新团队。</w:t>
      </w:r>
      <w:r>
        <w:rPr>
          <w:rFonts w:hint="eastAsia"/>
          <w:b/>
          <w:bCs/>
          <w:color w:val="auto"/>
          <w:sz w:val="28"/>
          <w:szCs w:val="28"/>
        </w:rPr>
        <w:t>到2027年，培育国家级重点龙头企业2家，高新技术企业5家，产值1亿元企业8家，规上企业50家。</w:t>
      </w:r>
    </w:p>
    <w:p w14:paraId="7B43F167">
      <w:pPr>
        <w:ind w:firstLine="562" w:firstLineChars="200"/>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（3）智能竹木加工装备升级建设项目。</w:t>
      </w:r>
    </w:p>
    <w:p w14:paraId="4B8F66A7">
      <w:pPr>
        <w:ind w:firstLine="560" w:firstLineChars="200"/>
        <w:rPr>
          <w:rFonts w:ascii="宋体" w:hAnsi="宋体"/>
          <w:bCs/>
          <w:color w:val="auto"/>
          <w:kern w:val="44"/>
          <w:sz w:val="28"/>
          <w:szCs w:val="28"/>
        </w:rPr>
      </w:pPr>
      <w:r>
        <w:rPr>
          <w:rFonts w:hint="eastAsia" w:ascii="宋体" w:hAnsi="宋体"/>
          <w:bCs/>
          <w:color w:val="auto"/>
          <w:kern w:val="44"/>
          <w:sz w:val="28"/>
          <w:szCs w:val="28"/>
        </w:rPr>
        <w:t>不断提升竹工装备的机械化和智能化程度，提高龙泉市竹工装备的自主化设计及创新水平。以借助国家林草装备创新园和竹材加工装备产业协会，引导龙泉市竹木加工机械化提升，应用新型加工装备技术。支持本土龙头竹工机械生产企业联合相关科研机构开展联合攻关，重点发展</w:t>
      </w:r>
      <w:r>
        <w:rPr>
          <w:rFonts w:hint="eastAsia" w:ascii="宋体" w:hAnsi="宋体"/>
          <w:b/>
          <w:color w:val="auto"/>
          <w:kern w:val="44"/>
          <w:sz w:val="28"/>
          <w:szCs w:val="28"/>
        </w:rPr>
        <w:t>便携式智能竹工机械装备，推动传感技术、智能控制技术、物联网技术等在竹工装备领域的应用</w:t>
      </w:r>
      <w:r>
        <w:rPr>
          <w:rFonts w:hint="eastAsia" w:ascii="宋体" w:hAnsi="宋体"/>
          <w:bCs/>
          <w:color w:val="auto"/>
          <w:kern w:val="44"/>
          <w:sz w:val="28"/>
          <w:szCs w:val="28"/>
        </w:rPr>
        <w:t>，加快发展</w:t>
      </w:r>
      <w:r>
        <w:rPr>
          <w:rFonts w:hint="eastAsia" w:ascii="宋体" w:hAnsi="宋体"/>
          <w:b/>
          <w:color w:val="auto"/>
          <w:kern w:val="44"/>
          <w:sz w:val="28"/>
          <w:szCs w:val="28"/>
        </w:rPr>
        <w:t>高精度、智能化的送料机、竹家具加工机等竹工装备</w:t>
      </w:r>
      <w:r>
        <w:rPr>
          <w:rFonts w:hint="eastAsia" w:ascii="宋体" w:hAnsi="宋体"/>
          <w:bCs/>
          <w:color w:val="auto"/>
          <w:kern w:val="44"/>
          <w:sz w:val="28"/>
          <w:szCs w:val="28"/>
        </w:rPr>
        <w:t>。加强与国内名校参与合作研发，建立更加通畅高效的校企合作科研激励机制，吸引更广泛名校科技人才，促进加工机械制造升级。</w:t>
      </w:r>
      <w:r>
        <w:rPr>
          <w:rFonts w:ascii="宋体" w:hAnsi="宋体"/>
          <w:bCs/>
          <w:color w:val="auto"/>
          <w:kern w:val="44"/>
          <w:sz w:val="28"/>
          <w:szCs w:val="28"/>
        </w:rPr>
        <w:t>选取技术研发领先、机械化程度高、竹材利用率高、产品设计多样的典型企业，宣传推广其生产经营模式，带动中小企业逐步提升产品质量、优化产品功能、形成品牌特色，改变消费者对竹材整体评价低的印象，提升市场对龙泉市竹木产</w:t>
      </w:r>
      <w:r>
        <w:rPr>
          <w:rFonts w:hint="eastAsia" w:ascii="宋体" w:hAnsi="宋体"/>
          <w:bCs/>
          <w:color w:val="auto"/>
          <w:kern w:val="44"/>
          <w:sz w:val="28"/>
          <w:szCs w:val="28"/>
        </w:rPr>
        <w:t>品的认可度。</w:t>
      </w:r>
      <w:r>
        <w:rPr>
          <w:rFonts w:hint="eastAsia" w:ascii="宋体" w:hAnsi="宋体"/>
          <w:b/>
          <w:color w:val="auto"/>
          <w:kern w:val="44"/>
          <w:sz w:val="28"/>
          <w:szCs w:val="28"/>
        </w:rPr>
        <w:t>至2027年，设备更新改造提升涉及企业50家；更新设备100台套，增加30%产能；争创浙江省林业机械装备创新试验基地2个、国家级1个。</w:t>
      </w:r>
    </w:p>
    <w:p w14:paraId="757E45D2">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（4）产业科技支撑能力建设项目。</w:t>
      </w:r>
    </w:p>
    <w:p w14:paraId="6944294B">
      <w:pPr>
        <w:ind w:firstLine="560" w:firstLineChars="200"/>
        <w:jc w:val="left"/>
        <w:rPr>
          <w:rFonts w:ascii="宋体" w:hAnsi="宋体"/>
          <w:b/>
          <w:color w:val="auto"/>
          <w:kern w:val="44"/>
          <w:sz w:val="28"/>
          <w:szCs w:val="28"/>
        </w:rPr>
      </w:pPr>
      <w:r>
        <w:rPr>
          <w:rFonts w:ascii="宋体" w:hAnsi="宋体"/>
          <w:bCs/>
          <w:color w:val="auto"/>
          <w:kern w:val="44"/>
          <w:sz w:val="28"/>
          <w:szCs w:val="28"/>
        </w:rPr>
        <w:t>龙泉市竹林资源丰富，竹木产业稳步增长，但整体来看，仍存在创新能力不强、质量效益不高、资源利用不充分等问题。龙泉市应加强科技创新，注重产学研合作，大力推动竹木产品加工设备研发、技术创新，积极结合物联网、人工智能等新兴技术促进产业发展。</w:t>
      </w:r>
      <w:r>
        <w:rPr>
          <w:rFonts w:hint="eastAsia" w:ascii="宋体" w:hAnsi="宋体"/>
          <w:bCs/>
          <w:color w:val="auto"/>
          <w:kern w:val="44"/>
          <w:sz w:val="28"/>
          <w:szCs w:val="28"/>
        </w:rPr>
        <w:t>加大研发投入，设立竹产业发展专项经费，集聚创新力量，加强创新载体、人才团队和创新能力建设，构建政产学研用紧密结合的创新机制和模式，吸引和支持</w:t>
      </w:r>
      <w:r>
        <w:rPr>
          <w:rFonts w:hint="eastAsia" w:ascii="宋体" w:hAnsi="宋体"/>
          <w:b/>
          <w:color w:val="auto"/>
          <w:kern w:val="44"/>
          <w:sz w:val="28"/>
          <w:szCs w:val="28"/>
        </w:rPr>
        <w:t>中国林业科学研究院、国际竹藤中心、国家林业和草原局竹子研究开发中心、浙江大学、浙江农林大学、浙江省林业科学研究院</w:t>
      </w:r>
      <w:r>
        <w:rPr>
          <w:rFonts w:hint="eastAsia" w:ascii="宋体" w:hAnsi="宋体"/>
          <w:bCs/>
          <w:color w:val="auto"/>
          <w:kern w:val="44"/>
          <w:sz w:val="28"/>
          <w:szCs w:val="28"/>
        </w:rPr>
        <w:t>等高校、科研院所开展与企业联合开展竹产业发展“卡脖子”技术、前沿引领技术、智能制造技术、颠覆性技术攻关，加快构建竹业循环绿色经济复合产业链，强化笋、竹加工废弃物利用的研发、多元化利用和产业化力度，抓住全球及国内限塑禁塑的良好契机，加快引导企业“以竹代塑”产品研发，重点开展</w:t>
      </w:r>
      <w:r>
        <w:rPr>
          <w:rFonts w:ascii="宋体" w:hAnsi="宋体"/>
          <w:b/>
          <w:color w:val="auto"/>
          <w:kern w:val="44"/>
          <w:sz w:val="28"/>
          <w:szCs w:val="28"/>
        </w:rPr>
        <w:t>木竹材防腐、防霉、防虫蛀、防开裂、防脱胶等重点技术研发攻关</w:t>
      </w:r>
      <w:r>
        <w:rPr>
          <w:rFonts w:ascii="宋体" w:hAnsi="宋体"/>
          <w:bCs/>
          <w:color w:val="auto"/>
          <w:kern w:val="44"/>
          <w:sz w:val="28"/>
          <w:szCs w:val="28"/>
        </w:rPr>
        <w:t>并推广应用</w:t>
      </w:r>
      <w:r>
        <w:rPr>
          <w:rFonts w:hint="eastAsia" w:ascii="宋体" w:hAnsi="宋体"/>
          <w:bCs/>
          <w:color w:val="auto"/>
          <w:kern w:val="44"/>
          <w:sz w:val="28"/>
          <w:szCs w:val="28"/>
        </w:rPr>
        <w:t>。</w:t>
      </w:r>
      <w:r>
        <w:rPr>
          <w:rFonts w:ascii="宋体" w:hAnsi="宋体"/>
          <w:bCs/>
          <w:color w:val="auto"/>
          <w:kern w:val="44"/>
          <w:sz w:val="28"/>
          <w:szCs w:val="28"/>
        </w:rPr>
        <w:t>大力发展竹木加工设备。以资金奖励、费用补贴等形式鼓励企业加大竹木加工设备采购、研发投入；加大对龙泉市大展竹科技有限责任公司等本土竹木加工设备企业的培育力度，引导企业做大做强鼓励企业积极开发</w:t>
      </w:r>
      <w:r>
        <w:rPr>
          <w:rFonts w:ascii="宋体" w:hAnsi="宋体"/>
          <w:b/>
          <w:color w:val="auto"/>
          <w:kern w:val="44"/>
          <w:sz w:val="28"/>
          <w:szCs w:val="28"/>
        </w:rPr>
        <w:t>圆竹展平、刨切薄片、纵向接长、无胶拼接、缠绕成型、重组竹材制备、竹材连续化初加工、可降解竹基复合材料等新型竹木生产加工技术</w:t>
      </w:r>
      <w:r>
        <w:rPr>
          <w:rFonts w:ascii="宋体" w:hAnsi="宋体"/>
          <w:bCs/>
          <w:color w:val="auto"/>
          <w:kern w:val="44"/>
          <w:sz w:val="28"/>
          <w:szCs w:val="28"/>
        </w:rPr>
        <w:t>；推广在竹木加工生产中应用竹生物质气化发电、气炭联产等模式，加强笋竹加工废料回收再利用，产出热能、电能、竹炭等具有经济价值的产品，实现全竹利用、循环利用。</w:t>
      </w:r>
      <w:r>
        <w:rPr>
          <w:rFonts w:hint="eastAsia" w:ascii="宋体" w:hAnsi="宋体"/>
          <w:bCs/>
          <w:color w:val="auto"/>
          <w:kern w:val="44"/>
          <w:sz w:val="28"/>
          <w:szCs w:val="28"/>
        </w:rPr>
        <w:t>引导和推动竹产业企业积极参与国际标准、国家标准、行业标准、省级地方标准的制定和修订，提升标准的话语权。</w:t>
      </w:r>
      <w:r>
        <w:rPr>
          <w:rFonts w:hint="eastAsia" w:ascii="宋体" w:hAnsi="宋体"/>
          <w:b/>
          <w:color w:val="auto"/>
          <w:kern w:val="44"/>
          <w:sz w:val="28"/>
          <w:szCs w:val="28"/>
        </w:rPr>
        <w:t>到2027年，建成竹产业相关研发中心、研发平台、检测分析中心等8家，引进人才150人次、团队6个；建立科技示范基地10处，专利100项，标准规程5个，研发新产品20个，有力支撑龙泉市笋竹加工和剩余物综合利用。</w:t>
      </w:r>
    </w:p>
    <w:p w14:paraId="627E5AAD">
      <w:pPr>
        <w:pStyle w:val="10"/>
        <w:ind w:firstLine="0"/>
        <w:outlineLvl w:val="1"/>
        <w:rPr>
          <w:color w:val="auto"/>
        </w:rPr>
      </w:pPr>
      <w:bookmarkStart w:id="60" w:name="_Toc161954068"/>
      <w:bookmarkStart w:id="61" w:name="_Toc29848"/>
      <w:r>
        <w:rPr>
          <w:rFonts w:hint="eastAsia"/>
          <w:color w:val="auto"/>
        </w:rPr>
        <w:t>5.3 加大培育竹木文旅产业</w:t>
      </w:r>
      <w:bookmarkEnd w:id="60"/>
      <w:bookmarkEnd w:id="61"/>
    </w:p>
    <w:p w14:paraId="18C1CDFD">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（1）多元市场营销体系建设项目。</w:t>
      </w:r>
    </w:p>
    <w:p w14:paraId="22368896">
      <w:pPr>
        <w:ind w:firstLine="560" w:firstLineChars="200"/>
        <w:jc w:val="left"/>
        <w:rPr>
          <w:rFonts w:ascii="宋体" w:hAnsi="宋体"/>
          <w:bCs/>
          <w:color w:val="auto"/>
          <w:kern w:val="44"/>
          <w:sz w:val="28"/>
          <w:szCs w:val="28"/>
        </w:rPr>
      </w:pPr>
      <w:r>
        <w:rPr>
          <w:rFonts w:hint="eastAsia" w:ascii="宋体" w:hAnsi="宋体"/>
          <w:bCs/>
          <w:color w:val="auto"/>
          <w:kern w:val="44"/>
          <w:sz w:val="28"/>
          <w:szCs w:val="28"/>
        </w:rPr>
        <w:t>围绕构建国内大循环、国内国际双循环的市场发展新格局，培育竹产业集聚中心、竹产品交易中心和全国价格信息发布中心。发挥展会经济，在全国凉席产品交易会的基础上，拓展展会内容和笋竹产品应用领域，积极探讨举办龙泉竹产业国际博览会，搭建产业合作、招商引资、经贸洽谈平台，促进产销对接，推动产业发展。借助网络、信息等新媒体，利用直播带货、淘宝村等新型销售模式，加快培育和</w:t>
      </w:r>
      <w:r>
        <w:rPr>
          <w:rFonts w:hint="eastAsia" w:ascii="宋体" w:hAnsi="宋体" w:cs="Calibri"/>
          <w:bCs/>
          <w:color w:val="auto"/>
          <w:kern w:val="44"/>
          <w:sz w:val="28"/>
          <w:szCs w:val="28"/>
        </w:rPr>
        <w:t>建设笋竹制品市场销售体系，大力发展电子交易、在线支付、物流配送、过程追溯等现代物流业和新型营销方式，</w:t>
      </w:r>
      <w:r>
        <w:rPr>
          <w:rFonts w:hint="eastAsia" w:ascii="宋体" w:hAnsi="宋体"/>
          <w:bCs/>
          <w:color w:val="auto"/>
          <w:kern w:val="44"/>
          <w:sz w:val="28"/>
          <w:szCs w:val="28"/>
        </w:rPr>
        <w:t>积极拓展“以竹代木”、“以竹代塑”产品市场，推进笋竹产品线上线下交易。同时加强市场监管，制定电子交易标准规范，开发符合笋竹产品电子商务平台的软硬件。</w:t>
      </w:r>
    </w:p>
    <w:p w14:paraId="434F88FE">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（2）竹文化创意基地建设项目。</w:t>
      </w:r>
    </w:p>
    <w:p w14:paraId="0BA77334">
      <w:pPr>
        <w:ind w:firstLine="560" w:firstLineChars="200"/>
        <w:rPr>
          <w:rFonts w:ascii="宋体" w:hAnsi="宋体"/>
          <w:b/>
          <w:bCs/>
          <w:color w:val="auto"/>
          <w:sz w:val="28"/>
          <w:szCs w:val="28"/>
        </w:rPr>
      </w:pPr>
      <w:r>
        <w:rPr>
          <w:rFonts w:hint="eastAsia" w:ascii="宋体" w:hAnsi="宋体"/>
          <w:color w:val="auto"/>
          <w:sz w:val="28"/>
          <w:szCs w:val="28"/>
        </w:rPr>
        <w:t>深化竹子与历史、文化和民俗的融合，充分发掘</w:t>
      </w:r>
      <w:r>
        <w:rPr>
          <w:rFonts w:hint="eastAsia" w:ascii="宋体" w:hAnsi="宋体"/>
          <w:b/>
          <w:bCs/>
          <w:color w:val="auto"/>
          <w:sz w:val="28"/>
          <w:szCs w:val="28"/>
        </w:rPr>
        <w:t>龙泉乡土剑瓷文化与竹文化的融合</w:t>
      </w:r>
      <w:r>
        <w:rPr>
          <w:rFonts w:hint="eastAsia" w:ascii="宋体" w:hAnsi="宋体"/>
          <w:color w:val="auto"/>
          <w:sz w:val="28"/>
          <w:szCs w:val="28"/>
        </w:rPr>
        <w:t>，传承发展竹扇、竹雕刻、竹编等非物质文化遗产。引进文创名人或文化传媒名企机构，建立竹文化基地、主题公园、主题酒店、主题餐厅及竹工艺设计中心、大师工作室等，举办</w:t>
      </w:r>
      <w:r>
        <w:rPr>
          <w:rFonts w:hint="eastAsia" w:ascii="宋体" w:hAnsi="宋体"/>
          <w:b/>
          <w:color w:val="auto"/>
          <w:sz w:val="28"/>
          <w:szCs w:val="28"/>
        </w:rPr>
        <w:t>竹文化高峰论坛、竹产品创意设计大赛、竹文化节、竹主题动漫形象设计</w:t>
      </w:r>
      <w:r>
        <w:rPr>
          <w:rFonts w:hint="eastAsia" w:ascii="宋体" w:hAnsi="宋体"/>
          <w:color w:val="auto"/>
          <w:sz w:val="28"/>
          <w:szCs w:val="28"/>
        </w:rPr>
        <w:t>等活动，推动竹文创产品与生产、旅游有机结合，</w:t>
      </w:r>
      <w:r>
        <w:rPr>
          <w:rFonts w:hint="eastAsia" w:ascii="宋体" w:hAnsi="宋体"/>
          <w:b/>
          <w:bCs/>
          <w:color w:val="auto"/>
          <w:sz w:val="28"/>
          <w:szCs w:val="28"/>
        </w:rPr>
        <w:t>到2027年，在龙泉举办笋竹擂台赛3次、设计大赛5次，竹木文化节2次，累计举办10次以上活动。</w:t>
      </w:r>
    </w:p>
    <w:p w14:paraId="6BBD7952">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（3）竹木品牌发展战略建设项目。</w:t>
      </w:r>
    </w:p>
    <w:p w14:paraId="5920B2EC">
      <w:pPr>
        <w:ind w:firstLine="560" w:firstLineChars="200"/>
        <w:jc w:val="left"/>
        <w:rPr>
          <w:rFonts w:ascii="宋体" w:hAnsi="宋体"/>
          <w:b/>
          <w:color w:val="auto"/>
          <w:kern w:val="44"/>
          <w:sz w:val="28"/>
          <w:szCs w:val="28"/>
        </w:rPr>
      </w:pPr>
      <w:r>
        <w:rPr>
          <w:rFonts w:hint="eastAsia" w:ascii="宋体" w:hAnsi="宋体"/>
          <w:color w:val="auto"/>
          <w:sz w:val="28"/>
          <w:szCs w:val="28"/>
        </w:rPr>
        <w:t>聚焦提升龙泉竹产业区域品牌影响力，结合龙泉市乡</w:t>
      </w:r>
      <w:r>
        <w:rPr>
          <w:rFonts w:hint="eastAsia" w:ascii="宋体" w:hAnsi="宋体"/>
          <w:bCs/>
          <w:color w:val="auto"/>
          <w:kern w:val="44"/>
          <w:sz w:val="28"/>
          <w:szCs w:val="28"/>
        </w:rPr>
        <w:t>村农业产业“1+1+N”品牌发展战略三年行动计划，以县域品牌和省级林业重点龙头企业知名品牌为基础，积极整合竹产业品牌资源，打造区域品牌和企业名牌，建立品牌标准、认证、标识以及全程追溯管理体系。支持龙头企业积极申报驰名商标、著名商标、知名品牌和建立优质基地，鼓励经营主体采用区域公用商标（地理标志保护产品标志）+企业（产品）商标模式。</w:t>
      </w:r>
      <w:r>
        <w:rPr>
          <w:rFonts w:hint="eastAsia" w:ascii="宋体" w:hAnsi="宋体"/>
          <w:color w:val="auto"/>
          <w:sz w:val="28"/>
          <w:szCs w:val="28"/>
        </w:rPr>
        <w:t>深化与中央电视台、浙江电视台等传统媒体以及抖音、微博、微信等新兴传媒的宣传合作，</w:t>
      </w:r>
      <w:r>
        <w:rPr>
          <w:rFonts w:hint="eastAsia" w:ascii="宋体" w:hAnsi="宋体"/>
          <w:bCs/>
          <w:color w:val="auto"/>
          <w:kern w:val="44"/>
          <w:sz w:val="28"/>
          <w:szCs w:val="28"/>
        </w:rPr>
        <w:t>集中力量打造现有的“龙尚竹”竹木区域公用品牌，增强品牌效力，并新创培育 “龙尚竹”商标等省级以上品牌，并开展多角度、全方位、立体式宣传；引导和鼓励企业积极参加中国义乌国际森林产品博览会、</w:t>
      </w:r>
      <w:r>
        <w:rPr>
          <w:rFonts w:ascii="宋体" w:hAnsi="宋体"/>
          <w:bCs/>
          <w:color w:val="auto"/>
          <w:kern w:val="44"/>
          <w:sz w:val="28"/>
          <w:szCs w:val="28"/>
        </w:rPr>
        <w:t>中国竹业博览会</w:t>
      </w:r>
      <w:r>
        <w:rPr>
          <w:rFonts w:hint="eastAsia" w:ascii="宋体" w:hAnsi="宋体"/>
          <w:bCs/>
          <w:color w:val="auto"/>
          <w:kern w:val="44"/>
          <w:sz w:val="28"/>
          <w:szCs w:val="28"/>
        </w:rPr>
        <w:t>等国内和国外大型知名博览会、展览会、商交会和推介会；对在国内高铁、航空、码头、省级电视台以及4A级以上旅游景点等载体宣传推介的经营主体给予一定比例的以奖代补宣传推介费用补贴。</w:t>
      </w:r>
      <w:r>
        <w:rPr>
          <w:rFonts w:hint="eastAsia" w:ascii="宋体" w:hAnsi="宋体"/>
          <w:b/>
          <w:color w:val="auto"/>
          <w:kern w:val="44"/>
          <w:sz w:val="28"/>
          <w:szCs w:val="28"/>
        </w:rPr>
        <w:t>到2027年，培育企业品牌 10个，重点打造公共品牌 1个（龙尚竹），品牌影响力在业内不断提升。</w:t>
      </w:r>
    </w:p>
    <w:p w14:paraId="5C0A733C">
      <w:pPr>
        <w:ind w:firstLine="562" w:firstLineChars="200"/>
        <w:jc w:val="left"/>
        <w:outlineLvl w:val="2"/>
        <w:rPr>
          <w:rFonts w:ascii="楷体_GB2312" w:hAnsi="楷体_GB2312" w:eastAsia="楷体_GB2312" w:cs="楷体_GB2312"/>
          <w:b/>
          <w:color w:val="auto"/>
          <w:sz w:val="28"/>
          <w:szCs w:val="28"/>
        </w:rPr>
      </w:pPr>
      <w:r>
        <w:rPr>
          <w:rFonts w:hint="eastAsia" w:ascii="楷体_GB2312" w:hAnsi="楷体_GB2312" w:eastAsia="楷体_GB2312" w:cs="楷体_GB2312"/>
          <w:b/>
          <w:color w:val="auto"/>
          <w:sz w:val="28"/>
          <w:szCs w:val="28"/>
        </w:rPr>
        <w:t>（4）森林旅游康养基地建设项目。</w:t>
      </w:r>
    </w:p>
    <w:p w14:paraId="175D74DB">
      <w:pPr>
        <w:ind w:firstLine="560" w:firstLineChars="200"/>
        <w:rPr>
          <w:rFonts w:ascii="宋体" w:hAnsi="宋体"/>
          <w:color w:val="auto"/>
          <w:sz w:val="28"/>
          <w:szCs w:val="28"/>
        </w:rPr>
      </w:pPr>
      <w:r>
        <w:rPr>
          <w:rFonts w:hint="eastAsia" w:ascii="宋体" w:hAnsi="宋体"/>
          <w:color w:val="auto"/>
          <w:sz w:val="28"/>
          <w:szCs w:val="28"/>
        </w:rPr>
        <w:t>推进竹产业与文化产业、旅游产业、健康养生等产业融合发展，实现竹产业多元化发展，形成叠加互补效应。</w:t>
      </w:r>
      <w:r>
        <w:rPr>
          <w:rFonts w:ascii="宋体" w:hAnsi="宋体"/>
          <w:color w:val="auto"/>
          <w:sz w:val="28"/>
          <w:szCs w:val="28"/>
        </w:rPr>
        <w:t>系统开展竹与生态养生、竹与村居、竹与饮食、竹与传统工艺、竹与民俗文化等主题研究，深度推进竹林资源开发，因地制宜建设竹博园、竹文化博物馆，兴建竹子主题文化度假酒店、竹文化主题公园、竹林康养基地，谋划竹特色小镇、竹特色村，开展竹文化民宿、竹趣农家乐、竹林氧吧建设，举办竹文化节、竹文化夏令营等活动，创建竹文化特色学校、竹摄影基地、竹绘画写生基地等，开发食疗、药疗、呼吸疗法、运动疗愈等康养系列产品，丰富竹产业发展形态和内涵。</w:t>
      </w:r>
    </w:p>
    <w:p w14:paraId="7EB02AC2">
      <w:pPr>
        <w:ind w:firstLine="560" w:firstLineChars="200"/>
        <w:rPr>
          <w:rFonts w:ascii="宋体" w:hAnsi="宋体"/>
          <w:b/>
          <w:color w:val="auto"/>
          <w:kern w:val="44"/>
          <w:sz w:val="28"/>
          <w:szCs w:val="28"/>
        </w:rPr>
      </w:pPr>
      <w:r>
        <w:rPr>
          <w:rFonts w:ascii="宋体" w:hAnsi="宋体"/>
          <w:color w:val="auto"/>
          <w:sz w:val="28"/>
          <w:szCs w:val="28"/>
        </w:rPr>
        <w:t>推动竹林碳汇建设。响应国家政策号召，以龙泉市成功入选浙江省第一批林业增汇试点县为契机，建设竹林碳汇收储交易中心。</w:t>
      </w:r>
      <w:r>
        <w:rPr>
          <w:rFonts w:hint="eastAsia" w:ascii="宋体" w:hAnsi="宋体"/>
          <w:color w:val="auto"/>
          <w:sz w:val="28"/>
          <w:szCs w:val="28"/>
        </w:rPr>
        <w:t>启动“龙泉森林古道修复工程”，深入开发竹林原生态景观</w:t>
      </w:r>
      <w:r>
        <w:rPr>
          <w:rFonts w:hint="eastAsia" w:ascii="宋体" w:hAnsi="宋体"/>
          <w:bCs/>
          <w:color w:val="auto"/>
          <w:kern w:val="44"/>
          <w:sz w:val="28"/>
          <w:szCs w:val="28"/>
        </w:rPr>
        <w:t>，</w:t>
      </w:r>
      <w:r>
        <w:rPr>
          <w:rFonts w:ascii="宋体" w:hAnsi="宋体"/>
          <w:bCs/>
          <w:color w:val="auto"/>
          <w:kern w:val="44"/>
          <w:sz w:val="28"/>
          <w:szCs w:val="28"/>
        </w:rPr>
        <w:t>推出竹文化旅游线路产品和</w:t>
      </w:r>
      <w:r>
        <w:rPr>
          <w:rFonts w:hint="eastAsia" w:ascii="宋体" w:hAnsi="宋体"/>
          <w:bCs/>
          <w:color w:val="auto"/>
          <w:kern w:val="44"/>
          <w:sz w:val="28"/>
          <w:szCs w:val="28"/>
        </w:rPr>
        <w:t>竹林体验基地、竹林康养基地，举办竹文化节、农事体验和竹林骑行、竹林马拉松等活动</w:t>
      </w:r>
      <w:r>
        <w:rPr>
          <w:rFonts w:hint="eastAsia" w:ascii="宋体" w:hAnsi="宋体"/>
          <w:color w:val="auto"/>
          <w:sz w:val="28"/>
          <w:szCs w:val="28"/>
        </w:rPr>
        <w:t>，</w:t>
      </w:r>
      <w:r>
        <w:rPr>
          <w:rFonts w:ascii="宋体" w:hAnsi="宋体"/>
          <w:bCs/>
          <w:color w:val="auto"/>
          <w:kern w:val="44"/>
          <w:sz w:val="28"/>
          <w:szCs w:val="28"/>
        </w:rPr>
        <w:t>使“竹林+体验”、“竹林+康养”、“竹加工+旅游”、“竹文化创意+旅游”等新业态</w:t>
      </w:r>
      <w:r>
        <w:rPr>
          <w:rFonts w:hint="eastAsia" w:ascii="宋体" w:hAnsi="宋体"/>
          <w:bCs/>
          <w:color w:val="auto"/>
          <w:kern w:val="44"/>
          <w:sz w:val="28"/>
          <w:szCs w:val="28"/>
        </w:rPr>
        <w:t>成为增收富民和乡村振兴的生态绿色产业和新的经济增长点。</w:t>
      </w:r>
      <w:r>
        <w:rPr>
          <w:rFonts w:ascii="宋体" w:hAnsi="宋体"/>
          <w:b/>
          <w:color w:val="auto"/>
          <w:kern w:val="44"/>
          <w:sz w:val="28"/>
          <w:szCs w:val="28"/>
        </w:rPr>
        <w:t>到202</w:t>
      </w:r>
      <w:r>
        <w:rPr>
          <w:rFonts w:hint="eastAsia" w:ascii="宋体" w:hAnsi="宋体"/>
          <w:b/>
          <w:color w:val="auto"/>
          <w:kern w:val="44"/>
          <w:sz w:val="28"/>
          <w:szCs w:val="28"/>
        </w:rPr>
        <w:t>7</w:t>
      </w:r>
      <w:r>
        <w:rPr>
          <w:rFonts w:ascii="宋体" w:hAnsi="宋体"/>
          <w:b/>
          <w:color w:val="auto"/>
          <w:kern w:val="44"/>
          <w:sz w:val="28"/>
          <w:szCs w:val="28"/>
        </w:rPr>
        <w:t>年，打造一批竹产业特色小镇，</w:t>
      </w:r>
      <w:r>
        <w:rPr>
          <w:rFonts w:hint="eastAsia" w:ascii="宋体" w:hAnsi="宋体"/>
          <w:b/>
          <w:color w:val="auto"/>
          <w:kern w:val="44"/>
          <w:sz w:val="28"/>
          <w:szCs w:val="28"/>
        </w:rPr>
        <w:t>争创省级康养小镇1个，省级森林康养基地3个，森林旅游和康养产业年产值突破10亿元</w:t>
      </w:r>
      <w:r>
        <w:rPr>
          <w:rFonts w:ascii="宋体" w:hAnsi="宋体"/>
          <w:b/>
          <w:color w:val="auto"/>
          <w:kern w:val="44"/>
          <w:sz w:val="28"/>
          <w:szCs w:val="28"/>
        </w:rPr>
        <w:t>。</w:t>
      </w:r>
    </w:p>
    <w:p w14:paraId="1190A27F">
      <w:pPr>
        <w:spacing w:line="240" w:lineRule="auto"/>
        <w:jc w:val="left"/>
        <w:rPr>
          <w:rFonts w:ascii="Arial" w:hAnsi="Arial" w:eastAsia="黑体" w:cs="Arial"/>
          <w:color w:val="auto"/>
          <w:sz w:val="20"/>
          <w:szCs w:val="20"/>
        </w:rPr>
      </w:pPr>
      <w:r>
        <w:rPr>
          <w:color w:val="auto"/>
        </w:rPr>
        <w:br w:type="page"/>
      </w:r>
    </w:p>
    <w:p w14:paraId="582F8CA2">
      <w:pPr>
        <w:spacing w:line="500" w:lineRule="exact"/>
        <w:ind w:firstLine="643" w:firstLineChars="200"/>
        <w:jc w:val="center"/>
        <w:outlineLvl w:val="0"/>
        <w:rPr>
          <w:rFonts w:ascii="宋体" w:hAnsi="宋体"/>
          <w:b/>
          <w:bCs/>
          <w:color w:val="auto"/>
          <w:sz w:val="32"/>
          <w:szCs w:val="32"/>
        </w:rPr>
      </w:pPr>
      <w:bookmarkStart w:id="62" w:name="_Toc161954069"/>
      <w:bookmarkStart w:id="63" w:name="_Toc4669"/>
      <w:r>
        <w:rPr>
          <w:rFonts w:hint="eastAsia" w:ascii="宋体" w:hAnsi="宋体"/>
          <w:b/>
          <w:bCs/>
          <w:color w:val="auto"/>
          <w:sz w:val="32"/>
          <w:szCs w:val="32"/>
        </w:rPr>
        <w:t>第六章 重点工程</w:t>
      </w:r>
      <w:bookmarkEnd w:id="62"/>
      <w:bookmarkEnd w:id="63"/>
    </w:p>
    <w:p w14:paraId="2BD6F87D">
      <w:pPr>
        <w:pStyle w:val="10"/>
        <w:ind w:firstLine="0"/>
        <w:outlineLvl w:val="1"/>
        <w:rPr>
          <w:color w:val="auto"/>
        </w:rPr>
      </w:pPr>
      <w:bookmarkStart w:id="64" w:name="_Toc32265"/>
      <w:bookmarkStart w:id="65" w:name="_Toc161954070"/>
      <w:r>
        <w:rPr>
          <w:rFonts w:hint="eastAsia"/>
          <w:color w:val="auto"/>
        </w:rPr>
        <w:t>6.1 特色笋用竹引种栽培示范工程</w:t>
      </w:r>
      <w:bookmarkEnd w:id="64"/>
      <w:bookmarkEnd w:id="65"/>
    </w:p>
    <w:p w14:paraId="23F508A2">
      <w:pPr>
        <w:ind w:firstLine="562" w:firstLineChars="200"/>
        <w:rPr>
          <w:rFonts w:ascii="仿宋_GB2312" w:hAnsi="黑体" w:eastAsia="仿宋_GB2312" w:cs="仿宋_GB2312"/>
          <w:color w:val="auto"/>
          <w:kern w:val="0"/>
          <w:sz w:val="32"/>
          <w:szCs w:val="32"/>
        </w:rPr>
      </w:pPr>
      <w:r>
        <w:rPr>
          <w:rFonts w:hint="eastAsia" w:ascii="宋体" w:hAnsi="宋体"/>
          <w:b/>
          <w:color w:val="auto"/>
          <w:kern w:val="44"/>
          <w:sz w:val="28"/>
          <w:szCs w:val="28"/>
        </w:rPr>
        <w:t>提出理由：</w:t>
      </w:r>
      <w:r>
        <w:rPr>
          <w:rFonts w:asciiTheme="minorEastAsia" w:hAnsiTheme="minorEastAsia" w:eastAsiaTheme="minorEastAsia" w:cstheme="minorEastAsia"/>
          <w:color w:val="auto"/>
          <w:sz w:val="28"/>
          <w:szCs w:val="28"/>
        </w:rPr>
        <w:t>龙泉竹资</w:t>
      </w:r>
      <w:r>
        <w:rPr>
          <w:color w:val="auto"/>
          <w:sz w:val="28"/>
          <w:szCs w:val="20"/>
        </w:rPr>
        <w:t>源储备丰富，是浙江省内第二大毛竹产区，享有“中国特色竹乡”的美誉。毛竹面积61万亩，亩均立竹量达145株，总立竹量达到9600万株，年产竹材1800万株</w:t>
      </w:r>
      <w:r>
        <w:rPr>
          <w:rFonts w:hint="eastAsia"/>
          <w:color w:val="auto"/>
          <w:sz w:val="28"/>
          <w:szCs w:val="20"/>
        </w:rPr>
        <w:t>。</w:t>
      </w:r>
      <w:r>
        <w:rPr>
          <w:color w:val="auto"/>
          <w:sz w:val="28"/>
          <w:szCs w:val="20"/>
        </w:rPr>
        <w:t>传统的毛竹笋用林主要生产冬笋和春笋，但冬笋、春笋的笋期集中、供应季节短，存在着明显的季节性，夏、秋季鲜笋供应不足。</w:t>
      </w:r>
      <w:r>
        <w:rPr>
          <w:rFonts w:hint="eastAsia"/>
          <w:color w:val="auto"/>
          <w:sz w:val="28"/>
          <w:szCs w:val="20"/>
        </w:rPr>
        <w:t>2020年浙江省林业局等8部分出台的《关于加快推进竹产业高质量发展的意见》（浙林改</w:t>
      </w:r>
      <w:r>
        <w:rPr>
          <w:color w:val="auto"/>
          <w:sz w:val="28"/>
          <w:szCs w:val="20"/>
        </w:rPr>
        <w:t xml:space="preserve"> [</w:t>
      </w:r>
      <w:r>
        <w:rPr>
          <w:rFonts w:hint="eastAsia"/>
          <w:color w:val="auto"/>
          <w:sz w:val="28"/>
          <w:szCs w:val="20"/>
        </w:rPr>
        <w:t>2020</w:t>
      </w:r>
      <w:r>
        <w:rPr>
          <w:color w:val="auto"/>
          <w:sz w:val="28"/>
          <w:szCs w:val="20"/>
        </w:rPr>
        <w:t>]</w:t>
      </w:r>
      <w:r>
        <w:rPr>
          <w:rFonts w:hint="eastAsia"/>
          <w:color w:val="auto"/>
          <w:sz w:val="28"/>
          <w:szCs w:val="20"/>
        </w:rPr>
        <w:t>38号）文件明确指出加快黄甜竹、高节竹、绿竹、方竹、雷竹、苦竹等优良笋用竹种培育，延长食用竹笋的供给周期、增加食用竹笋供给种类。近年来，人们对秋季竹笋的需求量逐渐增加，竹农的积极性也逐渐加大。方竹笋期9月~11月，是秋季出笋的优良笋用竹种，可填补季节性鲜笋市场的空白，开发利用前景广阔。</w:t>
      </w:r>
    </w:p>
    <w:p w14:paraId="18E90082">
      <w:pPr>
        <w:pStyle w:val="19"/>
        <w:spacing w:after="0" w:line="360" w:lineRule="auto"/>
        <w:ind w:firstLine="562" w:firstLineChars="200"/>
        <w:rPr>
          <w:color w:val="auto"/>
          <w:kern w:val="2"/>
          <w:szCs w:val="20"/>
        </w:rPr>
      </w:pPr>
      <w:r>
        <w:rPr>
          <w:rFonts w:hint="eastAsia"/>
          <w:b/>
          <w:bCs/>
          <w:color w:val="auto"/>
          <w:kern w:val="2"/>
          <w:szCs w:val="20"/>
        </w:rPr>
        <w:t>建设内容：</w:t>
      </w:r>
      <w:r>
        <w:rPr>
          <w:rFonts w:hint="eastAsia"/>
          <w:bCs/>
          <w:color w:val="auto"/>
          <w:kern w:val="2"/>
        </w:rPr>
        <w:t>以科技创新为依托，</w:t>
      </w:r>
      <w:r>
        <w:rPr>
          <w:rFonts w:hint="eastAsia"/>
          <w:bCs/>
          <w:color w:val="auto"/>
          <w:kern w:val="2"/>
          <w:szCs w:val="20"/>
        </w:rPr>
        <w:t>积极开展方竹引种栽培试验，拓展龙泉市特色笋用新竹种。</w:t>
      </w:r>
      <w:r>
        <w:rPr>
          <w:rFonts w:hint="eastAsia"/>
          <w:bCs/>
          <w:color w:val="auto"/>
        </w:rPr>
        <w:t>以“政府+合作社（乡镇）+村集体+农户”模式，建设标准化方竹引种栽培示范基地，</w:t>
      </w:r>
      <w:r>
        <w:rPr>
          <w:rFonts w:hint="eastAsia"/>
          <w:bCs/>
          <w:color w:val="auto"/>
          <w:kern w:val="2"/>
          <w:szCs w:val="20"/>
        </w:rPr>
        <w:t>加快方竹产业规模化发展。</w:t>
      </w:r>
      <w:r>
        <w:rPr>
          <w:rFonts w:hint="eastAsia"/>
          <w:color w:val="auto"/>
          <w:kern w:val="2"/>
          <w:szCs w:val="20"/>
        </w:rPr>
        <w:t>建设高标准方竹种苗繁育基地，</w:t>
      </w:r>
      <w:r>
        <w:rPr>
          <w:rFonts w:hint="eastAsia"/>
          <w:bCs/>
          <w:color w:val="auto"/>
          <w:kern w:val="2"/>
          <w:szCs w:val="20"/>
        </w:rPr>
        <w:t>探索方竹种苗繁殖技术，加快方竹推广速度。举办竹笋擂台赛，</w:t>
      </w:r>
      <w:r>
        <w:rPr>
          <w:color w:val="auto"/>
          <w:kern w:val="2"/>
          <w:szCs w:val="20"/>
        </w:rPr>
        <w:t>宣传推介方竹产业、方竹系列产品等，</w:t>
      </w:r>
      <w:r>
        <w:rPr>
          <w:bCs/>
          <w:color w:val="auto"/>
          <w:kern w:val="2"/>
          <w:szCs w:val="20"/>
        </w:rPr>
        <w:t>提升</w:t>
      </w:r>
      <w:r>
        <w:rPr>
          <w:rFonts w:hint="eastAsia"/>
          <w:bCs/>
          <w:color w:val="auto"/>
          <w:kern w:val="2"/>
          <w:szCs w:val="20"/>
        </w:rPr>
        <w:t>农民种植热情。加强与科研院所科技合作，</w:t>
      </w:r>
      <w:r>
        <w:rPr>
          <w:rFonts w:hint="eastAsia"/>
          <w:bCs/>
          <w:color w:val="auto"/>
        </w:rPr>
        <w:t>加强产业发展的技术培训，增加技术扶持力度，</w:t>
      </w:r>
      <w:r>
        <w:rPr>
          <w:rFonts w:hint="eastAsia"/>
          <w:bCs/>
          <w:color w:val="auto"/>
          <w:kern w:val="2"/>
          <w:szCs w:val="20"/>
        </w:rPr>
        <w:t>提高</w:t>
      </w:r>
      <w:r>
        <w:rPr>
          <w:rFonts w:hint="eastAsia" w:ascii="Arial" w:hAnsi="Arial" w:cs="Arial"/>
          <w:color w:val="auto"/>
          <w:shd w:val="clear" w:color="auto" w:fill="FFFFFF"/>
        </w:rPr>
        <w:t>方竹</w:t>
      </w:r>
      <w:r>
        <w:rPr>
          <w:rFonts w:ascii="Arial" w:hAnsi="Arial" w:cs="Arial"/>
          <w:color w:val="auto"/>
          <w:shd w:val="clear" w:color="auto" w:fill="FFFFFF"/>
        </w:rPr>
        <w:t>生产经营水平</w:t>
      </w:r>
      <w:r>
        <w:rPr>
          <w:rFonts w:hint="eastAsia" w:ascii="Arial" w:hAnsi="Arial" w:cs="Arial"/>
          <w:color w:val="auto"/>
          <w:shd w:val="clear" w:color="auto" w:fill="FFFFFF"/>
        </w:rPr>
        <w:t>。</w:t>
      </w:r>
    </w:p>
    <w:p w14:paraId="6E3E122C">
      <w:pPr>
        <w:pStyle w:val="19"/>
        <w:spacing w:after="0" w:line="360" w:lineRule="auto"/>
        <w:ind w:firstLine="562" w:firstLineChars="200"/>
        <w:rPr>
          <w:b/>
          <w:bCs/>
          <w:color w:val="auto"/>
          <w:kern w:val="2"/>
          <w:szCs w:val="20"/>
        </w:rPr>
      </w:pPr>
      <w:r>
        <w:rPr>
          <w:rFonts w:hint="eastAsia"/>
          <w:b/>
          <w:bCs/>
          <w:color w:val="auto"/>
          <w:kern w:val="2"/>
          <w:szCs w:val="20"/>
        </w:rPr>
        <w:t>建设地点：</w:t>
      </w:r>
      <w:r>
        <w:rPr>
          <w:rFonts w:hint="eastAsia"/>
          <w:bCs/>
          <w:color w:val="auto"/>
          <w:kern w:val="2"/>
          <w:szCs w:val="20"/>
        </w:rPr>
        <w:t>屏南镇、龙南乡、住龙镇、宝溪乡。</w:t>
      </w:r>
    </w:p>
    <w:p w14:paraId="7C2875DF">
      <w:pPr>
        <w:pStyle w:val="19"/>
        <w:spacing w:after="0" w:line="360" w:lineRule="auto"/>
        <w:ind w:firstLine="562" w:firstLineChars="200"/>
        <w:rPr>
          <w:rFonts w:hint="eastAsia" w:eastAsia="宋体"/>
          <w:color w:val="auto"/>
          <w:kern w:val="2"/>
          <w:szCs w:val="20"/>
          <w:lang w:eastAsia="zh-CN"/>
        </w:rPr>
      </w:pPr>
      <w:r>
        <w:rPr>
          <w:rFonts w:hint="eastAsia"/>
          <w:b/>
          <w:bCs/>
          <w:color w:val="auto"/>
          <w:kern w:val="2"/>
          <w:szCs w:val="20"/>
        </w:rPr>
        <w:t>期限：</w:t>
      </w:r>
      <w:r>
        <w:rPr>
          <w:rFonts w:hint="eastAsia"/>
          <w:color w:val="auto"/>
          <w:kern w:val="2"/>
          <w:szCs w:val="20"/>
        </w:rPr>
        <w:t>5年，即</w:t>
      </w:r>
      <w:r>
        <w:rPr>
          <w:rFonts w:hint="eastAsia"/>
          <w:color w:val="auto"/>
          <w:kern w:val="2"/>
          <w:szCs w:val="20"/>
          <w:lang w:eastAsia="zh-CN"/>
        </w:rPr>
        <w:t>2024-2028</w:t>
      </w:r>
    </w:p>
    <w:p w14:paraId="685774A2">
      <w:pPr>
        <w:pStyle w:val="19"/>
        <w:spacing w:after="0" w:line="360" w:lineRule="auto"/>
        <w:ind w:firstLine="562" w:firstLineChars="200"/>
        <w:rPr>
          <w:bCs/>
          <w:color w:val="auto"/>
        </w:rPr>
      </w:pPr>
      <w:r>
        <w:rPr>
          <w:rFonts w:hint="eastAsia"/>
          <w:b/>
          <w:bCs/>
          <w:color w:val="auto"/>
          <w:kern w:val="2"/>
          <w:szCs w:val="20"/>
        </w:rPr>
        <w:t>建设目标：</w:t>
      </w:r>
      <w:r>
        <w:rPr>
          <w:rFonts w:hint="eastAsia"/>
          <w:color w:val="auto"/>
          <w:kern w:val="2"/>
          <w:szCs w:val="20"/>
        </w:rPr>
        <w:t>至202</w:t>
      </w:r>
      <w:r>
        <w:rPr>
          <w:rFonts w:hint="eastAsia"/>
          <w:color w:val="auto"/>
          <w:kern w:val="2"/>
          <w:szCs w:val="20"/>
          <w:lang w:val="en-US" w:eastAsia="zh-CN"/>
        </w:rPr>
        <w:t>8</w:t>
      </w:r>
      <w:r>
        <w:rPr>
          <w:rFonts w:hint="eastAsia"/>
          <w:color w:val="auto"/>
          <w:kern w:val="2"/>
          <w:szCs w:val="20"/>
        </w:rPr>
        <w:t>年末，方竹引种栽培面积达300亩，建设方竹种苗繁育基地1处。</w:t>
      </w:r>
    </w:p>
    <w:p w14:paraId="42DC2BF9">
      <w:pPr>
        <w:pStyle w:val="10"/>
        <w:ind w:firstLine="562" w:firstLineChars="200"/>
        <w:rPr>
          <w:color w:val="auto"/>
        </w:rPr>
      </w:pPr>
      <w:r>
        <w:rPr>
          <w:rFonts w:hint="eastAsia"/>
          <w:b/>
          <w:bCs/>
          <w:color w:val="auto"/>
        </w:rPr>
        <w:t>建设经费：</w:t>
      </w:r>
      <w:r>
        <w:rPr>
          <w:rFonts w:hint="eastAsia"/>
          <w:color w:val="auto"/>
        </w:rPr>
        <w:t>400万元。</w:t>
      </w:r>
    </w:p>
    <w:p w14:paraId="711EBBFA">
      <w:pPr>
        <w:pStyle w:val="10"/>
        <w:ind w:firstLine="0"/>
        <w:outlineLvl w:val="1"/>
        <w:rPr>
          <w:color w:val="auto"/>
        </w:rPr>
      </w:pPr>
      <w:bookmarkStart w:id="66" w:name="_Toc16291"/>
      <w:bookmarkStart w:id="67" w:name="_Toc161954071"/>
      <w:r>
        <w:rPr>
          <w:rFonts w:hint="eastAsia"/>
          <w:color w:val="auto"/>
        </w:rPr>
        <w:t>6.2竹林FSC认证基地建设工程</w:t>
      </w:r>
      <w:bookmarkEnd w:id="66"/>
      <w:bookmarkEnd w:id="67"/>
    </w:p>
    <w:p w14:paraId="15983DBB">
      <w:pPr>
        <w:pStyle w:val="10"/>
        <w:ind w:firstLine="562" w:firstLineChars="200"/>
        <w:rPr>
          <w:rFonts w:ascii="宋体" w:hAnsi="宋体"/>
          <w:b/>
          <w:color w:val="auto"/>
          <w:kern w:val="44"/>
          <w:szCs w:val="28"/>
        </w:rPr>
      </w:pPr>
      <w:r>
        <w:rPr>
          <w:rFonts w:hint="eastAsia" w:ascii="宋体" w:hAnsi="宋体"/>
          <w:b/>
          <w:color w:val="auto"/>
          <w:kern w:val="44"/>
          <w:szCs w:val="28"/>
        </w:rPr>
        <w:t>提出理由：</w:t>
      </w:r>
      <w:r>
        <w:rPr>
          <w:rFonts w:hint="eastAsia" w:ascii="宋体" w:hAnsi="宋体"/>
          <w:bCs/>
          <w:color w:val="auto"/>
          <w:kern w:val="44"/>
          <w:szCs w:val="28"/>
        </w:rPr>
        <w:t>2</w:t>
      </w:r>
      <w:r>
        <w:rPr>
          <w:rFonts w:ascii="宋体" w:hAnsi="宋体"/>
          <w:bCs/>
          <w:color w:val="auto"/>
          <w:kern w:val="44"/>
          <w:szCs w:val="28"/>
        </w:rPr>
        <w:t>021</w:t>
      </w:r>
      <w:r>
        <w:rPr>
          <w:rFonts w:hint="eastAsia" w:ascii="宋体" w:hAnsi="宋体"/>
          <w:bCs/>
          <w:color w:val="auto"/>
          <w:kern w:val="44"/>
          <w:szCs w:val="28"/>
        </w:rPr>
        <w:t>年，《国家林业和草原局、发改委、科技部等十部门发布关于加快推进竹产业创新发展的意见》文件提出：研究推动竹碳汇产业发展，开展竹林FSC认证基地建设，探索推进竹林碳汇机制创新、技术研发和市场建设。鼓励地方搭建林竹碳汇交易平台，开展竹林FSC认证工作。</w:t>
      </w:r>
    </w:p>
    <w:p w14:paraId="7D82BA3B">
      <w:pPr>
        <w:pStyle w:val="10"/>
        <w:ind w:firstLine="562" w:firstLineChars="200"/>
        <w:rPr>
          <w:rFonts w:ascii="宋体" w:hAnsi="宋体"/>
          <w:color w:val="auto"/>
          <w:kern w:val="44"/>
          <w:szCs w:val="28"/>
        </w:rPr>
      </w:pPr>
      <w:r>
        <w:rPr>
          <w:rFonts w:hint="eastAsia"/>
          <w:b/>
          <w:bCs/>
          <w:color w:val="auto"/>
        </w:rPr>
        <w:t>建设内容：</w:t>
      </w:r>
      <w:r>
        <w:rPr>
          <w:rFonts w:hint="eastAsia"/>
          <w:color w:val="auto"/>
        </w:rPr>
        <w:t>将碎片化的竹林生态资源进行规模化的收储、整合，通过成立竹林碳汇收储交易平台，建立起“林地流转-碳汇收储-基地经营-平台交易-收益反哺”的全链条体系，用竹林碳汇撬动龙泉竹产业发展，建设竹林</w:t>
      </w:r>
      <w:r>
        <w:rPr>
          <w:rFonts w:hint="eastAsia" w:ascii="宋体" w:hAnsi="宋体"/>
          <w:bCs/>
          <w:color w:val="auto"/>
          <w:kern w:val="44"/>
          <w:szCs w:val="28"/>
        </w:rPr>
        <w:t>FSC认证基地</w:t>
      </w:r>
      <w:r>
        <w:rPr>
          <w:rFonts w:hint="eastAsia"/>
          <w:color w:val="auto"/>
        </w:rPr>
        <w:t>。以碳汇交易平台为依托，从村集体（农户）收购竹林碳汇，再交易给购碳企业，从而实现碳汇交易，推进共同富裕，有效助力全国“双碳”目标的实现。</w:t>
      </w:r>
    </w:p>
    <w:p w14:paraId="20974AA8">
      <w:pPr>
        <w:pStyle w:val="10"/>
        <w:ind w:firstLine="562" w:firstLineChars="200"/>
        <w:rPr>
          <w:color w:val="auto"/>
        </w:rPr>
      </w:pPr>
      <w:r>
        <w:rPr>
          <w:rFonts w:hint="eastAsia"/>
          <w:b/>
          <w:bCs/>
          <w:color w:val="auto"/>
        </w:rPr>
        <w:t>建设地点：</w:t>
      </w:r>
      <w:r>
        <w:rPr>
          <w:rFonts w:hint="eastAsia"/>
          <w:color w:val="auto"/>
        </w:rPr>
        <w:t>龙泉市</w:t>
      </w:r>
    </w:p>
    <w:p w14:paraId="0F088F5C">
      <w:pPr>
        <w:ind w:firstLine="562" w:firstLineChars="200"/>
        <w:jc w:val="left"/>
        <w:rPr>
          <w:color w:val="auto"/>
          <w:sz w:val="28"/>
          <w:szCs w:val="20"/>
        </w:rPr>
      </w:pPr>
      <w:r>
        <w:rPr>
          <w:rFonts w:hint="eastAsia"/>
          <w:b/>
          <w:bCs/>
          <w:color w:val="auto"/>
          <w:sz w:val="28"/>
          <w:szCs w:val="20"/>
        </w:rPr>
        <w:t>期限：</w:t>
      </w:r>
      <w:r>
        <w:rPr>
          <w:rFonts w:hint="eastAsia"/>
          <w:color w:val="auto"/>
          <w:sz w:val="28"/>
          <w:szCs w:val="20"/>
        </w:rPr>
        <w:t>2年，即2023-2024</w:t>
      </w:r>
    </w:p>
    <w:p w14:paraId="6B0AE6D9">
      <w:pPr>
        <w:pStyle w:val="10"/>
        <w:ind w:firstLine="562" w:firstLineChars="200"/>
        <w:rPr>
          <w:color w:val="auto"/>
        </w:rPr>
      </w:pPr>
      <w:r>
        <w:rPr>
          <w:rFonts w:hint="eastAsia"/>
          <w:b/>
          <w:bCs/>
          <w:color w:val="auto"/>
        </w:rPr>
        <w:t>目标：</w:t>
      </w:r>
      <w:r>
        <w:rPr>
          <w:rFonts w:hint="eastAsia"/>
          <w:color w:val="auto"/>
        </w:rPr>
        <w:t>至2024年末，通过竹林FSC认证39.9万亩。</w:t>
      </w:r>
    </w:p>
    <w:p w14:paraId="01AC5956">
      <w:pPr>
        <w:pStyle w:val="20"/>
        <w:ind w:left="0" w:leftChars="0" w:firstLine="562" w:firstLineChars="200"/>
        <w:rPr>
          <w:color w:val="auto"/>
        </w:rPr>
      </w:pPr>
      <w:r>
        <w:rPr>
          <w:rFonts w:hint="eastAsia"/>
          <w:b/>
          <w:bCs/>
          <w:color w:val="auto"/>
          <w:kern w:val="2"/>
          <w:sz w:val="28"/>
          <w:szCs w:val="20"/>
        </w:rPr>
        <w:t>经费：</w:t>
      </w:r>
      <w:r>
        <w:rPr>
          <w:rFonts w:hint="eastAsia"/>
          <w:color w:val="auto"/>
          <w:kern w:val="2"/>
          <w:sz w:val="28"/>
          <w:szCs w:val="20"/>
        </w:rPr>
        <w:t>140万元。</w:t>
      </w:r>
    </w:p>
    <w:p w14:paraId="65D87DB8">
      <w:pPr>
        <w:pStyle w:val="10"/>
        <w:ind w:firstLine="0"/>
        <w:outlineLvl w:val="1"/>
        <w:rPr>
          <w:color w:val="auto"/>
        </w:rPr>
      </w:pPr>
      <w:bookmarkStart w:id="68" w:name="_Toc161954072"/>
      <w:bookmarkStart w:id="69" w:name="_Toc12871"/>
      <w:r>
        <w:rPr>
          <w:rFonts w:hint="eastAsia"/>
          <w:color w:val="auto"/>
        </w:rPr>
        <w:t>6.3省级林业机械创新试验示范基地创建工程</w:t>
      </w:r>
      <w:bookmarkEnd w:id="68"/>
      <w:bookmarkEnd w:id="69"/>
    </w:p>
    <w:p w14:paraId="0896B6EB">
      <w:pPr>
        <w:ind w:firstLine="562" w:firstLineChars="200"/>
        <w:rPr>
          <w:color w:val="auto"/>
        </w:rPr>
      </w:pPr>
      <w:r>
        <w:rPr>
          <w:rFonts w:hint="eastAsia" w:ascii="宋体" w:hAnsi="宋体"/>
          <w:b/>
          <w:color w:val="auto"/>
          <w:kern w:val="44"/>
          <w:sz w:val="28"/>
          <w:szCs w:val="28"/>
        </w:rPr>
        <w:t>提出理由：</w:t>
      </w:r>
      <w:r>
        <w:rPr>
          <w:rFonts w:hint="eastAsia" w:ascii="宋体" w:hAnsi="宋体"/>
          <w:bCs/>
          <w:color w:val="auto"/>
          <w:kern w:val="44"/>
          <w:sz w:val="28"/>
          <w:szCs w:val="28"/>
        </w:rPr>
        <w:t>林草机械化和林草装备是转变林草发展方式、提高林草综合生产力的重要基础和保障，在林草高质量发展和林草现代化建设中具有重要作用。依托国家林草装备创新园创新资源优势，加快研发先进制造装备，优化产品生产工艺流程，提高竹林采伐、运输、加工环节机械化水平。支持本地竹产业骨干企业通过延伸产业链、兼并重组、提质增效、做精做优等途径，提升竞争力。鼓励骨干企业率先开展标准化生产，运用现代设施装备，提高竹产品生产经营组织管理效率和效益。</w:t>
      </w:r>
    </w:p>
    <w:p w14:paraId="0A365B3D">
      <w:pPr>
        <w:ind w:firstLine="562" w:firstLineChars="200"/>
        <w:rPr>
          <w:rFonts w:ascii="宋体" w:hAnsi="宋体"/>
          <w:bCs/>
          <w:color w:val="auto"/>
          <w:kern w:val="44"/>
          <w:sz w:val="28"/>
          <w:szCs w:val="28"/>
        </w:rPr>
      </w:pPr>
      <w:r>
        <w:rPr>
          <w:rFonts w:hint="eastAsia" w:ascii="宋体" w:hAnsi="宋体"/>
          <w:b/>
          <w:color w:val="auto"/>
          <w:kern w:val="44"/>
          <w:sz w:val="28"/>
          <w:szCs w:val="28"/>
        </w:rPr>
        <w:t>建设内容：</w:t>
      </w:r>
      <w:r>
        <w:rPr>
          <w:rFonts w:hint="eastAsia" w:ascii="宋体" w:hAnsi="宋体"/>
          <w:bCs/>
          <w:color w:val="auto"/>
          <w:kern w:val="44"/>
          <w:sz w:val="28"/>
          <w:szCs w:val="28"/>
        </w:rPr>
        <w:t>引进研发推广造竹、打蔸、施肥、灌溉、伐竹、挖笋等机具设备；着力研发竹制品绿色生产技术及其工艺设备。在林草生产领域的关键环节或重点领域，试验熟化和推广应用绿色、智能、高效的林草机械装备与宜机化技术，在规模经营、总体效益、管理方式和示范带动等方面形成明显特色和优势。在</w:t>
      </w:r>
      <w:r>
        <w:rPr>
          <w:rFonts w:ascii="宋体" w:hAnsi="宋体"/>
          <w:bCs/>
          <w:color w:val="auto"/>
          <w:kern w:val="44"/>
          <w:sz w:val="28"/>
          <w:szCs w:val="28"/>
        </w:rPr>
        <w:t>竹林经营和初加工</w:t>
      </w:r>
      <w:r>
        <w:rPr>
          <w:rFonts w:hint="eastAsia" w:ascii="宋体" w:hAnsi="宋体"/>
          <w:bCs/>
          <w:color w:val="auto"/>
          <w:kern w:val="44"/>
          <w:sz w:val="28"/>
          <w:szCs w:val="28"/>
        </w:rPr>
        <w:t>方面，</w:t>
      </w:r>
      <w:r>
        <w:rPr>
          <w:rFonts w:ascii="宋体" w:hAnsi="宋体"/>
          <w:bCs/>
          <w:color w:val="auto"/>
          <w:kern w:val="44"/>
          <w:sz w:val="28"/>
          <w:szCs w:val="28"/>
        </w:rPr>
        <w:t>在宜机程度、机械配置、机艺融合、服务保障等方面均取得了较好的成效，</w:t>
      </w:r>
      <w:r>
        <w:rPr>
          <w:rFonts w:hint="eastAsia" w:ascii="宋体" w:hAnsi="宋体"/>
          <w:bCs/>
          <w:color w:val="auto"/>
          <w:kern w:val="44"/>
          <w:sz w:val="28"/>
          <w:szCs w:val="28"/>
        </w:rPr>
        <w:t>有效</w:t>
      </w:r>
      <w:r>
        <w:rPr>
          <w:rFonts w:ascii="宋体" w:hAnsi="宋体"/>
          <w:bCs/>
          <w:color w:val="auto"/>
          <w:kern w:val="44"/>
          <w:sz w:val="28"/>
          <w:szCs w:val="28"/>
        </w:rPr>
        <w:t>推动</w:t>
      </w:r>
      <w:r>
        <w:rPr>
          <w:rFonts w:hint="eastAsia" w:ascii="宋体" w:hAnsi="宋体"/>
          <w:bCs/>
          <w:color w:val="auto"/>
          <w:kern w:val="44"/>
          <w:sz w:val="28"/>
          <w:szCs w:val="28"/>
        </w:rPr>
        <w:t>龙泉当地</w:t>
      </w:r>
      <w:r>
        <w:rPr>
          <w:rFonts w:ascii="宋体" w:hAnsi="宋体"/>
          <w:bCs/>
          <w:color w:val="auto"/>
          <w:kern w:val="44"/>
          <w:sz w:val="28"/>
          <w:szCs w:val="28"/>
        </w:rPr>
        <w:t>林业生产方式转变和助力共同富裕上具有典型性、代表性、引领性和示范性。</w:t>
      </w:r>
    </w:p>
    <w:p w14:paraId="53541C0D">
      <w:pPr>
        <w:ind w:firstLine="562" w:firstLineChars="200"/>
        <w:rPr>
          <w:color w:val="auto"/>
          <w:sz w:val="28"/>
          <w:szCs w:val="20"/>
        </w:rPr>
      </w:pPr>
      <w:r>
        <w:rPr>
          <w:rFonts w:hint="eastAsia" w:ascii="宋体" w:hAnsi="宋体"/>
          <w:b/>
          <w:color w:val="auto"/>
          <w:kern w:val="44"/>
          <w:sz w:val="28"/>
          <w:szCs w:val="28"/>
        </w:rPr>
        <w:t>建设地点：</w:t>
      </w:r>
      <w:r>
        <w:rPr>
          <w:rFonts w:hint="eastAsia"/>
          <w:color w:val="auto"/>
          <w:sz w:val="28"/>
          <w:szCs w:val="20"/>
        </w:rPr>
        <w:t>龙泉市</w:t>
      </w:r>
    </w:p>
    <w:p w14:paraId="10EB3DDC">
      <w:pPr>
        <w:ind w:firstLine="562" w:firstLineChars="200"/>
        <w:jc w:val="left"/>
        <w:rPr>
          <w:rFonts w:hint="eastAsia" w:eastAsia="宋体"/>
          <w:color w:val="auto"/>
          <w:sz w:val="28"/>
          <w:szCs w:val="20"/>
          <w:lang w:eastAsia="zh-CN"/>
        </w:rPr>
      </w:pPr>
      <w:r>
        <w:rPr>
          <w:rFonts w:hint="eastAsia"/>
          <w:b/>
          <w:bCs/>
          <w:color w:val="auto"/>
          <w:sz w:val="28"/>
          <w:szCs w:val="20"/>
        </w:rPr>
        <w:t>期限：</w:t>
      </w:r>
      <w:r>
        <w:rPr>
          <w:rFonts w:hint="eastAsia"/>
          <w:color w:val="auto"/>
          <w:sz w:val="28"/>
          <w:szCs w:val="20"/>
        </w:rPr>
        <w:t>5年，即</w:t>
      </w:r>
      <w:r>
        <w:rPr>
          <w:rFonts w:hint="eastAsia"/>
          <w:color w:val="auto"/>
          <w:sz w:val="28"/>
          <w:szCs w:val="20"/>
          <w:lang w:eastAsia="zh-CN"/>
        </w:rPr>
        <w:t>2024-2028</w:t>
      </w:r>
    </w:p>
    <w:p w14:paraId="01ADB2A9">
      <w:pPr>
        <w:ind w:firstLine="562" w:firstLineChars="200"/>
        <w:jc w:val="left"/>
        <w:rPr>
          <w:rFonts w:ascii="Arial" w:hAnsi="Arial" w:cs="Arial"/>
          <w:color w:val="auto"/>
          <w:sz w:val="38"/>
          <w:szCs w:val="38"/>
        </w:rPr>
      </w:pPr>
      <w:r>
        <w:rPr>
          <w:rFonts w:hint="eastAsia"/>
          <w:b/>
          <w:bCs/>
          <w:color w:val="auto"/>
          <w:sz w:val="28"/>
          <w:szCs w:val="20"/>
        </w:rPr>
        <w:t>目标：</w:t>
      </w:r>
      <w:r>
        <w:rPr>
          <w:rFonts w:hint="eastAsia" w:ascii="宋体" w:hAnsi="宋体"/>
          <w:bCs/>
          <w:color w:val="auto"/>
          <w:kern w:val="44"/>
          <w:sz w:val="28"/>
          <w:szCs w:val="28"/>
        </w:rPr>
        <w:t>至202</w:t>
      </w:r>
      <w:r>
        <w:rPr>
          <w:rFonts w:hint="eastAsia" w:ascii="宋体" w:hAnsi="宋体"/>
          <w:bCs/>
          <w:color w:val="auto"/>
          <w:kern w:val="44"/>
          <w:sz w:val="28"/>
          <w:szCs w:val="28"/>
          <w:lang w:val="en-US" w:eastAsia="zh-CN"/>
        </w:rPr>
        <w:t>8</w:t>
      </w:r>
      <w:r>
        <w:rPr>
          <w:rFonts w:hint="eastAsia" w:ascii="宋体" w:hAnsi="宋体"/>
          <w:bCs/>
          <w:color w:val="auto"/>
          <w:kern w:val="44"/>
          <w:sz w:val="28"/>
          <w:szCs w:val="28"/>
        </w:rPr>
        <w:t>年末，认定</w:t>
      </w:r>
      <w:r>
        <w:rPr>
          <w:rFonts w:ascii="宋体" w:hAnsi="宋体"/>
          <w:bCs/>
          <w:color w:val="auto"/>
          <w:kern w:val="44"/>
          <w:sz w:val="28"/>
          <w:szCs w:val="28"/>
        </w:rPr>
        <w:t>省级林业机械装备创新试验基地</w:t>
      </w:r>
      <w:r>
        <w:rPr>
          <w:rFonts w:hint="eastAsia" w:ascii="宋体" w:hAnsi="宋体"/>
          <w:bCs/>
          <w:color w:val="auto"/>
          <w:kern w:val="44"/>
          <w:sz w:val="28"/>
          <w:szCs w:val="28"/>
        </w:rPr>
        <w:t>2-3家，争取创建国家级</w:t>
      </w:r>
      <w:r>
        <w:rPr>
          <w:rFonts w:ascii="宋体" w:hAnsi="宋体"/>
          <w:bCs/>
          <w:color w:val="auto"/>
          <w:kern w:val="44"/>
          <w:sz w:val="28"/>
          <w:szCs w:val="28"/>
        </w:rPr>
        <w:t>林业机械装备创新试验基地</w:t>
      </w:r>
      <w:r>
        <w:rPr>
          <w:rFonts w:hint="eastAsia" w:ascii="宋体" w:hAnsi="宋体"/>
          <w:bCs/>
          <w:color w:val="auto"/>
          <w:kern w:val="44"/>
          <w:sz w:val="28"/>
          <w:szCs w:val="28"/>
        </w:rPr>
        <w:t>1个。</w:t>
      </w:r>
    </w:p>
    <w:p w14:paraId="5C9CADB1">
      <w:pPr>
        <w:pStyle w:val="20"/>
        <w:ind w:left="0" w:leftChars="0" w:firstLine="562" w:firstLineChars="200"/>
        <w:rPr>
          <w:color w:val="auto"/>
        </w:rPr>
      </w:pPr>
      <w:r>
        <w:rPr>
          <w:rFonts w:hint="eastAsia"/>
          <w:b/>
          <w:bCs/>
          <w:color w:val="auto"/>
          <w:kern w:val="2"/>
          <w:sz w:val="28"/>
          <w:szCs w:val="20"/>
        </w:rPr>
        <w:t>经费：</w:t>
      </w:r>
      <w:r>
        <w:rPr>
          <w:rFonts w:hint="eastAsia"/>
          <w:color w:val="auto"/>
          <w:kern w:val="2"/>
          <w:sz w:val="28"/>
          <w:szCs w:val="20"/>
        </w:rPr>
        <w:t>10</w:t>
      </w:r>
      <w:r>
        <w:rPr>
          <w:color w:val="auto"/>
          <w:kern w:val="2"/>
          <w:sz w:val="28"/>
          <w:szCs w:val="20"/>
        </w:rPr>
        <w:t>00</w:t>
      </w:r>
      <w:r>
        <w:rPr>
          <w:rFonts w:hint="eastAsia"/>
          <w:color w:val="auto"/>
          <w:kern w:val="2"/>
          <w:sz w:val="28"/>
          <w:szCs w:val="20"/>
        </w:rPr>
        <w:t>万元。</w:t>
      </w:r>
    </w:p>
    <w:p w14:paraId="7AF84304">
      <w:pPr>
        <w:pStyle w:val="10"/>
        <w:ind w:firstLine="0"/>
        <w:outlineLvl w:val="1"/>
        <w:rPr>
          <w:color w:val="auto"/>
        </w:rPr>
      </w:pPr>
      <w:bookmarkStart w:id="70" w:name="_Toc8369"/>
      <w:bookmarkStart w:id="71" w:name="_Toc161954073"/>
      <w:r>
        <w:rPr>
          <w:rFonts w:hint="eastAsia"/>
          <w:color w:val="auto"/>
        </w:rPr>
        <w:t>6.4以竹代塑行动工程</w:t>
      </w:r>
      <w:bookmarkEnd w:id="70"/>
      <w:bookmarkEnd w:id="71"/>
    </w:p>
    <w:p w14:paraId="2B5997AB">
      <w:pPr>
        <w:pStyle w:val="20"/>
        <w:ind w:left="0" w:leftChars="0" w:firstLine="562" w:firstLineChars="200"/>
        <w:rPr>
          <w:color w:val="auto"/>
          <w:kern w:val="2"/>
          <w:sz w:val="28"/>
          <w:szCs w:val="20"/>
        </w:rPr>
      </w:pPr>
      <w:r>
        <w:rPr>
          <w:rFonts w:hint="eastAsia" w:ascii="宋体" w:hAnsi="宋体"/>
          <w:b/>
          <w:color w:val="auto"/>
          <w:kern w:val="44"/>
          <w:sz w:val="28"/>
          <w:szCs w:val="28"/>
        </w:rPr>
        <w:t>提出理由：</w:t>
      </w:r>
      <w:r>
        <w:rPr>
          <w:rFonts w:hint="eastAsia" w:ascii="宋体" w:hAnsi="宋体"/>
          <w:bCs/>
          <w:color w:val="auto"/>
          <w:kern w:val="44"/>
          <w:sz w:val="28"/>
          <w:szCs w:val="28"/>
        </w:rPr>
        <w:t>竹子作为速生、可降解的生物质材料，是塑料的重要替代品。</w:t>
      </w:r>
      <w:r>
        <w:rPr>
          <w:rFonts w:hint="eastAsia"/>
          <w:color w:val="auto"/>
          <w:kern w:val="2"/>
          <w:sz w:val="28"/>
          <w:szCs w:val="20"/>
        </w:rPr>
        <w:t>《“以竹代塑”全球行动计划（2023—2030）》在首届以竹代塑国际研讨会开幕式上正式发布。“以竹代塑”作为一个新兴产业，当前产业规模偏小、产量较低、成本较高、技术和装备相对落后。龙泉市积极响应国家“以竹代塑”行动，有效提升“以竹代塑”动能、产能、效能，推动“以竹代塑”高质量发展，通过以竹代塑行动工程推动全市竹产业高质量发展。</w:t>
      </w:r>
    </w:p>
    <w:p w14:paraId="593DC0EC">
      <w:pPr>
        <w:pStyle w:val="20"/>
        <w:ind w:left="0" w:leftChars="0" w:firstLine="562" w:firstLineChars="200"/>
        <w:rPr>
          <w:color w:val="auto"/>
          <w:kern w:val="2"/>
          <w:sz w:val="28"/>
          <w:szCs w:val="20"/>
        </w:rPr>
      </w:pPr>
      <w:r>
        <w:rPr>
          <w:rFonts w:hint="eastAsia"/>
          <w:b/>
          <w:bCs/>
          <w:color w:val="auto"/>
          <w:kern w:val="2"/>
          <w:sz w:val="28"/>
          <w:szCs w:val="20"/>
        </w:rPr>
        <w:t>建设内容：</w:t>
      </w:r>
      <w:r>
        <w:rPr>
          <w:rFonts w:hint="eastAsia"/>
          <w:color w:val="auto"/>
          <w:kern w:val="2"/>
          <w:sz w:val="28"/>
          <w:szCs w:val="20"/>
        </w:rPr>
        <w:t>在龙泉市因地制宜拓展“原料-加工-产品-营销”上中下游产业链，培育3-5家龙头企业，加速“以竹代塑”产品规模化集约化生产。在龙泉市开展竹产品推广对接活动5-10次，通过发布产品清单、需求清单、签订协议等方式，引导商贸流通企业与竹制品企业产销协同、供需对接，积极培育竹产品绿色消费市场，推动形成绿色生产生活方式。在龙泉市内公共机构、交通运输、商贸流通、餐饮住宿、邮政快递等领域，拓宽以竹代塑应用场景，提升替代比例，探索推广替代效果好、市场潜力大、公众易接受的“以竹代塑”产品10个左右。</w:t>
      </w:r>
    </w:p>
    <w:p w14:paraId="282106C7">
      <w:pPr>
        <w:pStyle w:val="20"/>
        <w:ind w:left="0" w:leftChars="0" w:firstLine="562" w:firstLineChars="200"/>
        <w:rPr>
          <w:color w:val="auto"/>
          <w:kern w:val="2"/>
          <w:sz w:val="28"/>
          <w:szCs w:val="20"/>
        </w:rPr>
      </w:pPr>
      <w:r>
        <w:rPr>
          <w:rFonts w:hint="eastAsia"/>
          <w:b/>
          <w:bCs/>
          <w:color w:val="auto"/>
          <w:kern w:val="2"/>
          <w:sz w:val="28"/>
          <w:szCs w:val="20"/>
        </w:rPr>
        <w:t>建设地点：</w:t>
      </w:r>
      <w:r>
        <w:rPr>
          <w:rFonts w:hint="eastAsia"/>
          <w:color w:val="auto"/>
          <w:kern w:val="2"/>
          <w:sz w:val="28"/>
          <w:szCs w:val="20"/>
        </w:rPr>
        <w:t>龙泉市全域，重点在浙江龙泉经济开发区、安仁镇工业园区、八都镇工业园区、查田镇工业园区等竹木加工园区；以及宝溪、竹详等竹旅结合示范园区；</w:t>
      </w:r>
    </w:p>
    <w:p w14:paraId="5982FEFC">
      <w:pPr>
        <w:ind w:firstLine="640"/>
        <w:jc w:val="left"/>
        <w:rPr>
          <w:rFonts w:hint="eastAsia" w:eastAsia="宋体"/>
          <w:color w:val="auto"/>
          <w:sz w:val="28"/>
          <w:szCs w:val="20"/>
          <w:lang w:eastAsia="zh-CN"/>
        </w:rPr>
      </w:pPr>
      <w:r>
        <w:rPr>
          <w:rFonts w:hint="eastAsia"/>
          <w:b/>
          <w:bCs/>
          <w:color w:val="auto"/>
          <w:sz w:val="28"/>
          <w:szCs w:val="20"/>
        </w:rPr>
        <w:t>期限：</w:t>
      </w:r>
      <w:r>
        <w:rPr>
          <w:rFonts w:hint="eastAsia"/>
          <w:color w:val="auto"/>
          <w:sz w:val="28"/>
          <w:szCs w:val="20"/>
        </w:rPr>
        <w:t>5年，即</w:t>
      </w:r>
      <w:r>
        <w:rPr>
          <w:rFonts w:hint="eastAsia"/>
          <w:color w:val="auto"/>
          <w:sz w:val="28"/>
          <w:szCs w:val="20"/>
          <w:lang w:eastAsia="zh-CN"/>
        </w:rPr>
        <w:t>2024-2028</w:t>
      </w:r>
    </w:p>
    <w:p w14:paraId="5BDFB56C">
      <w:pPr>
        <w:ind w:firstLine="640"/>
        <w:jc w:val="left"/>
        <w:rPr>
          <w:color w:val="auto"/>
          <w:sz w:val="28"/>
          <w:szCs w:val="20"/>
        </w:rPr>
      </w:pPr>
      <w:r>
        <w:rPr>
          <w:rFonts w:hint="eastAsia"/>
          <w:b/>
          <w:bCs/>
          <w:color w:val="auto"/>
          <w:sz w:val="28"/>
          <w:szCs w:val="20"/>
        </w:rPr>
        <w:t>目标：</w:t>
      </w:r>
      <w:r>
        <w:rPr>
          <w:rFonts w:hint="eastAsia"/>
          <w:color w:val="auto"/>
          <w:sz w:val="28"/>
          <w:szCs w:val="20"/>
        </w:rPr>
        <w:t>至202</w:t>
      </w:r>
      <w:r>
        <w:rPr>
          <w:rFonts w:hint="eastAsia"/>
          <w:color w:val="auto"/>
          <w:sz w:val="28"/>
          <w:szCs w:val="20"/>
          <w:lang w:val="en-US" w:eastAsia="zh-CN"/>
        </w:rPr>
        <w:t>8</w:t>
      </w:r>
      <w:r>
        <w:rPr>
          <w:rFonts w:hint="eastAsia"/>
          <w:color w:val="auto"/>
          <w:sz w:val="28"/>
          <w:szCs w:val="20"/>
        </w:rPr>
        <w:t>年末，龙泉市培育竹制品加工龙头企业3家；开展竹产品推广对接活动5次；推进应用“以竹代塑”主要产品10个以上；主要“以竹代塑”产品综合附加值提高20%以上，竹材综合利用率提高20%。</w:t>
      </w:r>
    </w:p>
    <w:p w14:paraId="06362399">
      <w:pPr>
        <w:ind w:firstLine="640"/>
        <w:jc w:val="left"/>
        <w:rPr>
          <w:color w:val="auto"/>
        </w:rPr>
      </w:pPr>
      <w:r>
        <w:rPr>
          <w:rFonts w:hint="eastAsia"/>
          <w:b/>
          <w:bCs/>
          <w:color w:val="auto"/>
          <w:sz w:val="28"/>
          <w:szCs w:val="20"/>
        </w:rPr>
        <w:t>经费：</w:t>
      </w:r>
      <w:r>
        <w:rPr>
          <w:rFonts w:hint="eastAsia"/>
          <w:color w:val="auto"/>
          <w:sz w:val="28"/>
          <w:szCs w:val="20"/>
        </w:rPr>
        <w:t>2000万元。按每年投入400万计，5年累计。</w:t>
      </w:r>
    </w:p>
    <w:p w14:paraId="706DF13D">
      <w:pPr>
        <w:pStyle w:val="10"/>
        <w:ind w:firstLine="0"/>
        <w:outlineLvl w:val="1"/>
        <w:rPr>
          <w:color w:val="auto"/>
        </w:rPr>
      </w:pPr>
      <w:bookmarkStart w:id="72" w:name="_Toc31841"/>
      <w:bookmarkStart w:id="73" w:name="_Toc161954074"/>
      <w:r>
        <w:rPr>
          <w:rFonts w:hint="eastAsia"/>
          <w:color w:val="auto"/>
        </w:rPr>
        <w:t>6.5竹材初加工点建设工程</w:t>
      </w:r>
      <w:bookmarkEnd w:id="72"/>
      <w:bookmarkEnd w:id="73"/>
    </w:p>
    <w:p w14:paraId="7C009F8C">
      <w:pPr>
        <w:ind w:firstLine="562" w:firstLineChars="200"/>
        <w:rPr>
          <w:bCs/>
          <w:color w:val="auto"/>
          <w:sz w:val="28"/>
          <w:szCs w:val="28"/>
        </w:rPr>
      </w:pPr>
      <w:r>
        <w:rPr>
          <w:rFonts w:hint="eastAsia" w:ascii="宋体" w:hAnsi="宋体"/>
          <w:b/>
          <w:color w:val="auto"/>
          <w:kern w:val="44"/>
          <w:sz w:val="28"/>
          <w:szCs w:val="28"/>
        </w:rPr>
        <w:t>提出理由：</w:t>
      </w:r>
      <w:r>
        <w:rPr>
          <w:color w:val="auto"/>
          <w:sz w:val="28"/>
          <w:szCs w:val="28"/>
        </w:rPr>
        <w:t>2021年4月，省林业局印发了《浙江省林区道路建设中长期规划（2021-2030）》，对全省林道建设作出总体布局，安排龙泉新建800公里，改建400公里林区道路。</w:t>
      </w:r>
      <w:r>
        <w:rPr>
          <w:rFonts w:hint="eastAsia"/>
          <w:color w:val="auto"/>
          <w:sz w:val="28"/>
          <w:szCs w:val="28"/>
        </w:rPr>
        <w:t>龙泉市竹林道路和竹初加工点</w:t>
      </w:r>
      <w:r>
        <w:rPr>
          <w:color w:val="auto"/>
          <w:sz w:val="28"/>
          <w:szCs w:val="28"/>
        </w:rPr>
        <w:t>建设趋势上均</w:t>
      </w:r>
      <w:r>
        <w:rPr>
          <w:rFonts w:hint="eastAsia"/>
          <w:color w:val="auto"/>
          <w:sz w:val="28"/>
          <w:szCs w:val="28"/>
        </w:rPr>
        <w:t>表现</w:t>
      </w:r>
      <w:r>
        <w:rPr>
          <w:color w:val="auto"/>
          <w:sz w:val="28"/>
          <w:szCs w:val="28"/>
        </w:rPr>
        <w:t>出很强的紧迫性和必要性</w:t>
      </w:r>
      <w:r>
        <w:rPr>
          <w:rFonts w:hint="eastAsia"/>
          <w:color w:val="auto"/>
          <w:sz w:val="28"/>
          <w:szCs w:val="28"/>
        </w:rPr>
        <w:t>。</w:t>
      </w:r>
      <w:r>
        <w:rPr>
          <w:bCs/>
          <w:color w:val="auto"/>
          <w:sz w:val="28"/>
          <w:szCs w:val="28"/>
        </w:rPr>
        <w:t>竹木加工产品的市场广度和认可度持续提升</w:t>
      </w:r>
      <w:r>
        <w:rPr>
          <w:rFonts w:hint="eastAsia"/>
          <w:bCs/>
          <w:color w:val="auto"/>
          <w:sz w:val="28"/>
          <w:szCs w:val="28"/>
        </w:rPr>
        <w:t>，</w:t>
      </w:r>
      <w:r>
        <w:rPr>
          <w:bCs/>
          <w:color w:val="auto"/>
          <w:sz w:val="28"/>
          <w:szCs w:val="28"/>
        </w:rPr>
        <w:t>和竹林碳汇在</w:t>
      </w:r>
      <w:r>
        <w:rPr>
          <w:rFonts w:hint="eastAsia"/>
          <w:bCs/>
          <w:color w:val="auto"/>
          <w:sz w:val="28"/>
          <w:szCs w:val="28"/>
        </w:rPr>
        <w:t>“</w:t>
      </w:r>
      <w:r>
        <w:rPr>
          <w:bCs/>
          <w:color w:val="auto"/>
          <w:sz w:val="28"/>
          <w:szCs w:val="28"/>
        </w:rPr>
        <w:t>碳达峰</w:t>
      </w:r>
      <w:r>
        <w:rPr>
          <w:rFonts w:hint="eastAsia"/>
          <w:bCs/>
          <w:color w:val="auto"/>
          <w:sz w:val="28"/>
          <w:szCs w:val="28"/>
        </w:rPr>
        <w:t xml:space="preserve"> </w:t>
      </w:r>
      <w:r>
        <w:rPr>
          <w:bCs/>
          <w:color w:val="auto"/>
          <w:sz w:val="28"/>
          <w:szCs w:val="28"/>
        </w:rPr>
        <w:t>碳中和</w:t>
      </w:r>
      <w:r>
        <w:rPr>
          <w:rFonts w:hint="eastAsia"/>
          <w:bCs/>
          <w:color w:val="auto"/>
          <w:sz w:val="28"/>
          <w:szCs w:val="28"/>
        </w:rPr>
        <w:t>”中的重要作用，在</w:t>
      </w:r>
      <w:r>
        <w:rPr>
          <w:bCs/>
          <w:color w:val="auto"/>
          <w:sz w:val="28"/>
          <w:szCs w:val="28"/>
        </w:rPr>
        <w:t>竹林主要分布区建设林区道路</w:t>
      </w:r>
      <w:r>
        <w:rPr>
          <w:rFonts w:hint="eastAsia"/>
          <w:bCs/>
          <w:color w:val="auto"/>
          <w:sz w:val="28"/>
          <w:szCs w:val="28"/>
        </w:rPr>
        <w:t>和初加工点等</w:t>
      </w:r>
      <w:r>
        <w:rPr>
          <w:bCs/>
          <w:color w:val="auto"/>
          <w:sz w:val="28"/>
          <w:szCs w:val="28"/>
        </w:rPr>
        <w:t>配套基础设施的需求将逐渐提升。</w:t>
      </w:r>
      <w:r>
        <w:rPr>
          <w:rFonts w:hint="eastAsia"/>
          <w:color w:val="auto"/>
          <w:sz w:val="28"/>
          <w:szCs w:val="28"/>
        </w:rPr>
        <w:t>共同富裕目标的实现，需要科学规划合理建</w:t>
      </w:r>
      <w:r>
        <w:rPr>
          <w:rFonts w:hint="eastAsia"/>
          <w:bCs/>
          <w:color w:val="auto"/>
          <w:sz w:val="28"/>
          <w:szCs w:val="28"/>
        </w:rPr>
        <w:t>设布局竹初加工点。</w:t>
      </w:r>
    </w:p>
    <w:p w14:paraId="73F7E5EE">
      <w:pPr>
        <w:ind w:firstLine="562" w:firstLineChars="200"/>
        <w:rPr>
          <w:bCs/>
          <w:color w:val="auto"/>
          <w:sz w:val="28"/>
          <w:szCs w:val="28"/>
        </w:rPr>
      </w:pPr>
      <w:r>
        <w:rPr>
          <w:rFonts w:hint="eastAsia"/>
          <w:b/>
          <w:bCs/>
          <w:color w:val="auto"/>
          <w:sz w:val="28"/>
          <w:szCs w:val="28"/>
        </w:rPr>
        <w:t>建设内容：</w:t>
      </w:r>
      <w:r>
        <w:rPr>
          <w:rFonts w:hint="eastAsia"/>
          <w:bCs/>
          <w:color w:val="auto"/>
          <w:sz w:val="28"/>
          <w:szCs w:val="28"/>
        </w:rPr>
        <w:t>竹初加工点包括竹材初加工点、竹笋初加工点，建设目的是帮助竹林资源丰富的乡镇竹产业全方位发展。初加工点是在竹产区就地就近建设竹材和竹笋收集、堆放及切段、剖分、拉丝、竹笋剥壳等不产生废气、废水的物理分解场地，涉及使用林地的纳入直接为林业生产经营服务的工程设施用地范围。坚持生态优先、绿色发展的原则，促进生态环境保护和竹产业振兴协调统一。规划在竹林核心分布区域，交通便利、配套设施齐全，有加工基础和发展意愿的区块，规划建设竹初加工点。为了减少运输的成本，要适当考虑加工点不宜过于集中，同时考虑到分步建设的需要。竹初加工建设重点在竹加工有基础、竹资源有优势和竹产业发展有愿景的乡镇进行规划建设。竹初加工点建设管理实行政府引导、集体组织或企业主导、市场运行的方针，原则上以村级经济合作组织、竹精深加工企业、农业（林业）经济合作社和家庭农（林）场为主参与开发建设。林业主管部门负责项目林地使用等审批和建设运行过程中的指导评价，乡镇政府负责项目实施监督。</w:t>
      </w:r>
    </w:p>
    <w:p w14:paraId="1E1A7A92">
      <w:pPr>
        <w:pStyle w:val="18"/>
        <w:rPr>
          <w:rFonts w:ascii="Times New Roman" w:hAnsi="Times New Roman" w:eastAsia="宋体"/>
          <w:bCs/>
          <w:color w:val="auto"/>
          <w:kern w:val="2"/>
          <w:sz w:val="28"/>
          <w:szCs w:val="28"/>
        </w:rPr>
      </w:pPr>
      <w:r>
        <w:rPr>
          <w:rFonts w:hint="eastAsia" w:ascii="Times New Roman" w:hAnsi="Times New Roman" w:eastAsia="宋体"/>
          <w:b/>
          <w:bCs/>
          <w:color w:val="auto"/>
          <w:kern w:val="2"/>
          <w:sz w:val="28"/>
          <w:szCs w:val="28"/>
        </w:rPr>
        <w:t>建设地点：</w:t>
      </w:r>
      <w:r>
        <w:rPr>
          <w:rFonts w:hint="eastAsia" w:ascii="Times New Roman" w:hAnsi="Times New Roman" w:eastAsia="宋体"/>
          <w:bCs/>
          <w:color w:val="auto"/>
          <w:kern w:val="2"/>
          <w:sz w:val="28"/>
          <w:szCs w:val="28"/>
        </w:rPr>
        <w:t>在八都镇、安仁镇、锦溪镇等乡镇竹建设竹材精深加工小微园区，在竹林核心分布区域，交通便利、配套设施齐全，有加工基础和发展意愿的区块建设竹初加工点。</w:t>
      </w:r>
    </w:p>
    <w:p w14:paraId="4CB04599">
      <w:pPr>
        <w:ind w:firstLine="562" w:firstLineChars="200"/>
        <w:jc w:val="left"/>
        <w:rPr>
          <w:rFonts w:hint="eastAsia" w:eastAsia="宋体"/>
          <w:bCs/>
          <w:color w:val="auto"/>
          <w:sz w:val="28"/>
          <w:szCs w:val="28"/>
          <w:lang w:eastAsia="zh-CN"/>
        </w:rPr>
      </w:pPr>
      <w:r>
        <w:rPr>
          <w:rFonts w:hint="eastAsia"/>
          <w:b/>
          <w:bCs/>
          <w:color w:val="auto"/>
          <w:sz w:val="28"/>
          <w:szCs w:val="28"/>
        </w:rPr>
        <w:t>期限：</w:t>
      </w:r>
      <w:r>
        <w:rPr>
          <w:rFonts w:hint="eastAsia"/>
          <w:bCs/>
          <w:color w:val="auto"/>
          <w:sz w:val="28"/>
          <w:szCs w:val="28"/>
        </w:rPr>
        <w:t>5年，即</w:t>
      </w:r>
      <w:r>
        <w:rPr>
          <w:rFonts w:hint="eastAsia"/>
          <w:bCs/>
          <w:color w:val="auto"/>
          <w:sz w:val="28"/>
          <w:szCs w:val="28"/>
          <w:lang w:eastAsia="zh-CN"/>
        </w:rPr>
        <w:t>2024-2028</w:t>
      </w:r>
    </w:p>
    <w:p w14:paraId="702145C0">
      <w:pPr>
        <w:pStyle w:val="18"/>
        <w:rPr>
          <w:rFonts w:ascii="Times New Roman" w:hAnsi="Times New Roman" w:eastAsia="宋体"/>
          <w:bCs/>
          <w:color w:val="auto"/>
          <w:kern w:val="2"/>
          <w:sz w:val="28"/>
          <w:szCs w:val="28"/>
        </w:rPr>
      </w:pPr>
      <w:r>
        <w:rPr>
          <w:rFonts w:hint="eastAsia" w:ascii="Times New Roman" w:hAnsi="Times New Roman" w:eastAsia="宋体"/>
          <w:b/>
          <w:bCs/>
          <w:color w:val="auto"/>
          <w:kern w:val="2"/>
          <w:sz w:val="28"/>
          <w:szCs w:val="28"/>
        </w:rPr>
        <w:t>目标：</w:t>
      </w:r>
      <w:r>
        <w:rPr>
          <w:rFonts w:hint="eastAsia" w:ascii="Times New Roman" w:hAnsi="Times New Roman" w:eastAsia="宋体"/>
          <w:bCs/>
          <w:color w:val="auto"/>
          <w:kern w:val="2"/>
          <w:sz w:val="28"/>
          <w:szCs w:val="28"/>
        </w:rPr>
        <w:t>至202</w:t>
      </w:r>
      <w:r>
        <w:rPr>
          <w:rFonts w:hint="eastAsia" w:ascii="Times New Roman" w:hAnsi="Times New Roman" w:eastAsia="宋体"/>
          <w:bCs/>
          <w:color w:val="auto"/>
          <w:kern w:val="2"/>
          <w:sz w:val="28"/>
          <w:szCs w:val="28"/>
          <w:lang w:val="en-US" w:eastAsia="zh-CN"/>
        </w:rPr>
        <w:t>8</w:t>
      </w:r>
      <w:r>
        <w:rPr>
          <w:rFonts w:hint="eastAsia" w:ascii="Times New Roman" w:hAnsi="Times New Roman" w:eastAsia="宋体"/>
          <w:bCs/>
          <w:color w:val="auto"/>
          <w:kern w:val="2"/>
          <w:sz w:val="28"/>
          <w:szCs w:val="28"/>
        </w:rPr>
        <w:t>年末，通规划建设竹初加工点45处。</w:t>
      </w:r>
    </w:p>
    <w:p w14:paraId="69DD3804">
      <w:pPr>
        <w:pStyle w:val="18"/>
        <w:rPr>
          <w:rFonts w:ascii="Times New Roman" w:hAnsi="Times New Roman" w:eastAsia="宋体"/>
          <w:bCs/>
          <w:color w:val="auto"/>
          <w:kern w:val="2"/>
          <w:sz w:val="28"/>
          <w:szCs w:val="28"/>
        </w:rPr>
      </w:pPr>
      <w:r>
        <w:rPr>
          <w:rFonts w:hint="eastAsia" w:ascii="Times New Roman" w:hAnsi="Times New Roman" w:eastAsia="宋体"/>
          <w:b/>
          <w:bCs/>
          <w:color w:val="auto"/>
          <w:kern w:val="2"/>
          <w:sz w:val="28"/>
          <w:szCs w:val="28"/>
        </w:rPr>
        <w:t>经费：</w:t>
      </w:r>
      <w:r>
        <w:rPr>
          <w:rFonts w:hint="eastAsia" w:ascii="Times New Roman" w:hAnsi="Times New Roman" w:eastAsia="宋体"/>
          <w:bCs/>
          <w:color w:val="auto"/>
          <w:kern w:val="2"/>
          <w:sz w:val="28"/>
          <w:szCs w:val="28"/>
        </w:rPr>
        <w:t>18000万元。</w:t>
      </w:r>
    </w:p>
    <w:p w14:paraId="653E4CBA">
      <w:pPr>
        <w:pStyle w:val="10"/>
        <w:ind w:firstLine="0"/>
        <w:outlineLvl w:val="1"/>
        <w:rPr>
          <w:color w:val="auto"/>
        </w:rPr>
      </w:pPr>
      <w:bookmarkStart w:id="74" w:name="_Toc18102"/>
      <w:bookmarkStart w:id="75" w:name="_Toc161954075"/>
      <w:r>
        <w:rPr>
          <w:rFonts w:hint="eastAsia"/>
          <w:color w:val="auto"/>
        </w:rPr>
        <w:t>6.6 降本增效科技支撑工程</w:t>
      </w:r>
      <w:bookmarkEnd w:id="74"/>
      <w:bookmarkEnd w:id="75"/>
    </w:p>
    <w:p w14:paraId="0E6932B9">
      <w:pPr>
        <w:pStyle w:val="20"/>
        <w:ind w:left="0" w:leftChars="0" w:firstLine="562" w:firstLineChars="200"/>
        <w:rPr>
          <w:color w:val="auto"/>
          <w:kern w:val="2"/>
          <w:sz w:val="28"/>
          <w:szCs w:val="20"/>
        </w:rPr>
      </w:pPr>
      <w:r>
        <w:rPr>
          <w:rFonts w:hint="eastAsia"/>
          <w:b/>
          <w:bCs/>
          <w:color w:val="auto"/>
          <w:kern w:val="2"/>
          <w:sz w:val="28"/>
          <w:szCs w:val="20"/>
        </w:rPr>
        <w:t>提出理由：</w:t>
      </w:r>
      <w:r>
        <w:rPr>
          <w:rFonts w:hint="eastAsia"/>
          <w:color w:val="auto"/>
          <w:kern w:val="2"/>
          <w:sz w:val="28"/>
          <w:szCs w:val="20"/>
        </w:rPr>
        <w:t>竹林规模化、机械化经营程度不够，竹林采伐运输成本居高不下，竹农入股和利益分配机制不顺。竹木制品精深加工能力不足、科技创新有待提升。竹木制品加工技术装备水平有限，自动化程度不高，导致竹木材利用率低、产品质量不稳定、竹木制品成本较高，限制了产业升级；资金和人才支撑不足，优质项目和高端人才催生机制不健全等等。</w:t>
      </w:r>
    </w:p>
    <w:p w14:paraId="50D934A1">
      <w:pPr>
        <w:pStyle w:val="20"/>
        <w:ind w:left="0" w:leftChars="0" w:firstLine="562" w:firstLineChars="200"/>
        <w:rPr>
          <w:b/>
          <w:bCs/>
          <w:color w:val="auto"/>
          <w:kern w:val="2"/>
          <w:sz w:val="28"/>
          <w:szCs w:val="20"/>
        </w:rPr>
      </w:pPr>
      <w:r>
        <w:rPr>
          <w:rFonts w:hint="eastAsia"/>
          <w:b/>
          <w:bCs/>
          <w:color w:val="auto"/>
          <w:kern w:val="2"/>
          <w:sz w:val="28"/>
          <w:szCs w:val="20"/>
        </w:rPr>
        <w:t>建设内容：</w:t>
      </w:r>
    </w:p>
    <w:p w14:paraId="4B9EA084">
      <w:pPr>
        <w:pStyle w:val="20"/>
        <w:ind w:left="0" w:leftChars="0" w:firstLine="560" w:firstLineChars="200"/>
        <w:rPr>
          <w:color w:val="auto"/>
          <w:kern w:val="2"/>
          <w:sz w:val="28"/>
          <w:szCs w:val="20"/>
        </w:rPr>
      </w:pPr>
      <w:r>
        <w:rPr>
          <w:rFonts w:hint="eastAsia"/>
          <w:color w:val="auto"/>
          <w:kern w:val="2"/>
          <w:sz w:val="28"/>
          <w:szCs w:val="20"/>
        </w:rPr>
        <w:t>在龙泉市竹制小家居产品企业推广各类新技术成果。坚持以科技创新为突破，组建科研团队及平台，加快竹木新产品新材料研发，竹木加工装备创新体系基本完善，在竹材采运机械化装备、竹材连续化加工装备、竹木日用品智能化加工装备等重点方向实现突破，到2027年，竹木材综合利用率有较大提高，竹木加工企业生产效率提高明显，竹木加工主要产品综合附加值幅度较大提高。</w:t>
      </w:r>
    </w:p>
    <w:p w14:paraId="37C89D43">
      <w:pPr>
        <w:pStyle w:val="20"/>
        <w:ind w:left="0" w:leftChars="0" w:firstLine="560" w:firstLineChars="200"/>
        <w:rPr>
          <w:color w:val="auto"/>
          <w:kern w:val="2"/>
          <w:sz w:val="28"/>
          <w:szCs w:val="20"/>
        </w:rPr>
      </w:pPr>
      <w:r>
        <w:rPr>
          <w:rFonts w:hint="eastAsia"/>
          <w:color w:val="auto"/>
          <w:kern w:val="2"/>
          <w:sz w:val="28"/>
          <w:szCs w:val="20"/>
        </w:rPr>
        <w:t>（1）加强科技创新力量支撑。支持深化与中国林科院木材所、国际竹藤中心合作、浙江农林大学、省林科院等单位加大科技攻关，建立产教融合、产学研用协同创新机制。加强竹木产业关键共性技术、前沿引领技术、现代工程技术等联合攻关，突破一批产业化前景良好的竹木加工关键核心技术。</w:t>
      </w:r>
    </w:p>
    <w:p w14:paraId="56A8A419">
      <w:pPr>
        <w:pStyle w:val="20"/>
        <w:ind w:left="0" w:leftChars="0" w:firstLine="560" w:firstLineChars="200"/>
        <w:rPr>
          <w:color w:val="auto"/>
          <w:kern w:val="2"/>
          <w:sz w:val="28"/>
          <w:szCs w:val="20"/>
        </w:rPr>
      </w:pPr>
      <w:r>
        <w:rPr>
          <w:rFonts w:hint="eastAsia"/>
          <w:color w:val="auto"/>
          <w:kern w:val="2"/>
          <w:sz w:val="28"/>
          <w:szCs w:val="20"/>
        </w:rPr>
        <w:t>（2）完善竹工装备创新体系建设。鼓励企业由单机制造为主向成套装备集成为主转变，支持中小企业向“专、精、特、新”方向发展，构建大中小企业协同发展的产业格局。以“揭榜挂帅”等形式，推进竹材机械化采收、竹木精深加工等关键装备研发，提升智能化制造水平，加快关键技术产业化。</w:t>
      </w:r>
    </w:p>
    <w:p w14:paraId="1B207E0F">
      <w:pPr>
        <w:pStyle w:val="20"/>
        <w:ind w:left="0" w:leftChars="0" w:firstLine="562"/>
        <w:rPr>
          <w:rFonts w:ascii="仿宋_GB2312" w:hAnsi="仿宋_GB2312" w:eastAsia="仿宋_GB2312" w:cs="仿宋_GB2312"/>
          <w:color w:val="auto"/>
          <w:kern w:val="2"/>
          <w:sz w:val="32"/>
          <w:szCs w:val="32"/>
        </w:rPr>
      </w:pPr>
      <w:r>
        <w:rPr>
          <w:rFonts w:hint="eastAsia"/>
          <w:color w:val="auto"/>
          <w:kern w:val="2"/>
          <w:sz w:val="28"/>
          <w:szCs w:val="20"/>
        </w:rPr>
        <w:t>（3）重点推进竹木家居产业提升。以竹木材为主要原材料制造家居与装饰用材，主要包括竹木家具、门窗、餐茶具、日用品等四大类产品，通过科技引领，融合文化创新，以生产自动化、连续化、智能化、功能化、绿色制造等关键技术为主要突破口，推进竹家居与装饰产业工业化，加快竹木材料在家居、装饰和日用品等领域应用。</w:t>
      </w:r>
    </w:p>
    <w:p w14:paraId="1A7C3134">
      <w:pPr>
        <w:pStyle w:val="20"/>
        <w:ind w:left="0" w:leftChars="0" w:firstLine="562" w:firstLineChars="200"/>
        <w:rPr>
          <w:color w:val="auto"/>
          <w:kern w:val="2"/>
          <w:sz w:val="28"/>
          <w:szCs w:val="20"/>
        </w:rPr>
      </w:pPr>
      <w:r>
        <w:rPr>
          <w:rFonts w:hint="eastAsia"/>
          <w:b/>
          <w:bCs/>
          <w:color w:val="auto"/>
          <w:kern w:val="2"/>
          <w:sz w:val="28"/>
          <w:szCs w:val="20"/>
        </w:rPr>
        <w:t>建设地点：</w:t>
      </w:r>
      <w:r>
        <w:rPr>
          <w:rFonts w:hint="eastAsia"/>
          <w:color w:val="auto"/>
          <w:kern w:val="2"/>
          <w:sz w:val="28"/>
          <w:szCs w:val="20"/>
        </w:rPr>
        <w:t>龙泉市全域，重点在浙江龙泉经济开发区、安仁镇工业园区、八都镇工业园区、查田镇工业园区等竹木加工园区。</w:t>
      </w:r>
    </w:p>
    <w:p w14:paraId="564C41B7">
      <w:pPr>
        <w:ind w:firstLine="640"/>
        <w:jc w:val="left"/>
        <w:rPr>
          <w:rFonts w:hint="eastAsia" w:eastAsia="宋体"/>
          <w:color w:val="auto"/>
          <w:sz w:val="28"/>
          <w:szCs w:val="20"/>
          <w:lang w:eastAsia="zh-CN"/>
        </w:rPr>
      </w:pPr>
      <w:r>
        <w:rPr>
          <w:rFonts w:hint="eastAsia"/>
          <w:b/>
          <w:bCs/>
          <w:color w:val="auto"/>
          <w:sz w:val="28"/>
          <w:szCs w:val="20"/>
        </w:rPr>
        <w:t>期限：</w:t>
      </w:r>
      <w:r>
        <w:rPr>
          <w:rFonts w:hint="eastAsia"/>
          <w:color w:val="auto"/>
          <w:sz w:val="28"/>
          <w:szCs w:val="20"/>
        </w:rPr>
        <w:t>5年，即</w:t>
      </w:r>
      <w:r>
        <w:rPr>
          <w:rFonts w:hint="eastAsia"/>
          <w:color w:val="auto"/>
          <w:sz w:val="28"/>
          <w:szCs w:val="20"/>
          <w:lang w:eastAsia="zh-CN"/>
        </w:rPr>
        <w:t>2024-2028</w:t>
      </w:r>
    </w:p>
    <w:p w14:paraId="2F83BA05">
      <w:pPr>
        <w:ind w:firstLine="640"/>
        <w:jc w:val="left"/>
        <w:rPr>
          <w:rFonts w:ascii="宋体" w:hAnsi="宋体"/>
          <w:bCs/>
          <w:color w:val="auto"/>
          <w:kern w:val="44"/>
          <w:sz w:val="28"/>
          <w:szCs w:val="28"/>
        </w:rPr>
      </w:pPr>
      <w:r>
        <w:rPr>
          <w:rFonts w:hint="eastAsia"/>
          <w:b/>
          <w:bCs/>
          <w:color w:val="auto"/>
          <w:sz w:val="28"/>
          <w:szCs w:val="20"/>
        </w:rPr>
        <w:t>目标：</w:t>
      </w:r>
      <w:r>
        <w:rPr>
          <w:rFonts w:hint="eastAsia"/>
          <w:color w:val="auto"/>
          <w:sz w:val="28"/>
          <w:szCs w:val="20"/>
        </w:rPr>
        <w:t>至202</w:t>
      </w:r>
      <w:r>
        <w:rPr>
          <w:rFonts w:hint="eastAsia"/>
          <w:color w:val="auto"/>
          <w:sz w:val="28"/>
          <w:szCs w:val="20"/>
          <w:lang w:val="en-US" w:eastAsia="zh-CN"/>
        </w:rPr>
        <w:t>8</w:t>
      </w:r>
      <w:r>
        <w:rPr>
          <w:rFonts w:hint="eastAsia"/>
          <w:color w:val="auto"/>
          <w:sz w:val="28"/>
          <w:szCs w:val="20"/>
        </w:rPr>
        <w:t>年末，龙泉市培育竹制小家居产品加工龙头企业3-5家；开发竹制小家居产品新产品5-10个，推广竹木加工新技术新成果3-5项。</w:t>
      </w:r>
    </w:p>
    <w:p w14:paraId="4C0EDE9A">
      <w:pPr>
        <w:pStyle w:val="20"/>
        <w:ind w:left="0" w:leftChars="0" w:firstLine="562" w:firstLineChars="200"/>
        <w:rPr>
          <w:color w:val="auto"/>
        </w:rPr>
      </w:pPr>
      <w:r>
        <w:rPr>
          <w:rFonts w:hint="eastAsia"/>
          <w:b/>
          <w:bCs/>
          <w:color w:val="auto"/>
          <w:kern w:val="2"/>
          <w:sz w:val="28"/>
          <w:szCs w:val="20"/>
        </w:rPr>
        <w:t>经费：</w:t>
      </w:r>
      <w:r>
        <w:rPr>
          <w:rFonts w:hint="eastAsia"/>
          <w:color w:val="auto"/>
          <w:kern w:val="2"/>
          <w:sz w:val="28"/>
          <w:szCs w:val="20"/>
        </w:rPr>
        <w:t>2000万元。按每年投入400万计，5年累计。</w:t>
      </w:r>
    </w:p>
    <w:p w14:paraId="4ADA153D">
      <w:pPr>
        <w:pStyle w:val="10"/>
        <w:ind w:firstLine="0"/>
        <w:outlineLvl w:val="1"/>
        <w:rPr>
          <w:color w:val="auto"/>
        </w:rPr>
      </w:pPr>
      <w:bookmarkStart w:id="76" w:name="_Toc161954076"/>
      <w:bookmarkStart w:id="77" w:name="_Toc6395"/>
      <w:r>
        <w:rPr>
          <w:rFonts w:hint="eastAsia"/>
          <w:color w:val="auto"/>
        </w:rPr>
        <w:t>6.7</w:t>
      </w:r>
      <w:r>
        <w:rPr>
          <w:rFonts w:hint="eastAsia" w:ascii="宋体" w:hAnsi="宋体"/>
          <w:bCs/>
          <w:color w:val="auto"/>
          <w:kern w:val="44"/>
          <w:szCs w:val="28"/>
        </w:rPr>
        <w:t>特色</w:t>
      </w:r>
      <w:r>
        <w:rPr>
          <w:rFonts w:hint="eastAsia"/>
          <w:color w:val="auto"/>
        </w:rPr>
        <w:t>品牌创建工程</w:t>
      </w:r>
      <w:bookmarkEnd w:id="76"/>
      <w:bookmarkEnd w:id="77"/>
    </w:p>
    <w:p w14:paraId="0C20EAD2">
      <w:pPr>
        <w:ind w:firstLine="640"/>
        <w:jc w:val="left"/>
        <w:rPr>
          <w:rFonts w:ascii="宋体" w:hAnsi="宋体"/>
          <w:bCs/>
          <w:color w:val="auto"/>
          <w:kern w:val="44"/>
          <w:sz w:val="28"/>
          <w:szCs w:val="28"/>
        </w:rPr>
      </w:pPr>
      <w:r>
        <w:rPr>
          <w:rFonts w:hint="eastAsia" w:ascii="宋体" w:hAnsi="宋体"/>
          <w:b/>
          <w:color w:val="auto"/>
          <w:kern w:val="44"/>
          <w:sz w:val="28"/>
          <w:szCs w:val="28"/>
        </w:rPr>
        <w:t>提出理由：</w:t>
      </w:r>
      <w:r>
        <w:rPr>
          <w:rFonts w:hint="eastAsia" w:ascii="宋体" w:hAnsi="宋体"/>
          <w:bCs/>
          <w:color w:val="auto"/>
          <w:kern w:val="44"/>
          <w:sz w:val="28"/>
          <w:szCs w:val="28"/>
        </w:rPr>
        <w:t>要促进市域经济发展首先要以品牌建设助力巩固脱贫成果，紧密结合市场需求，着力在特和优上做文章，促进品牌培优、品质提升、品牌打造，形成竹企业与竹产品品牌矩阵，不断提升龙泉市竹制品区域品牌影响力。</w:t>
      </w:r>
    </w:p>
    <w:p w14:paraId="0CE8F50F">
      <w:pPr>
        <w:ind w:firstLine="640"/>
        <w:jc w:val="left"/>
        <w:rPr>
          <w:rFonts w:ascii="宋体" w:hAnsi="宋体"/>
          <w:bCs/>
          <w:color w:val="auto"/>
          <w:kern w:val="44"/>
          <w:sz w:val="28"/>
          <w:szCs w:val="28"/>
        </w:rPr>
      </w:pPr>
      <w:r>
        <w:rPr>
          <w:rFonts w:hint="eastAsia" w:ascii="宋体" w:hAnsi="宋体"/>
          <w:b/>
          <w:color w:val="auto"/>
          <w:kern w:val="44"/>
          <w:sz w:val="28"/>
          <w:szCs w:val="28"/>
        </w:rPr>
        <w:t>建设内容：</w:t>
      </w:r>
      <w:r>
        <w:rPr>
          <w:rFonts w:hint="eastAsia" w:ascii="宋体" w:hAnsi="宋体"/>
          <w:bCs/>
          <w:color w:val="auto"/>
          <w:kern w:val="44"/>
          <w:sz w:val="28"/>
          <w:szCs w:val="28"/>
        </w:rPr>
        <w:t>聚焦提升龙泉市产业区域品牌影响力，以龙泉市域品牌和省级林业重点龙头企业知名品牌为基础，积极整合竹产业品牌资源，打造区域品牌和企业名牌，建立品牌标准、认证、标识以及全程追溯管理体系。集结现有力量打造“龙泉竹玩具”“龙泉竹家具”“龙泉简艺竹制品”3个区域公共品牌，通过发展“1+1+N”模式以区域公用品牌为核心，国企公司为实施主体带动N家竹木企业和电商共同创新发展。加强宣传推广提高品牌关注度，积极策划开展各类与竹产品相关的比赛，广泛利用互联网、微信、抖音、快手等新兴媒体，将竹文化底蕴、竹产业优惠政策、竹产业发展前景等宣传到位。积极组织引导市竹木企业参加大型竹业博览会、产品展销会、商交会和推介会，提升品牌知名度。加大科技支撑提高品牌竞争力，鼓励企业和个人自主创新，与高校、科研院所合作共赢，建立长期稳定的合作关系，深入开展竹资源培育技术和竹产品研发，提升自主品牌产品竞争力。加强技术培训，开设“林业大讲堂”等系列培训栏目，以专业合作社、家庭农场为载体推广丰产竹林培育和竹制品加工等先进生产技术，形成了小规模技术队伍，夯实了基层技术力量，补齐短板。加强专业设计人员和管理人员，生产上严格参照国际标准，采用全新的工艺和材料，使产品不断推新换代。</w:t>
      </w:r>
    </w:p>
    <w:p w14:paraId="0CA0080F">
      <w:pPr>
        <w:ind w:firstLine="640"/>
        <w:jc w:val="left"/>
        <w:rPr>
          <w:rFonts w:ascii="宋体" w:hAnsi="宋体"/>
          <w:bCs/>
          <w:color w:val="auto"/>
          <w:kern w:val="44"/>
          <w:sz w:val="28"/>
          <w:szCs w:val="28"/>
        </w:rPr>
      </w:pPr>
      <w:r>
        <w:rPr>
          <w:rFonts w:hint="eastAsia" w:ascii="宋体" w:hAnsi="宋体"/>
          <w:b/>
          <w:color w:val="auto"/>
          <w:kern w:val="44"/>
          <w:sz w:val="28"/>
          <w:szCs w:val="28"/>
        </w:rPr>
        <w:t>建设地点：</w:t>
      </w:r>
      <w:r>
        <w:rPr>
          <w:rFonts w:hint="eastAsia" w:ascii="宋体" w:hAnsi="宋体"/>
          <w:bCs/>
          <w:color w:val="auto"/>
          <w:kern w:val="44"/>
          <w:sz w:val="28"/>
          <w:szCs w:val="28"/>
        </w:rPr>
        <w:t>龙泉市全域。</w:t>
      </w:r>
    </w:p>
    <w:p w14:paraId="47D2658D">
      <w:pPr>
        <w:ind w:firstLine="640"/>
        <w:jc w:val="left"/>
        <w:rPr>
          <w:rFonts w:ascii="宋体" w:hAnsi="宋体"/>
          <w:bCs/>
          <w:color w:val="auto"/>
          <w:kern w:val="44"/>
          <w:sz w:val="28"/>
          <w:szCs w:val="28"/>
        </w:rPr>
      </w:pPr>
      <w:r>
        <w:rPr>
          <w:rFonts w:hint="eastAsia" w:ascii="宋体" w:hAnsi="宋体"/>
          <w:b/>
          <w:color w:val="auto"/>
          <w:kern w:val="44"/>
          <w:sz w:val="28"/>
          <w:szCs w:val="28"/>
        </w:rPr>
        <w:t>期限：</w:t>
      </w:r>
      <w:r>
        <w:rPr>
          <w:rFonts w:hint="eastAsia" w:ascii="宋体" w:hAnsi="宋体"/>
          <w:bCs/>
          <w:color w:val="auto"/>
          <w:kern w:val="44"/>
          <w:sz w:val="28"/>
          <w:szCs w:val="28"/>
        </w:rPr>
        <w:t>2023年至2027年</w:t>
      </w:r>
    </w:p>
    <w:p w14:paraId="07C12703">
      <w:pPr>
        <w:ind w:firstLine="640"/>
        <w:jc w:val="left"/>
        <w:rPr>
          <w:rFonts w:ascii="宋体" w:hAnsi="宋体"/>
          <w:b/>
          <w:color w:val="auto"/>
          <w:kern w:val="44"/>
          <w:sz w:val="28"/>
          <w:szCs w:val="28"/>
        </w:rPr>
      </w:pPr>
      <w:r>
        <w:rPr>
          <w:rFonts w:hint="eastAsia" w:ascii="宋体" w:hAnsi="宋体"/>
          <w:b/>
          <w:color w:val="auto"/>
          <w:kern w:val="44"/>
          <w:sz w:val="28"/>
          <w:szCs w:val="28"/>
        </w:rPr>
        <w:t>目标：</w:t>
      </w:r>
      <w:r>
        <w:rPr>
          <w:rFonts w:hint="eastAsia" w:ascii="宋体" w:hAnsi="宋体"/>
          <w:bCs/>
          <w:color w:val="auto"/>
          <w:kern w:val="44"/>
          <w:sz w:val="28"/>
          <w:szCs w:val="28"/>
        </w:rPr>
        <w:t>至2027年末，培育企业品牌10个，打造公共品牌 1个（龙尚竹），品牌影响力业内大幅提升。</w:t>
      </w:r>
    </w:p>
    <w:p w14:paraId="71D1A9F2">
      <w:pPr>
        <w:ind w:firstLine="640"/>
        <w:jc w:val="left"/>
        <w:rPr>
          <w:rFonts w:ascii="宋体" w:hAnsi="宋体"/>
          <w:color w:val="auto"/>
          <w:sz w:val="24"/>
        </w:rPr>
      </w:pPr>
      <w:r>
        <w:rPr>
          <w:rFonts w:hint="eastAsia" w:ascii="宋体" w:hAnsi="宋体"/>
          <w:b/>
          <w:color w:val="auto"/>
          <w:kern w:val="44"/>
          <w:sz w:val="28"/>
          <w:szCs w:val="28"/>
        </w:rPr>
        <w:t>经费：</w:t>
      </w:r>
      <w:r>
        <w:rPr>
          <w:rFonts w:hint="eastAsia" w:ascii="宋体" w:hAnsi="宋体"/>
          <w:bCs/>
          <w:color w:val="auto"/>
          <w:kern w:val="44"/>
          <w:sz w:val="28"/>
          <w:szCs w:val="28"/>
        </w:rPr>
        <w:t>2000万元。每年投入400万。</w:t>
      </w:r>
    </w:p>
    <w:p w14:paraId="79C1B35D">
      <w:pPr>
        <w:pStyle w:val="10"/>
        <w:ind w:firstLine="0"/>
        <w:outlineLvl w:val="1"/>
        <w:rPr>
          <w:color w:val="auto"/>
        </w:rPr>
      </w:pPr>
      <w:bookmarkStart w:id="78" w:name="_Toc29196"/>
      <w:r>
        <w:rPr>
          <w:rFonts w:hint="eastAsia"/>
          <w:color w:val="auto"/>
        </w:rPr>
        <w:t>6.8</w:t>
      </w:r>
      <w:r>
        <w:rPr>
          <w:rFonts w:hint="eastAsia" w:ascii="宋体" w:hAnsi="宋体"/>
          <w:bCs/>
          <w:color w:val="auto"/>
          <w:kern w:val="44"/>
          <w:szCs w:val="28"/>
        </w:rPr>
        <w:t>龙头企业引领行动</w:t>
      </w:r>
      <w:r>
        <w:rPr>
          <w:rFonts w:hint="eastAsia"/>
          <w:color w:val="auto"/>
        </w:rPr>
        <w:t>工程</w:t>
      </w:r>
      <w:bookmarkEnd w:id="78"/>
    </w:p>
    <w:p w14:paraId="55167034">
      <w:pPr>
        <w:ind w:firstLine="640"/>
        <w:jc w:val="left"/>
        <w:rPr>
          <w:rFonts w:ascii="宋体" w:hAnsi="宋体"/>
          <w:b/>
          <w:color w:val="auto"/>
          <w:kern w:val="44"/>
          <w:sz w:val="28"/>
          <w:szCs w:val="28"/>
        </w:rPr>
      </w:pPr>
      <w:r>
        <w:rPr>
          <w:rFonts w:hint="eastAsia" w:ascii="宋体" w:hAnsi="宋体"/>
          <w:b/>
          <w:color w:val="auto"/>
          <w:kern w:val="44"/>
          <w:sz w:val="28"/>
          <w:szCs w:val="28"/>
        </w:rPr>
        <w:t>提出理由：</w:t>
      </w:r>
      <w:r>
        <w:rPr>
          <w:rFonts w:hint="eastAsia" w:ascii="宋体" w:hAnsi="宋体"/>
          <w:bCs/>
          <w:color w:val="auto"/>
          <w:kern w:val="44"/>
          <w:sz w:val="28"/>
          <w:szCs w:val="28"/>
        </w:rPr>
        <w:t>龙头企业是我市竹产业振兴的生力军，在产业振兴中具有举足轻重的地位。龙头企业通常在规模经济运作下能够创造大量的就业机会,提供稳定的就业岗位,推动地方经济发展和人民生活水平提高。发挥龙头企业“头雁作用”，打通产业链上下游，推动大中小企业融通发展，加快形成现代产业集群。持续跟踪研判竹产业重点企业及专精特新突破方向、关键环节、关键要素，编制强链补链重点目标企业表、招商引智重点目标企业（机构）表、包装策划项目表、产业链招商引智地图。</w:t>
      </w:r>
    </w:p>
    <w:p w14:paraId="46189ED4">
      <w:pPr>
        <w:ind w:firstLine="640"/>
        <w:jc w:val="left"/>
        <w:rPr>
          <w:rFonts w:ascii="宋体" w:hAnsi="宋体"/>
          <w:bCs/>
          <w:color w:val="auto"/>
          <w:kern w:val="44"/>
          <w:sz w:val="28"/>
          <w:szCs w:val="28"/>
        </w:rPr>
      </w:pPr>
      <w:r>
        <w:rPr>
          <w:rFonts w:hint="eastAsia" w:ascii="宋体" w:hAnsi="宋体"/>
          <w:b/>
          <w:color w:val="auto"/>
          <w:kern w:val="44"/>
          <w:sz w:val="28"/>
          <w:szCs w:val="28"/>
        </w:rPr>
        <w:t>建设内容：</w:t>
      </w:r>
      <w:r>
        <w:rPr>
          <w:rFonts w:hint="eastAsia" w:ascii="宋体" w:hAnsi="宋体"/>
          <w:bCs/>
          <w:color w:val="auto"/>
          <w:kern w:val="44"/>
          <w:sz w:val="28"/>
          <w:szCs w:val="28"/>
        </w:rPr>
        <w:t>强化能福、千束等龙头企业示范带动作用，推行“公司+基地+农户”等模式，支企业依法流转林地，建设竹林生产示范基地。</w:t>
      </w:r>
      <w:r>
        <w:rPr>
          <w:rFonts w:ascii="宋体" w:hAnsi="宋体"/>
          <w:bCs/>
          <w:color w:val="auto"/>
          <w:kern w:val="44"/>
          <w:sz w:val="28"/>
          <w:szCs w:val="28"/>
        </w:rPr>
        <w:t>针对竹筷、竹砧板、鞋架、衣帽架、书架、花架、户外太阳伞、儿童花园、木制玩具等龙泉市优势竹木产品，不断做优做精产品质量，拓宽产品细分种类，开发新型产品设计，优化产品结构功能，将细分领域做到极致，培育行业“单项冠军”、“隐形冠军”</w:t>
      </w:r>
      <w:r>
        <w:rPr>
          <w:rFonts w:hint="eastAsia" w:ascii="宋体" w:hAnsi="宋体"/>
          <w:bCs/>
          <w:color w:val="auto"/>
          <w:kern w:val="44"/>
          <w:sz w:val="28"/>
          <w:szCs w:val="28"/>
        </w:rPr>
        <w:t>。支持本地竹产业骨干企业通过延伸产业链、兼并重组、提质增效、做精做优等途径，提升竞争力。鼓励骨干企业率先开展标准化生产，运用现代设施装备，提高竹产品生产经营组织管理效率和效益。增强自主创新能力，推进科技成果转化，帮助竹农应用新品种新技术，开发多元化消费产品。以强链补链为方向，聚焦国内外竹产业龙头企业，建立重点招商目标企业库，开展靶向精准招商，积极引进一批产业导向明确、业务模式创新、业态丰富多元的行业头部企业、领军企业。</w:t>
      </w:r>
    </w:p>
    <w:p w14:paraId="4C95821B">
      <w:pPr>
        <w:ind w:firstLine="640"/>
        <w:jc w:val="left"/>
        <w:rPr>
          <w:rFonts w:ascii="宋体" w:hAnsi="宋体"/>
          <w:bCs/>
          <w:color w:val="auto"/>
          <w:kern w:val="44"/>
          <w:sz w:val="28"/>
          <w:szCs w:val="28"/>
        </w:rPr>
      </w:pPr>
      <w:r>
        <w:rPr>
          <w:rFonts w:hint="eastAsia" w:ascii="宋体" w:hAnsi="宋体"/>
          <w:b/>
          <w:color w:val="auto"/>
          <w:kern w:val="44"/>
          <w:sz w:val="28"/>
          <w:szCs w:val="28"/>
        </w:rPr>
        <w:t>建设地点：</w:t>
      </w:r>
      <w:r>
        <w:rPr>
          <w:rFonts w:hint="eastAsia" w:ascii="宋体" w:hAnsi="宋体"/>
          <w:bCs/>
          <w:color w:val="auto"/>
          <w:kern w:val="44"/>
          <w:sz w:val="28"/>
          <w:szCs w:val="28"/>
        </w:rPr>
        <w:t>龙泉市全域。</w:t>
      </w:r>
    </w:p>
    <w:p w14:paraId="0EEEF4A7">
      <w:pPr>
        <w:ind w:firstLine="640"/>
        <w:jc w:val="left"/>
        <w:rPr>
          <w:rFonts w:ascii="宋体" w:hAnsi="宋体"/>
          <w:bCs/>
          <w:color w:val="auto"/>
          <w:kern w:val="44"/>
          <w:sz w:val="28"/>
          <w:szCs w:val="28"/>
        </w:rPr>
      </w:pPr>
      <w:r>
        <w:rPr>
          <w:rFonts w:hint="eastAsia" w:ascii="宋体" w:hAnsi="宋体"/>
          <w:b/>
          <w:color w:val="auto"/>
          <w:kern w:val="44"/>
          <w:sz w:val="28"/>
          <w:szCs w:val="28"/>
        </w:rPr>
        <w:t>期限：</w:t>
      </w:r>
      <w:r>
        <w:rPr>
          <w:rFonts w:hint="eastAsia" w:ascii="宋体" w:hAnsi="宋体"/>
          <w:bCs/>
          <w:color w:val="auto"/>
          <w:kern w:val="44"/>
          <w:sz w:val="28"/>
          <w:szCs w:val="28"/>
        </w:rPr>
        <w:t>2023年至2027年</w:t>
      </w:r>
    </w:p>
    <w:p w14:paraId="6B982F94">
      <w:pPr>
        <w:ind w:firstLine="640"/>
        <w:jc w:val="left"/>
        <w:rPr>
          <w:rFonts w:ascii="宋体" w:hAnsi="宋体"/>
          <w:bCs/>
          <w:color w:val="auto"/>
          <w:kern w:val="44"/>
          <w:sz w:val="28"/>
          <w:szCs w:val="28"/>
        </w:rPr>
      </w:pPr>
      <w:r>
        <w:rPr>
          <w:rFonts w:hint="eastAsia" w:ascii="宋体" w:hAnsi="宋体"/>
          <w:b/>
          <w:color w:val="auto"/>
          <w:kern w:val="44"/>
          <w:sz w:val="28"/>
          <w:szCs w:val="28"/>
        </w:rPr>
        <w:t>目标：</w:t>
      </w:r>
      <w:r>
        <w:rPr>
          <w:rFonts w:hint="eastAsia" w:ascii="宋体" w:hAnsi="宋体"/>
          <w:bCs/>
          <w:color w:val="auto"/>
          <w:kern w:val="44"/>
          <w:sz w:val="28"/>
          <w:szCs w:val="28"/>
        </w:rPr>
        <w:t>至2027年末，引进竹材加工龙头企业2-3家，带头引领行业发展，促进竹材加工细分领域，重点扶持新兴领域企业。</w:t>
      </w:r>
    </w:p>
    <w:p w14:paraId="74C511D6">
      <w:pPr>
        <w:ind w:firstLine="640"/>
        <w:jc w:val="left"/>
        <w:rPr>
          <w:rFonts w:ascii="宋体" w:hAnsi="宋体"/>
          <w:color w:val="auto"/>
          <w:sz w:val="24"/>
        </w:rPr>
      </w:pPr>
      <w:r>
        <w:rPr>
          <w:rFonts w:hint="eastAsia" w:ascii="宋体" w:hAnsi="宋体"/>
          <w:b/>
          <w:color w:val="auto"/>
          <w:kern w:val="44"/>
          <w:sz w:val="28"/>
          <w:szCs w:val="28"/>
        </w:rPr>
        <w:t>经费：5</w:t>
      </w:r>
      <w:r>
        <w:rPr>
          <w:rFonts w:hint="eastAsia" w:ascii="宋体" w:hAnsi="宋体"/>
          <w:bCs/>
          <w:color w:val="auto"/>
          <w:kern w:val="44"/>
          <w:sz w:val="28"/>
          <w:szCs w:val="28"/>
        </w:rPr>
        <w:t>00万元。按每年投入100万计，5年累计。</w:t>
      </w:r>
    </w:p>
    <w:p w14:paraId="2018F8D9">
      <w:pPr>
        <w:spacing w:line="240" w:lineRule="auto"/>
        <w:jc w:val="left"/>
        <w:rPr>
          <w:color w:val="auto"/>
          <w:szCs w:val="20"/>
        </w:rPr>
      </w:pPr>
      <w:r>
        <w:rPr>
          <w:color w:val="auto"/>
        </w:rPr>
        <w:br w:type="page"/>
      </w:r>
    </w:p>
    <w:p w14:paraId="6AAE5CF8">
      <w:pPr>
        <w:spacing w:line="500" w:lineRule="exact"/>
        <w:ind w:firstLine="643" w:firstLineChars="200"/>
        <w:jc w:val="center"/>
        <w:outlineLvl w:val="0"/>
        <w:rPr>
          <w:rFonts w:ascii="宋体" w:hAnsi="宋体"/>
          <w:b/>
          <w:bCs/>
          <w:color w:val="auto"/>
          <w:sz w:val="32"/>
          <w:szCs w:val="32"/>
        </w:rPr>
      </w:pPr>
      <w:bookmarkStart w:id="79" w:name="_Toc161954077"/>
      <w:bookmarkStart w:id="80" w:name="_Toc3112"/>
      <w:r>
        <w:rPr>
          <w:rFonts w:hint="eastAsia" w:ascii="宋体" w:hAnsi="宋体"/>
          <w:b/>
          <w:bCs/>
          <w:color w:val="auto"/>
          <w:sz w:val="32"/>
          <w:szCs w:val="32"/>
        </w:rPr>
        <w:t>第七章 投资概算与效益分析</w:t>
      </w:r>
      <w:bookmarkEnd w:id="79"/>
      <w:bookmarkEnd w:id="80"/>
    </w:p>
    <w:p w14:paraId="2149AA9F">
      <w:pPr>
        <w:pStyle w:val="10"/>
        <w:ind w:firstLine="0"/>
        <w:outlineLvl w:val="1"/>
        <w:rPr>
          <w:color w:val="auto"/>
        </w:rPr>
      </w:pPr>
      <w:bookmarkStart w:id="81" w:name="_Toc20250"/>
      <w:bookmarkStart w:id="82" w:name="_Toc161954078"/>
      <w:r>
        <w:rPr>
          <w:rFonts w:hint="eastAsia"/>
          <w:color w:val="auto"/>
        </w:rPr>
        <w:t>7.1投资概算</w:t>
      </w:r>
      <w:bookmarkEnd w:id="81"/>
      <w:bookmarkEnd w:id="82"/>
    </w:p>
    <w:p w14:paraId="70BC8764">
      <w:pPr>
        <w:pStyle w:val="10"/>
        <w:rPr>
          <w:color w:val="auto"/>
        </w:rPr>
      </w:pPr>
      <w:r>
        <w:rPr>
          <w:rFonts w:hint="eastAsia"/>
          <w:color w:val="auto"/>
        </w:rPr>
        <w:t>龙泉市</w:t>
      </w:r>
      <w:r>
        <w:rPr>
          <w:color w:val="auto"/>
        </w:rPr>
        <w:t>竹</w:t>
      </w:r>
      <w:r>
        <w:rPr>
          <w:rFonts w:hint="eastAsia"/>
          <w:color w:val="auto"/>
        </w:rPr>
        <w:t>木</w:t>
      </w:r>
      <w:r>
        <w:rPr>
          <w:color w:val="auto"/>
        </w:rPr>
        <w:t>产业发展的投资估算</w:t>
      </w:r>
      <w:r>
        <w:rPr>
          <w:rFonts w:hint="eastAsia"/>
          <w:color w:val="auto"/>
        </w:rPr>
        <w:t>总额为54981万元。按产业类别分一产：12590万元，</w:t>
      </w:r>
      <w:r>
        <w:rPr>
          <w:color w:val="auto"/>
        </w:rPr>
        <w:t xml:space="preserve"> </w:t>
      </w:r>
      <w:r>
        <w:rPr>
          <w:rFonts w:hint="eastAsia"/>
          <w:color w:val="auto"/>
        </w:rPr>
        <w:t>二产：</w:t>
      </w:r>
      <w:r>
        <w:rPr>
          <w:rFonts w:hint="eastAsia"/>
          <w:color w:val="auto"/>
          <w:sz w:val="27"/>
          <w:szCs w:val="27"/>
        </w:rPr>
        <w:t>37026万</w:t>
      </w:r>
      <w:r>
        <w:rPr>
          <w:color w:val="auto"/>
          <w:sz w:val="27"/>
          <w:szCs w:val="27"/>
        </w:rPr>
        <w:t>元</w:t>
      </w:r>
      <w:r>
        <w:rPr>
          <w:rFonts w:hint="eastAsia"/>
          <w:color w:val="auto"/>
          <w:sz w:val="27"/>
          <w:szCs w:val="27"/>
        </w:rPr>
        <w:t>，</w:t>
      </w:r>
      <w:r>
        <w:rPr>
          <w:color w:val="auto"/>
        </w:rPr>
        <w:t xml:space="preserve"> </w:t>
      </w:r>
      <w:r>
        <w:rPr>
          <w:rFonts w:hint="eastAsia"/>
          <w:color w:val="auto"/>
        </w:rPr>
        <w:t>三产：</w:t>
      </w:r>
      <w:r>
        <w:rPr>
          <w:rFonts w:hint="eastAsia"/>
          <w:color w:val="auto"/>
          <w:sz w:val="27"/>
          <w:szCs w:val="27"/>
        </w:rPr>
        <w:t>5365万</w:t>
      </w:r>
      <w:r>
        <w:rPr>
          <w:color w:val="auto"/>
          <w:sz w:val="27"/>
          <w:szCs w:val="27"/>
        </w:rPr>
        <w:t>元</w:t>
      </w:r>
      <w:r>
        <w:rPr>
          <w:rFonts w:hint="eastAsia"/>
          <w:color w:val="auto"/>
        </w:rPr>
        <w:t>。</w:t>
      </w:r>
    </w:p>
    <w:p w14:paraId="12D8F693">
      <w:pPr>
        <w:pStyle w:val="10"/>
        <w:rPr>
          <w:color w:val="auto"/>
        </w:rPr>
      </w:pPr>
      <w:r>
        <w:rPr>
          <w:rFonts w:hint="eastAsia"/>
          <w:color w:val="auto"/>
        </w:rPr>
        <w:t>项目资金来源可以分为两大类：第一类为财政资金。由项目专项引导资金和各项目扶持资金组成。第二类为非国有投资。包括企业自有资金投入、股权融资、社会资金投入和银行贷款等。</w:t>
      </w:r>
    </w:p>
    <w:p w14:paraId="56F4D57A">
      <w:pPr>
        <w:pStyle w:val="10"/>
        <w:ind w:firstLine="0"/>
        <w:outlineLvl w:val="1"/>
        <w:rPr>
          <w:color w:val="auto"/>
        </w:rPr>
      </w:pPr>
      <w:bookmarkStart w:id="83" w:name="_Toc161954079"/>
      <w:bookmarkStart w:id="84" w:name="_Toc3815"/>
      <w:r>
        <w:rPr>
          <w:rFonts w:hint="eastAsia"/>
          <w:color w:val="auto"/>
        </w:rPr>
        <w:t>7.2效益分析</w:t>
      </w:r>
      <w:bookmarkEnd w:id="83"/>
      <w:bookmarkEnd w:id="84"/>
    </w:p>
    <w:p w14:paraId="19ED1029">
      <w:pPr>
        <w:pStyle w:val="10"/>
        <w:ind w:firstLine="560" w:firstLineChars="200"/>
        <w:outlineLvl w:val="2"/>
        <w:rPr>
          <w:color w:val="auto"/>
        </w:rPr>
      </w:pPr>
      <w:r>
        <w:rPr>
          <w:rFonts w:hint="eastAsia"/>
          <w:color w:val="auto"/>
        </w:rPr>
        <w:t>7.2.1经济效益分析</w:t>
      </w:r>
    </w:p>
    <w:p w14:paraId="3EF87B38">
      <w:pPr>
        <w:pStyle w:val="32"/>
        <w:spacing w:line="560" w:lineRule="exact"/>
        <w:ind w:firstLine="640" w:firstLineChars="200"/>
        <w:rPr>
          <w:rFonts w:hint="default" w:ascii="Times New Roman" w:hAnsi="Times New Roman" w:eastAsia="宋体"/>
          <w:color w:val="auto"/>
          <w:kern w:val="2"/>
          <w:sz w:val="28"/>
          <w:lang w:val="en-US"/>
        </w:rPr>
      </w:pPr>
      <w:r>
        <w:rPr>
          <w:rFonts w:hint="default" w:ascii="Times New Roman" w:hAnsi="Times New Roman" w:eastAsia="仿宋_GB2312" w:cs="仿宋_GB2312"/>
          <w:color w:val="auto"/>
          <w:sz w:val="32"/>
          <w:szCs w:val="32"/>
          <w:lang w:val="en-US"/>
        </w:rPr>
        <w:t>（1）</w:t>
      </w:r>
      <w:r>
        <w:rPr>
          <w:rFonts w:hint="default" w:ascii="Times New Roman" w:hAnsi="Times New Roman" w:eastAsia="宋体"/>
          <w:color w:val="auto"/>
          <w:kern w:val="2"/>
          <w:sz w:val="28"/>
          <w:lang w:val="en-US"/>
        </w:rPr>
        <w:t>直接经济效益</w:t>
      </w:r>
    </w:p>
    <w:p w14:paraId="112016A9">
      <w:pPr>
        <w:pStyle w:val="10"/>
        <w:rPr>
          <w:color w:val="auto"/>
        </w:rPr>
      </w:pPr>
      <w:r>
        <w:rPr>
          <w:color w:val="auto"/>
        </w:rPr>
        <w:t>重点工程实施后，可显著提高竹林的集约经营水平，降低生产成本、提升经营效益。竹文化旅游工程建成后，除每年吸收游客，带动旅游消费外，还可通过延伸竹业产业链，增加笋竹产品附加值，提升竹业生产经营综合效益。</w:t>
      </w:r>
    </w:p>
    <w:p w14:paraId="381B1F23">
      <w:pPr>
        <w:pStyle w:val="10"/>
        <w:rPr>
          <w:color w:val="auto"/>
        </w:rPr>
      </w:pPr>
      <w:r>
        <w:rPr>
          <w:color w:val="auto"/>
        </w:rPr>
        <w:t>（2）间接经济效益</w:t>
      </w:r>
    </w:p>
    <w:p w14:paraId="692C36D2">
      <w:pPr>
        <w:pStyle w:val="10"/>
        <w:rPr>
          <w:color w:val="auto"/>
        </w:rPr>
      </w:pPr>
      <w:r>
        <w:rPr>
          <w:color w:val="auto"/>
        </w:rPr>
        <w:t>由于生产条件的改善，竹林的林分健康状况会显著改善，从而产生间接经济效益，主要包括竹林固碳、风景旅游、控制生物灾害等多方面的效益，目前尚难货币化。</w:t>
      </w:r>
    </w:p>
    <w:p w14:paraId="1E59837B">
      <w:pPr>
        <w:pStyle w:val="10"/>
        <w:ind w:firstLine="560" w:firstLineChars="200"/>
        <w:outlineLvl w:val="2"/>
        <w:rPr>
          <w:color w:val="auto"/>
        </w:rPr>
      </w:pPr>
      <w:r>
        <w:rPr>
          <w:rFonts w:hint="eastAsia"/>
          <w:color w:val="auto"/>
        </w:rPr>
        <w:t>7.2.2</w:t>
      </w:r>
      <w:r>
        <w:rPr>
          <w:color w:val="auto"/>
        </w:rPr>
        <w:t>社会效益分析</w:t>
      </w:r>
    </w:p>
    <w:p w14:paraId="6125815D">
      <w:pPr>
        <w:pStyle w:val="10"/>
        <w:rPr>
          <w:color w:val="auto"/>
        </w:rPr>
      </w:pPr>
      <w:r>
        <w:rPr>
          <w:color w:val="auto"/>
        </w:rPr>
        <w:t>（1）为社会提供就业机会</w:t>
      </w:r>
    </w:p>
    <w:p w14:paraId="29EF54EE">
      <w:pPr>
        <w:pStyle w:val="10"/>
        <w:rPr>
          <w:color w:val="auto"/>
        </w:rPr>
      </w:pPr>
      <w:r>
        <w:rPr>
          <w:rFonts w:hint="eastAsia"/>
          <w:color w:val="auto"/>
        </w:rPr>
        <w:t>主要任务和重点工程的</w:t>
      </w:r>
      <w:r>
        <w:rPr>
          <w:color w:val="auto"/>
        </w:rPr>
        <w:t>实施可为当地居民提供许多直接和间接就业机会，如竹林培育、竹业加工、竹林旅游等等。如林道建设用工，以及竹林道建成后，由于生产成本下降经营效益提高，竹林经营集约度提高，从而提供的就业岗位可达数干个；竹加工业的发展，也可提供可观的就业岗位。</w:t>
      </w:r>
    </w:p>
    <w:p w14:paraId="619FC3D3">
      <w:pPr>
        <w:pStyle w:val="10"/>
        <w:rPr>
          <w:color w:val="auto"/>
        </w:rPr>
      </w:pPr>
      <w:r>
        <w:rPr>
          <w:color w:val="auto"/>
        </w:rPr>
        <w:t>（2）有利于提高从业人员素质</w:t>
      </w:r>
    </w:p>
    <w:p w14:paraId="065328C8">
      <w:pPr>
        <w:pStyle w:val="10"/>
        <w:rPr>
          <w:color w:val="auto"/>
        </w:rPr>
      </w:pPr>
      <w:r>
        <w:rPr>
          <w:color w:val="auto"/>
        </w:rPr>
        <w:t>通过新型竹业经营主体培育工程和现代竹业示范园区工程建设，培养一批新型竹农，让他们成为有文化、懂技术、会经营的农村实用人才和农村青年致富带头人，从而提升整个竹产业从业人员素质。</w:t>
      </w:r>
    </w:p>
    <w:p w14:paraId="1CD26A8D">
      <w:pPr>
        <w:pStyle w:val="10"/>
        <w:ind w:firstLine="560" w:firstLineChars="200"/>
        <w:outlineLvl w:val="2"/>
        <w:rPr>
          <w:color w:val="auto"/>
        </w:rPr>
      </w:pPr>
      <w:r>
        <w:rPr>
          <w:rFonts w:hint="eastAsia"/>
          <w:color w:val="auto"/>
        </w:rPr>
        <w:t>7.2</w:t>
      </w:r>
      <w:r>
        <w:rPr>
          <w:color w:val="auto"/>
        </w:rPr>
        <w:t>.3生态效益分析</w:t>
      </w:r>
    </w:p>
    <w:p w14:paraId="333869F5">
      <w:pPr>
        <w:pStyle w:val="10"/>
        <w:rPr>
          <w:color w:val="auto"/>
        </w:rPr>
      </w:pPr>
      <w:r>
        <w:rPr>
          <w:color w:val="auto"/>
        </w:rPr>
        <w:t>（1）涵养水源</w:t>
      </w:r>
    </w:p>
    <w:p w14:paraId="6D086F9C">
      <w:pPr>
        <w:pStyle w:val="10"/>
        <w:rPr>
          <w:color w:val="auto"/>
        </w:rPr>
      </w:pPr>
      <w:r>
        <w:rPr>
          <w:color w:val="auto"/>
        </w:rPr>
        <w:t>竹林的涵养水源能力很强，1公顷竹林可蓄水1000吨。竹枝叶繁茂、截滞雨水能力强，林下竹子枝叶深厚，可减少地表径流及增强土壤渗透能力，因此竹林蓄水能力较强。每亩竹林可蓄水50立方米。</w:t>
      </w:r>
    </w:p>
    <w:p w14:paraId="588B8602">
      <w:pPr>
        <w:pStyle w:val="10"/>
        <w:rPr>
          <w:color w:val="auto"/>
        </w:rPr>
      </w:pPr>
      <w:r>
        <w:rPr>
          <w:color w:val="auto"/>
        </w:rPr>
        <w:t>（2）减少土壤流失</w:t>
      </w:r>
    </w:p>
    <w:p w14:paraId="6FFAB77A">
      <w:pPr>
        <w:pStyle w:val="10"/>
        <w:rPr>
          <w:color w:val="auto"/>
        </w:rPr>
        <w:sectPr>
          <w:pgSz w:w="11906" w:h="16838"/>
          <w:pgMar w:top="1440" w:right="1800" w:bottom="1440" w:left="1800" w:header="851" w:footer="992" w:gutter="0"/>
          <w:cols w:space="425" w:num="1"/>
          <w:docGrid w:type="lines" w:linePitch="312" w:charSpace="0"/>
        </w:sectPr>
      </w:pPr>
      <w:r>
        <w:rPr>
          <w:color w:val="auto"/>
        </w:rPr>
        <w:t>竹鞭根系十分发达，盘根错节，固土能力强。平均每亩竹林可减少土壤流失量约10吨</w:t>
      </w:r>
      <w:r>
        <w:rPr>
          <w:rFonts w:hint="eastAsia"/>
          <w:color w:val="auto"/>
        </w:rPr>
        <w:t>。</w:t>
      </w:r>
    </w:p>
    <w:p w14:paraId="0832083F">
      <w:pPr>
        <w:pStyle w:val="20"/>
        <w:rPr>
          <w:color w:val="auto"/>
        </w:rPr>
      </w:pPr>
    </w:p>
    <w:p w14:paraId="11E91701">
      <w:pPr>
        <w:spacing w:line="500" w:lineRule="exact"/>
        <w:ind w:firstLine="643" w:firstLineChars="200"/>
        <w:jc w:val="center"/>
        <w:outlineLvl w:val="0"/>
        <w:rPr>
          <w:rFonts w:ascii="宋体" w:hAnsi="宋体"/>
          <w:b/>
          <w:bCs/>
          <w:color w:val="auto"/>
          <w:sz w:val="32"/>
          <w:szCs w:val="32"/>
        </w:rPr>
      </w:pPr>
      <w:bookmarkStart w:id="85" w:name="_Toc16456"/>
      <w:bookmarkStart w:id="86" w:name="_Toc161954080"/>
      <w:r>
        <w:rPr>
          <w:rFonts w:hint="eastAsia" w:ascii="宋体" w:hAnsi="宋体"/>
          <w:b/>
          <w:bCs/>
          <w:color w:val="auto"/>
          <w:sz w:val="32"/>
          <w:szCs w:val="32"/>
        </w:rPr>
        <w:t>第八章 保障措施</w:t>
      </w:r>
      <w:bookmarkEnd w:id="85"/>
      <w:bookmarkEnd w:id="86"/>
    </w:p>
    <w:p w14:paraId="14AF7CDE">
      <w:pPr>
        <w:pStyle w:val="10"/>
        <w:ind w:firstLine="0"/>
        <w:outlineLvl w:val="1"/>
        <w:rPr>
          <w:color w:val="auto"/>
        </w:rPr>
      </w:pPr>
      <w:bookmarkStart w:id="87" w:name="_Toc161954081"/>
      <w:bookmarkStart w:id="88" w:name="_Toc31166"/>
      <w:r>
        <w:rPr>
          <w:rFonts w:hint="eastAsia"/>
          <w:color w:val="auto"/>
        </w:rPr>
        <w:t>8.1强化组织领导</w:t>
      </w:r>
      <w:bookmarkEnd w:id="87"/>
      <w:bookmarkEnd w:id="88"/>
    </w:p>
    <w:p w14:paraId="274C2F36">
      <w:pPr>
        <w:pStyle w:val="10"/>
        <w:rPr>
          <w:color w:val="auto"/>
        </w:rPr>
      </w:pPr>
      <w:r>
        <w:rPr>
          <w:rFonts w:hint="eastAsia"/>
          <w:color w:val="auto"/>
        </w:rPr>
        <w:t>成立由县主要领导任组长，县分管领导任副组长，相关部门与竹区乡镇主要负责人为成员的县竹产业提升发展工作领导小组。领导小组负责全县竹产业建设的谋划部署、工作调度、督导推进等工作。相关部门和各乡镇、街道要严格按照县政府的统筹安排，迅速行动，将竹产业发展工作责任、任务层层分解落实到村、到地块。同时要密切协作配合，上下联动，形成合力，协调推进。建立健全竹产业发展工作机制，统筹国民经济和社会发展、乡村振兴等相关规划及有关政策，对接本规划制定地方具体行动计划或专项推进方案，把本规划确定的各项任务落到实处。</w:t>
      </w:r>
    </w:p>
    <w:p w14:paraId="5BC38FE6">
      <w:pPr>
        <w:pStyle w:val="10"/>
        <w:ind w:firstLine="0"/>
        <w:outlineLvl w:val="1"/>
        <w:rPr>
          <w:color w:val="auto"/>
        </w:rPr>
      </w:pPr>
      <w:bookmarkStart w:id="89" w:name="_Toc17595"/>
      <w:bookmarkStart w:id="90" w:name="_Toc161954082"/>
      <w:r>
        <w:rPr>
          <w:rFonts w:hint="eastAsia"/>
          <w:color w:val="auto"/>
        </w:rPr>
        <w:t>8.2落实扶持政策</w:t>
      </w:r>
      <w:bookmarkEnd w:id="89"/>
      <w:bookmarkEnd w:id="90"/>
    </w:p>
    <w:p w14:paraId="7985952A">
      <w:pPr>
        <w:pStyle w:val="10"/>
        <w:rPr>
          <w:color w:val="auto"/>
        </w:rPr>
      </w:pPr>
      <w:r>
        <w:rPr>
          <w:rFonts w:hint="eastAsia"/>
          <w:color w:val="auto"/>
        </w:rPr>
        <w:t>全面落实省委、省政府和市委、市政府关于推进竹产业高质量发展的有关财税金融支持政策，完善县级配套支持政策力度，通过项目补助、以奖代补、贷款贴息等方式加快良种繁育、现代竹林基地培育、竹碳汇发展、竹区基础设施建设、竹产品加工、品牌创建和市场开发等项目。加大小微园区建设扶持力度、加大公益性基础设施建设扶持力度、加大龙泉竹产业龙头企业和小微企业扶持力度。大力支持竹产业化企业积极创建国家、省级竹产业发展龙头企业，申报国家级、省级林木良种和发明技术申请专利，成功申报后给予财政补助。</w:t>
      </w:r>
    </w:p>
    <w:p w14:paraId="542D5E3C">
      <w:pPr>
        <w:pStyle w:val="10"/>
        <w:ind w:firstLine="0"/>
        <w:outlineLvl w:val="1"/>
        <w:rPr>
          <w:color w:val="auto"/>
        </w:rPr>
      </w:pPr>
      <w:bookmarkStart w:id="91" w:name="_Toc161954083"/>
      <w:bookmarkStart w:id="92" w:name="_Toc7442"/>
      <w:r>
        <w:rPr>
          <w:rFonts w:hint="eastAsia"/>
          <w:color w:val="auto"/>
        </w:rPr>
        <w:t>8.3响应以竹代塑</w:t>
      </w:r>
      <w:bookmarkEnd w:id="91"/>
      <w:bookmarkEnd w:id="92"/>
    </w:p>
    <w:p w14:paraId="7CB6EF7B">
      <w:pPr>
        <w:ind w:firstLine="560" w:firstLineChars="200"/>
        <w:jc w:val="left"/>
        <w:rPr>
          <w:rFonts w:ascii="宋体" w:hAnsi="宋体" w:cs="宋体"/>
          <w:color w:val="auto"/>
          <w:sz w:val="28"/>
          <w:szCs w:val="28"/>
        </w:rPr>
      </w:pPr>
      <w:r>
        <w:rPr>
          <w:rFonts w:hint="eastAsia" w:ascii="宋体" w:hAnsi="宋体" w:cs="宋体"/>
          <w:color w:val="auto"/>
          <w:sz w:val="28"/>
          <w:szCs w:val="28"/>
        </w:rPr>
        <w:t>竹子具有一次成林、长期利用、生长快速、生产力高等特点，被世界公认为巨大的、绿色的、可再生的资源库和能源库，是培育战略性新兴产业和发展循环经济的潜力所在。在欧美等一些推崇低碳、环保理念的国家，竹家具和竹制品被认为是高档、时尚和环保的商品，被广泛应用于家居和重要公共场所。在我国，因为传统消费观念的原因和宣传营销的不足，竹家具、竹建材和竹制品等销售市场不大。建议省政府积极调整政府采购政策，积极响应以竹代塑行动方案，引导低碳环保的消费理念，逐步扩龙泉产品的内销比例，有序组织竹产品进入政府采购目录，要求主要竹产区同等条件下需优先采购竹制家具和竹制品。</w:t>
      </w:r>
    </w:p>
    <w:p w14:paraId="3D183816">
      <w:pPr>
        <w:pStyle w:val="10"/>
        <w:ind w:firstLine="0"/>
        <w:outlineLvl w:val="1"/>
        <w:rPr>
          <w:color w:val="auto"/>
        </w:rPr>
      </w:pPr>
      <w:bookmarkStart w:id="93" w:name="_Toc161954084"/>
      <w:bookmarkStart w:id="94" w:name="_Toc18904"/>
      <w:r>
        <w:rPr>
          <w:rFonts w:hint="eastAsia"/>
          <w:color w:val="auto"/>
        </w:rPr>
        <w:t>8.4紧抓绩效考核</w:t>
      </w:r>
      <w:bookmarkEnd w:id="93"/>
      <w:bookmarkEnd w:id="94"/>
    </w:p>
    <w:p w14:paraId="2E014A02">
      <w:pPr>
        <w:pStyle w:val="10"/>
        <w:rPr>
          <w:color w:val="auto"/>
        </w:rPr>
      </w:pPr>
      <w:r>
        <w:rPr>
          <w:rFonts w:hint="eastAsia"/>
          <w:color w:val="auto"/>
        </w:rPr>
        <w:t>将竹产业建设纳入各乡镇和县直相关单位年终重点工作目标绩效考核内容，严格考评，奖惩兑现。县竹产业发展领导小组办公室对落实不力、失职缺位、进度缓慢的竹区乡镇和成员单位加强检查督办；对竹产业发展目标完成好的竹区乡镇、成员单位及成绩突出的企业、合作社、个人，给予表彰奖励，确保实现全县竹产业建设各项任务。</w:t>
      </w:r>
    </w:p>
    <w:p w14:paraId="63142011">
      <w:pPr>
        <w:pStyle w:val="10"/>
        <w:ind w:firstLine="0"/>
        <w:outlineLvl w:val="1"/>
        <w:rPr>
          <w:color w:val="auto"/>
        </w:rPr>
      </w:pPr>
      <w:bookmarkStart w:id="95" w:name="_Toc15639"/>
      <w:bookmarkStart w:id="96" w:name="_Toc161954085"/>
      <w:r>
        <w:rPr>
          <w:rFonts w:hint="eastAsia"/>
          <w:color w:val="auto"/>
        </w:rPr>
        <w:t>8.5加大品牌宣传</w:t>
      </w:r>
      <w:bookmarkEnd w:id="95"/>
      <w:bookmarkEnd w:id="96"/>
    </w:p>
    <w:p w14:paraId="4832C82E">
      <w:pPr>
        <w:pStyle w:val="10"/>
        <w:rPr>
          <w:color w:val="auto"/>
        </w:rPr>
      </w:pPr>
      <w:r>
        <w:rPr>
          <w:rFonts w:hint="eastAsia"/>
          <w:color w:val="auto"/>
        </w:rPr>
        <w:t>要充分利用网络、报刊、广播、电视、户外广告等宣传平台，通过举办培训班、印发宣传资料、制作专题节目等多种形式，做好竹产业发展的宣传报道和竹资源培育高产技术的推广，引导广大农民积极投身竹产业发展。鼓励活动营销，设立专门的快手、抖音、微信、B站等新媒体平台，积极宣传龙泉市竹文化节庆活动。龙泉市应加强对当地竹木产业的宣传推广，重视品牌建设，围绕“龙泉竹居”产业生态体系，打响“龙尚竹”等区域性竹产业公共品牌，构建“区域-园区-企业-产品”四层次品牌体系，提升龙泉市竹木产业发展影响力。</w:t>
      </w:r>
    </w:p>
    <w:p w14:paraId="7E2C2A5C">
      <w:pPr>
        <w:pStyle w:val="10"/>
        <w:ind w:firstLine="0"/>
        <w:outlineLvl w:val="1"/>
        <w:rPr>
          <w:color w:val="auto"/>
        </w:rPr>
      </w:pPr>
      <w:bookmarkStart w:id="97" w:name="_Toc161954086"/>
      <w:bookmarkStart w:id="98" w:name="_Toc26067"/>
      <w:r>
        <w:rPr>
          <w:rFonts w:hint="eastAsia"/>
          <w:color w:val="auto"/>
        </w:rPr>
        <w:t>8.6龙头带动产业</w:t>
      </w:r>
      <w:bookmarkEnd w:id="97"/>
      <w:bookmarkEnd w:id="98"/>
    </w:p>
    <w:p w14:paraId="374848D5">
      <w:pPr>
        <w:pStyle w:val="10"/>
        <w:rPr>
          <w:color w:val="auto"/>
        </w:rPr>
      </w:pPr>
      <w:r>
        <w:rPr>
          <w:rFonts w:hint="eastAsia"/>
          <w:color w:val="auto"/>
        </w:rPr>
        <w:t>龙泉市在竹木小家具、厨房用品、木制玩具、户外休闲用品等领域已形成特色产业优势，培育出浙江能福旅游用品发展有限公司、浙江千束家居用品有限公司、浙江恒祥玩具集团有限公司等龙头企业，产业发展势头良好、龙头带动效应明显。应立足“龙泉竹居”产业生态体系建设，聚焦家具板材、厨房用品、休闲玩具等主打领域，围绕当地龙头企业发展，将细分产业做深做透，持续巩固提升现有优势。</w:t>
      </w:r>
    </w:p>
    <w:p w14:paraId="09FCCC0E">
      <w:pPr>
        <w:pStyle w:val="10"/>
        <w:ind w:firstLine="0"/>
        <w:outlineLvl w:val="1"/>
        <w:rPr>
          <w:color w:val="auto"/>
        </w:rPr>
      </w:pPr>
      <w:bookmarkStart w:id="99" w:name="_Toc22177"/>
      <w:bookmarkStart w:id="100" w:name="_Toc161954087"/>
      <w:r>
        <w:rPr>
          <w:rFonts w:hint="eastAsia"/>
          <w:color w:val="auto"/>
        </w:rPr>
        <w:t>8.7加速科技创新</w:t>
      </w:r>
      <w:bookmarkEnd w:id="99"/>
      <w:bookmarkEnd w:id="100"/>
    </w:p>
    <w:p w14:paraId="20AE09A0">
      <w:pPr>
        <w:pStyle w:val="10"/>
        <w:rPr>
          <w:color w:val="auto"/>
        </w:rPr>
      </w:pPr>
      <w:r>
        <w:rPr>
          <w:rFonts w:hint="eastAsia"/>
          <w:color w:val="auto"/>
        </w:rPr>
        <w:t>龙泉市竹林资源丰富，竹木产业稳步增长，但整体来看，仍存在创新能力不强、质量效益不高、资源利用不充分等问题。龙泉市应加强科技创新，注重产学研合作，大力推动竹木产品加工设备研发、技术创新，积极结合物联网、人工智能等新兴技术促进产业发展。加强产学研合作。重点推进关键技术研发应用，鼓励企业积极开发圆竹展平、刨切薄片、纵向接长、无胶拼接、缠绕成型、重组竹材制备、竹材连续化初加工、可降解竹基复合材料等新型竹木生产加工技术。大力发展竹木加工设备。以资金奖励、费用补贴等形式鼓励企业加大竹木加工设备采购、研发投入。</w:t>
      </w:r>
    </w:p>
    <w:p w14:paraId="235D99D6">
      <w:pPr>
        <w:pStyle w:val="10"/>
        <w:ind w:firstLine="0"/>
        <w:outlineLvl w:val="1"/>
        <w:rPr>
          <w:color w:val="auto"/>
        </w:rPr>
      </w:pPr>
      <w:bookmarkStart w:id="101" w:name="_Toc11232"/>
      <w:bookmarkStart w:id="102" w:name="_Toc161954088"/>
      <w:r>
        <w:rPr>
          <w:rFonts w:hint="eastAsia"/>
          <w:color w:val="auto"/>
        </w:rPr>
        <w:t>8.8三产融合发展</w:t>
      </w:r>
      <w:bookmarkEnd w:id="101"/>
      <w:bookmarkEnd w:id="102"/>
    </w:p>
    <w:p w14:paraId="08CE9E88">
      <w:pPr>
        <w:pStyle w:val="10"/>
        <w:rPr>
          <w:color w:val="auto"/>
        </w:rPr>
        <w:sectPr>
          <w:pgSz w:w="11906" w:h="16838"/>
          <w:pgMar w:top="1440" w:right="1800" w:bottom="1440" w:left="1800" w:header="851" w:footer="992" w:gutter="0"/>
          <w:cols w:space="425" w:num="1"/>
          <w:docGrid w:type="lines" w:linePitch="312" w:charSpace="0"/>
        </w:sectPr>
      </w:pPr>
      <w:r>
        <w:rPr>
          <w:rFonts w:hint="eastAsia"/>
          <w:color w:val="auto"/>
        </w:rPr>
        <w:t>龙泉市竹木产业优势主要集中在竹木制日用厨房用具、休闲玩具、家具板材等领域，在竹纤维、竹炭、竹醋液、竹提取物等精深制造领域，及竹林旅游、康养等新兴业态布局较为欠缺。龙泉市应完善产业生态布局，实现产业间的优势互补，推动产业协同发展，延伸产业价值。竹制厨房用具、竹制家具板材，引入竹纤维、竹醋液、竹浆、竹炭等领域，实现优势互补。加强与健康医药产业的协同发展。大力发展竹林旅游康养等新兴业态。推动竹林碳汇建设。</w:t>
      </w:r>
    </w:p>
    <w:p w14:paraId="23C65D5E">
      <w:pPr>
        <w:spacing w:line="240" w:lineRule="auto"/>
        <w:jc w:val="left"/>
        <w:rPr>
          <w:color w:val="auto"/>
          <w:sz w:val="28"/>
          <w:szCs w:val="20"/>
        </w:rPr>
      </w:pPr>
    </w:p>
    <w:p w14:paraId="29E7D9AE">
      <w:pPr>
        <w:spacing w:line="500" w:lineRule="exact"/>
        <w:ind w:firstLine="643" w:firstLineChars="200"/>
        <w:jc w:val="center"/>
        <w:outlineLvl w:val="0"/>
        <w:rPr>
          <w:rFonts w:ascii="宋体" w:hAnsi="宋体"/>
          <w:b/>
          <w:bCs/>
          <w:color w:val="auto"/>
          <w:sz w:val="32"/>
          <w:szCs w:val="32"/>
        </w:rPr>
      </w:pPr>
      <w:bookmarkStart w:id="103" w:name="_Toc161954089"/>
      <w:bookmarkStart w:id="104" w:name="_Toc15130"/>
      <w:r>
        <w:rPr>
          <w:rFonts w:hint="eastAsia" w:ascii="宋体" w:hAnsi="宋体"/>
          <w:b/>
          <w:bCs/>
          <w:color w:val="auto"/>
          <w:sz w:val="32"/>
          <w:szCs w:val="32"/>
        </w:rPr>
        <w:t>附件</w:t>
      </w:r>
      <w:bookmarkEnd w:id="103"/>
      <w:bookmarkEnd w:id="104"/>
    </w:p>
    <w:p w14:paraId="371218FC">
      <w:pPr>
        <w:rPr>
          <w:color w:val="auto"/>
        </w:rPr>
      </w:pPr>
      <w:r>
        <w:rPr>
          <w:rFonts w:hint="eastAsia"/>
          <w:color w:val="auto"/>
        </w:rPr>
        <w:t>龙泉市各乡镇竹林资源分布情况表（2023）</w:t>
      </w:r>
    </w:p>
    <w:p w14:paraId="7437A365">
      <w:pPr>
        <w:jc w:val="left"/>
        <w:rPr>
          <w:color w:val="auto"/>
        </w:rPr>
      </w:pPr>
      <w:r>
        <w:rPr>
          <w:rFonts w:hint="eastAsia"/>
          <w:color w:val="auto"/>
        </w:rPr>
        <w:t>龙泉市竹木产业近5年产值统计表（2018-2022）</w:t>
      </w:r>
    </w:p>
    <w:p w14:paraId="3CEC2880">
      <w:pPr>
        <w:jc w:val="left"/>
        <w:rPr>
          <w:color w:val="auto"/>
        </w:rPr>
      </w:pPr>
      <w:r>
        <w:rPr>
          <w:rFonts w:hint="eastAsia"/>
          <w:color w:val="auto"/>
        </w:rPr>
        <w:t>龙泉市竹木产业规上企业（2023）</w:t>
      </w:r>
    </w:p>
    <w:p w14:paraId="0085757A">
      <w:pPr>
        <w:jc w:val="left"/>
        <w:rPr>
          <w:color w:val="auto"/>
        </w:rPr>
      </w:pPr>
      <w:r>
        <w:rPr>
          <w:rFonts w:hint="eastAsia"/>
          <w:color w:val="auto"/>
          <w:lang w:eastAsia="zh-CN"/>
        </w:rPr>
        <w:t>2024-2028</w:t>
      </w:r>
      <w:r>
        <w:rPr>
          <w:rFonts w:hint="eastAsia"/>
          <w:color w:val="auto"/>
        </w:rPr>
        <w:t>年龙泉市竹林道路网建设规划汇总表</w:t>
      </w:r>
    </w:p>
    <w:p w14:paraId="1C779963">
      <w:pPr>
        <w:rPr>
          <w:color w:val="auto"/>
        </w:rPr>
      </w:pPr>
      <w:r>
        <w:rPr>
          <w:rFonts w:hint="eastAsia"/>
          <w:color w:val="auto"/>
          <w:lang w:eastAsia="zh-CN"/>
        </w:rPr>
        <w:t>2024-2028</w:t>
      </w:r>
      <w:r>
        <w:rPr>
          <w:rFonts w:hint="eastAsia"/>
          <w:color w:val="auto"/>
        </w:rPr>
        <w:t>年龙泉市竹初加工点建设规划详表</w:t>
      </w:r>
    </w:p>
    <w:p w14:paraId="278F9B7C">
      <w:pPr>
        <w:rPr>
          <w:color w:val="auto"/>
        </w:rPr>
      </w:pPr>
      <w:r>
        <w:rPr>
          <w:rFonts w:hint="eastAsia"/>
          <w:color w:val="auto"/>
          <w:lang w:eastAsia="zh-CN"/>
        </w:rPr>
        <w:t>2024-2028</w:t>
      </w:r>
      <w:r>
        <w:rPr>
          <w:rFonts w:hint="eastAsia"/>
          <w:color w:val="auto"/>
        </w:rPr>
        <w:t>年龙泉市竹加工小微园建设规划建设表</w:t>
      </w:r>
    </w:p>
    <w:p w14:paraId="31229A11">
      <w:pPr>
        <w:rPr>
          <w:color w:val="auto"/>
        </w:rPr>
      </w:pPr>
      <w:r>
        <w:rPr>
          <w:rFonts w:hint="eastAsia"/>
          <w:color w:val="auto"/>
        </w:rPr>
        <w:t>龙泉市森林资源分布图（2023）</w:t>
      </w:r>
    </w:p>
    <w:p w14:paraId="00208B5F">
      <w:pPr>
        <w:rPr>
          <w:color w:val="auto"/>
        </w:rPr>
      </w:pPr>
      <w:r>
        <w:rPr>
          <w:rFonts w:hint="eastAsia"/>
          <w:color w:val="auto"/>
        </w:rPr>
        <w:t>龙泉市竹林资源分布图（2023）</w:t>
      </w:r>
    </w:p>
    <w:p w14:paraId="3375E183">
      <w:pPr>
        <w:rPr>
          <w:color w:val="auto"/>
        </w:rPr>
      </w:pPr>
      <w:r>
        <w:rPr>
          <w:rFonts w:hint="eastAsia"/>
          <w:color w:val="auto"/>
        </w:rPr>
        <w:t>龙泉市谷歌影像图</w:t>
      </w:r>
    </w:p>
    <w:p w14:paraId="016EF003">
      <w:pPr>
        <w:rPr>
          <w:color w:val="auto"/>
        </w:rPr>
      </w:pPr>
      <w:r>
        <w:rPr>
          <w:rFonts w:hint="eastAsia"/>
          <w:color w:val="auto"/>
        </w:rPr>
        <w:t>龙泉市行政区划图</w:t>
      </w:r>
    </w:p>
    <w:p w14:paraId="34D0B795">
      <w:pPr>
        <w:jc w:val="left"/>
        <w:rPr>
          <w:color w:val="auto"/>
        </w:rPr>
      </w:pPr>
      <w:r>
        <w:rPr>
          <w:rFonts w:hint="eastAsia"/>
          <w:color w:val="auto"/>
        </w:rPr>
        <w:t>龙泉市坡度级分布图</w:t>
      </w:r>
    </w:p>
    <w:p w14:paraId="2EDB8C8C">
      <w:pPr>
        <w:jc w:val="left"/>
        <w:rPr>
          <w:color w:val="auto"/>
        </w:rPr>
      </w:pPr>
      <w:r>
        <w:rPr>
          <w:rFonts w:hint="eastAsia"/>
          <w:color w:val="auto"/>
        </w:rPr>
        <w:t>龙泉市地势地貌图</w:t>
      </w:r>
    </w:p>
    <w:p w14:paraId="777D0BB6">
      <w:pPr>
        <w:jc w:val="left"/>
        <w:rPr>
          <w:color w:val="auto"/>
        </w:rPr>
      </w:pPr>
      <w:r>
        <w:rPr>
          <w:rFonts w:hint="eastAsia"/>
          <w:color w:val="auto"/>
          <w:lang w:eastAsia="zh-CN"/>
        </w:rPr>
        <w:t>2024-2028</w:t>
      </w:r>
      <w:r>
        <w:rPr>
          <w:rFonts w:hint="eastAsia"/>
          <w:color w:val="auto"/>
        </w:rPr>
        <w:t>年龙泉市竹木产业发展总体布局图</w:t>
      </w:r>
    </w:p>
    <w:p w14:paraId="737773B9">
      <w:pPr>
        <w:pStyle w:val="2"/>
        <w:rPr>
          <w:color w:val="auto"/>
          <w:sz w:val="21"/>
          <w:szCs w:val="24"/>
        </w:rPr>
        <w:sectPr>
          <w:pgSz w:w="11906" w:h="16838"/>
          <w:pgMar w:top="1440" w:right="1800" w:bottom="1440" w:left="1800" w:header="851" w:footer="992" w:gutter="0"/>
          <w:cols w:space="425" w:num="1"/>
          <w:docGrid w:type="lines" w:linePitch="312" w:charSpace="0"/>
        </w:sectPr>
      </w:pPr>
    </w:p>
    <w:p w14:paraId="3B841F9D">
      <w:pPr>
        <w:pStyle w:val="19"/>
        <w:jc w:val="center"/>
        <w:rPr>
          <w:rFonts w:eastAsia="黑体" w:cs="黑体" w:asciiTheme="minorHAnsi" w:hAnsiTheme="minorHAnsi"/>
          <w:color w:val="auto"/>
          <w:kern w:val="2"/>
          <w:sz w:val="30"/>
          <w:szCs w:val="30"/>
        </w:rPr>
      </w:pPr>
      <w:r>
        <w:rPr>
          <w:rFonts w:hint="eastAsia" w:eastAsia="黑体" w:cs="黑体" w:asciiTheme="minorHAnsi" w:hAnsiTheme="minorHAnsi"/>
          <w:color w:val="auto"/>
          <w:kern w:val="2"/>
          <w:sz w:val="30"/>
          <w:szCs w:val="30"/>
        </w:rPr>
        <w:t>龙泉市各乡镇竹林资源分布情况表（截</w:t>
      </w:r>
      <w:r>
        <w:rPr>
          <w:rFonts w:hint="eastAsia" w:eastAsia="黑体" w:cs="黑体" w:asciiTheme="minorHAnsi" w:hAnsiTheme="minorHAnsi"/>
          <w:color w:val="auto"/>
          <w:kern w:val="2"/>
          <w:sz w:val="30"/>
          <w:szCs w:val="30"/>
          <w:lang w:eastAsia="zh-CN"/>
        </w:rPr>
        <w:t>至</w:t>
      </w:r>
      <w:r>
        <w:rPr>
          <w:rFonts w:hint="eastAsia" w:eastAsia="黑体" w:cs="黑体" w:asciiTheme="minorHAnsi" w:hAnsiTheme="minorHAnsi"/>
          <w:color w:val="auto"/>
          <w:kern w:val="2"/>
          <w:sz w:val="30"/>
          <w:szCs w:val="30"/>
        </w:rPr>
        <w:t>2023</w:t>
      </w:r>
      <w:r>
        <w:rPr>
          <w:rFonts w:hint="eastAsia" w:eastAsia="黑体" w:cs="黑体" w:asciiTheme="minorHAnsi" w:hAnsiTheme="minorHAnsi"/>
          <w:color w:val="auto"/>
          <w:kern w:val="2"/>
          <w:sz w:val="30"/>
          <w:szCs w:val="30"/>
          <w:lang w:eastAsia="zh-CN"/>
        </w:rPr>
        <w:t>年</w:t>
      </w:r>
      <w:r>
        <w:rPr>
          <w:rFonts w:hint="eastAsia" w:eastAsia="黑体" w:cs="黑体" w:asciiTheme="minorHAnsi" w:hAnsiTheme="minorHAnsi"/>
          <w:color w:val="auto"/>
          <w:kern w:val="2"/>
          <w:sz w:val="30"/>
          <w:szCs w:val="30"/>
        </w:rPr>
        <w:t>）</w:t>
      </w:r>
    </w:p>
    <w:tbl>
      <w:tblPr>
        <w:tblStyle w:val="22"/>
        <w:tblW w:w="50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357"/>
        <w:gridCol w:w="1367"/>
        <w:gridCol w:w="1354"/>
        <w:gridCol w:w="1111"/>
        <w:gridCol w:w="1065"/>
        <w:gridCol w:w="1119"/>
      </w:tblGrid>
      <w:tr w14:paraId="65EA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vMerge w:val="restart"/>
            <w:tcBorders>
              <w:top w:val="single" w:color="auto" w:sz="12" w:space="0"/>
              <w:left w:val="nil"/>
              <w:bottom w:val="nil"/>
              <w:right w:val="nil"/>
            </w:tcBorders>
            <w:vAlign w:val="center"/>
          </w:tcPr>
          <w:p w14:paraId="3744E7DA">
            <w:pPr>
              <w:widowControl w:val="0"/>
              <w:jc w:val="center"/>
              <w:rPr>
                <w:color w:val="auto"/>
                <w:sz w:val="22"/>
                <w:szCs w:val="22"/>
              </w:rPr>
            </w:pPr>
            <w:r>
              <w:rPr>
                <w:rFonts w:hint="eastAsia"/>
                <w:color w:val="auto"/>
              </w:rPr>
              <w:br w:type="page"/>
            </w:r>
            <w:r>
              <w:rPr>
                <w:rFonts w:hint="eastAsia"/>
                <w:color w:val="auto"/>
                <w:sz w:val="22"/>
                <w:szCs w:val="22"/>
              </w:rPr>
              <w:t>乡镇</w:t>
            </w:r>
          </w:p>
        </w:tc>
        <w:tc>
          <w:tcPr>
            <w:tcW w:w="1590" w:type="pct"/>
            <w:gridSpan w:val="2"/>
            <w:tcBorders>
              <w:top w:val="single" w:color="auto" w:sz="12" w:space="0"/>
              <w:left w:val="nil"/>
              <w:bottom w:val="single" w:color="auto" w:sz="8" w:space="0"/>
              <w:right w:val="nil"/>
            </w:tcBorders>
            <w:vAlign w:val="center"/>
          </w:tcPr>
          <w:p w14:paraId="70E132C2">
            <w:pPr>
              <w:pStyle w:val="19"/>
              <w:widowControl w:val="0"/>
              <w:jc w:val="center"/>
              <w:rPr>
                <w:color w:val="auto"/>
                <w:sz w:val="22"/>
                <w:szCs w:val="22"/>
              </w:rPr>
            </w:pPr>
            <w:r>
              <w:rPr>
                <w:rFonts w:hint="eastAsia"/>
                <w:color w:val="auto"/>
                <w:sz w:val="22"/>
                <w:szCs w:val="22"/>
              </w:rPr>
              <w:t>数量</w:t>
            </w:r>
          </w:p>
        </w:tc>
        <w:tc>
          <w:tcPr>
            <w:tcW w:w="1440" w:type="pct"/>
            <w:gridSpan w:val="2"/>
            <w:tcBorders>
              <w:top w:val="single" w:color="auto" w:sz="12" w:space="0"/>
              <w:left w:val="nil"/>
              <w:bottom w:val="single" w:color="auto" w:sz="8" w:space="0"/>
              <w:right w:val="nil"/>
            </w:tcBorders>
            <w:vAlign w:val="center"/>
          </w:tcPr>
          <w:p w14:paraId="6ADA1193">
            <w:pPr>
              <w:pStyle w:val="19"/>
              <w:widowControl w:val="0"/>
              <w:jc w:val="center"/>
              <w:rPr>
                <w:color w:val="auto"/>
                <w:sz w:val="22"/>
                <w:szCs w:val="22"/>
              </w:rPr>
            </w:pPr>
            <w:r>
              <w:rPr>
                <w:rFonts w:hint="eastAsia"/>
                <w:color w:val="auto"/>
                <w:sz w:val="22"/>
                <w:szCs w:val="22"/>
              </w:rPr>
              <w:t>占全市百分比</w:t>
            </w:r>
          </w:p>
        </w:tc>
        <w:tc>
          <w:tcPr>
            <w:tcW w:w="1276" w:type="pct"/>
            <w:gridSpan w:val="2"/>
            <w:tcBorders>
              <w:top w:val="single" w:color="auto" w:sz="12" w:space="0"/>
              <w:left w:val="nil"/>
              <w:bottom w:val="single" w:color="auto" w:sz="8" w:space="0"/>
              <w:right w:val="nil"/>
            </w:tcBorders>
            <w:vAlign w:val="center"/>
          </w:tcPr>
          <w:p w14:paraId="1F6484CF">
            <w:pPr>
              <w:pStyle w:val="19"/>
              <w:widowControl w:val="0"/>
              <w:jc w:val="center"/>
              <w:rPr>
                <w:color w:val="auto"/>
                <w:sz w:val="22"/>
                <w:szCs w:val="22"/>
              </w:rPr>
            </w:pPr>
            <w:r>
              <w:rPr>
                <w:rFonts w:hint="eastAsia"/>
                <w:color w:val="auto"/>
                <w:sz w:val="22"/>
                <w:szCs w:val="22"/>
              </w:rPr>
              <w:t>排序</w:t>
            </w:r>
          </w:p>
        </w:tc>
      </w:tr>
      <w:tr w14:paraId="35DC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vMerge w:val="continue"/>
            <w:tcBorders>
              <w:top w:val="nil"/>
              <w:left w:val="nil"/>
              <w:bottom w:val="single" w:color="auto" w:sz="4" w:space="0"/>
              <w:right w:val="nil"/>
            </w:tcBorders>
            <w:vAlign w:val="center"/>
          </w:tcPr>
          <w:p w14:paraId="69596671">
            <w:pPr>
              <w:pStyle w:val="19"/>
              <w:widowControl w:val="0"/>
              <w:jc w:val="center"/>
              <w:rPr>
                <w:color w:val="auto"/>
                <w:sz w:val="22"/>
                <w:szCs w:val="22"/>
              </w:rPr>
            </w:pPr>
          </w:p>
        </w:tc>
        <w:tc>
          <w:tcPr>
            <w:tcW w:w="792" w:type="pct"/>
            <w:tcBorders>
              <w:top w:val="single" w:color="auto" w:sz="8" w:space="0"/>
              <w:left w:val="nil"/>
              <w:bottom w:val="single" w:color="auto" w:sz="4" w:space="0"/>
              <w:right w:val="nil"/>
            </w:tcBorders>
            <w:vAlign w:val="center"/>
          </w:tcPr>
          <w:p w14:paraId="71620315">
            <w:pPr>
              <w:pStyle w:val="19"/>
              <w:widowControl w:val="0"/>
              <w:jc w:val="center"/>
              <w:rPr>
                <w:color w:val="auto"/>
                <w:sz w:val="22"/>
                <w:szCs w:val="22"/>
              </w:rPr>
            </w:pPr>
            <w:r>
              <w:rPr>
                <w:rFonts w:hint="eastAsia"/>
                <w:color w:val="auto"/>
                <w:sz w:val="22"/>
                <w:szCs w:val="22"/>
              </w:rPr>
              <w:t>面积</w:t>
            </w:r>
          </w:p>
        </w:tc>
        <w:tc>
          <w:tcPr>
            <w:tcW w:w="798" w:type="pct"/>
            <w:tcBorders>
              <w:top w:val="single" w:color="auto" w:sz="8" w:space="0"/>
              <w:left w:val="nil"/>
              <w:bottom w:val="single" w:color="auto" w:sz="4" w:space="0"/>
              <w:right w:val="nil"/>
            </w:tcBorders>
            <w:vAlign w:val="center"/>
          </w:tcPr>
          <w:p w14:paraId="69F94D39">
            <w:pPr>
              <w:pStyle w:val="19"/>
              <w:widowControl w:val="0"/>
              <w:jc w:val="center"/>
              <w:rPr>
                <w:color w:val="auto"/>
                <w:sz w:val="22"/>
                <w:szCs w:val="22"/>
              </w:rPr>
            </w:pPr>
            <w:r>
              <w:rPr>
                <w:rFonts w:hint="eastAsia"/>
                <w:color w:val="auto"/>
                <w:sz w:val="22"/>
                <w:szCs w:val="22"/>
              </w:rPr>
              <w:t>株树</w:t>
            </w:r>
          </w:p>
        </w:tc>
        <w:tc>
          <w:tcPr>
            <w:tcW w:w="791" w:type="pct"/>
            <w:tcBorders>
              <w:top w:val="single" w:color="auto" w:sz="8" w:space="0"/>
              <w:left w:val="nil"/>
              <w:bottom w:val="single" w:color="auto" w:sz="4" w:space="0"/>
              <w:right w:val="nil"/>
            </w:tcBorders>
            <w:vAlign w:val="center"/>
          </w:tcPr>
          <w:p w14:paraId="6A38EB92">
            <w:pPr>
              <w:pStyle w:val="19"/>
              <w:widowControl w:val="0"/>
              <w:jc w:val="center"/>
              <w:rPr>
                <w:color w:val="auto"/>
                <w:sz w:val="22"/>
                <w:szCs w:val="22"/>
              </w:rPr>
            </w:pPr>
            <w:r>
              <w:rPr>
                <w:rFonts w:hint="eastAsia"/>
                <w:color w:val="auto"/>
                <w:sz w:val="22"/>
                <w:szCs w:val="22"/>
              </w:rPr>
              <w:t>面积</w:t>
            </w:r>
          </w:p>
        </w:tc>
        <w:tc>
          <w:tcPr>
            <w:tcW w:w="648" w:type="pct"/>
            <w:tcBorders>
              <w:top w:val="single" w:color="auto" w:sz="8" w:space="0"/>
              <w:left w:val="nil"/>
              <w:bottom w:val="single" w:color="auto" w:sz="4" w:space="0"/>
              <w:right w:val="nil"/>
            </w:tcBorders>
            <w:vAlign w:val="center"/>
          </w:tcPr>
          <w:p w14:paraId="325CF256">
            <w:pPr>
              <w:pStyle w:val="19"/>
              <w:widowControl w:val="0"/>
              <w:jc w:val="center"/>
              <w:rPr>
                <w:color w:val="auto"/>
                <w:sz w:val="22"/>
                <w:szCs w:val="22"/>
              </w:rPr>
            </w:pPr>
            <w:r>
              <w:rPr>
                <w:rFonts w:hint="eastAsia"/>
                <w:color w:val="auto"/>
                <w:sz w:val="22"/>
                <w:szCs w:val="22"/>
              </w:rPr>
              <w:t>株树</w:t>
            </w:r>
          </w:p>
        </w:tc>
        <w:tc>
          <w:tcPr>
            <w:tcW w:w="622" w:type="pct"/>
            <w:tcBorders>
              <w:top w:val="single" w:color="auto" w:sz="8" w:space="0"/>
              <w:left w:val="nil"/>
              <w:bottom w:val="single" w:color="auto" w:sz="4" w:space="0"/>
              <w:right w:val="nil"/>
            </w:tcBorders>
            <w:vAlign w:val="center"/>
          </w:tcPr>
          <w:p w14:paraId="5D222CFA">
            <w:pPr>
              <w:pStyle w:val="19"/>
              <w:widowControl w:val="0"/>
              <w:ind w:firstLine="0"/>
              <w:jc w:val="center"/>
              <w:rPr>
                <w:color w:val="auto"/>
                <w:sz w:val="22"/>
                <w:szCs w:val="22"/>
              </w:rPr>
            </w:pPr>
            <w:r>
              <w:rPr>
                <w:rFonts w:hint="eastAsia"/>
                <w:color w:val="auto"/>
                <w:sz w:val="22"/>
                <w:szCs w:val="22"/>
              </w:rPr>
              <w:t>面积</w:t>
            </w:r>
          </w:p>
        </w:tc>
        <w:tc>
          <w:tcPr>
            <w:tcW w:w="654" w:type="pct"/>
            <w:tcBorders>
              <w:top w:val="single" w:color="auto" w:sz="8" w:space="0"/>
              <w:left w:val="nil"/>
              <w:bottom w:val="single" w:color="auto" w:sz="4" w:space="0"/>
              <w:right w:val="nil"/>
            </w:tcBorders>
            <w:vAlign w:val="center"/>
          </w:tcPr>
          <w:p w14:paraId="3202A6D4">
            <w:pPr>
              <w:pStyle w:val="19"/>
              <w:widowControl w:val="0"/>
              <w:ind w:firstLine="0"/>
              <w:jc w:val="center"/>
              <w:rPr>
                <w:color w:val="auto"/>
                <w:sz w:val="22"/>
                <w:szCs w:val="22"/>
              </w:rPr>
            </w:pPr>
            <w:r>
              <w:rPr>
                <w:rFonts w:hint="eastAsia"/>
                <w:color w:val="auto"/>
                <w:sz w:val="22"/>
                <w:szCs w:val="22"/>
              </w:rPr>
              <w:t>株树</w:t>
            </w:r>
          </w:p>
        </w:tc>
      </w:tr>
      <w:tr w14:paraId="7511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single" w:color="auto" w:sz="4" w:space="0"/>
              <w:left w:val="nil"/>
              <w:bottom w:val="nil"/>
              <w:right w:val="nil"/>
            </w:tcBorders>
            <w:vAlign w:val="center"/>
          </w:tcPr>
          <w:p w14:paraId="26989C95">
            <w:pPr>
              <w:pStyle w:val="19"/>
              <w:widowControl w:val="0"/>
              <w:ind w:firstLine="0"/>
              <w:jc w:val="center"/>
              <w:rPr>
                <w:color w:val="auto"/>
                <w:sz w:val="22"/>
                <w:szCs w:val="22"/>
              </w:rPr>
            </w:pPr>
            <w:r>
              <w:rPr>
                <w:rFonts w:hint="eastAsia"/>
                <w:color w:val="auto"/>
                <w:sz w:val="22"/>
                <w:szCs w:val="22"/>
              </w:rPr>
              <w:t>合计</w:t>
            </w:r>
          </w:p>
        </w:tc>
        <w:tc>
          <w:tcPr>
            <w:tcW w:w="792" w:type="pct"/>
            <w:tcBorders>
              <w:top w:val="single" w:color="auto" w:sz="4" w:space="0"/>
              <w:left w:val="nil"/>
              <w:bottom w:val="nil"/>
              <w:right w:val="nil"/>
            </w:tcBorders>
            <w:vAlign w:val="center"/>
          </w:tcPr>
          <w:p w14:paraId="2C195104">
            <w:pPr>
              <w:pStyle w:val="19"/>
              <w:widowControl w:val="0"/>
              <w:jc w:val="center"/>
              <w:rPr>
                <w:color w:val="auto"/>
                <w:sz w:val="22"/>
                <w:szCs w:val="22"/>
              </w:rPr>
            </w:pPr>
            <w:r>
              <w:rPr>
                <w:rFonts w:hint="eastAsia"/>
                <w:color w:val="auto"/>
                <w:sz w:val="22"/>
                <w:szCs w:val="22"/>
              </w:rPr>
              <w:t>550748</w:t>
            </w:r>
          </w:p>
        </w:tc>
        <w:tc>
          <w:tcPr>
            <w:tcW w:w="798" w:type="pct"/>
            <w:tcBorders>
              <w:top w:val="single" w:color="auto" w:sz="4" w:space="0"/>
              <w:left w:val="nil"/>
              <w:bottom w:val="nil"/>
              <w:right w:val="nil"/>
            </w:tcBorders>
            <w:vAlign w:val="center"/>
          </w:tcPr>
          <w:p w14:paraId="1DAEBABB">
            <w:pPr>
              <w:pStyle w:val="19"/>
              <w:widowControl w:val="0"/>
              <w:jc w:val="center"/>
              <w:rPr>
                <w:color w:val="auto"/>
                <w:sz w:val="22"/>
                <w:szCs w:val="22"/>
              </w:rPr>
            </w:pPr>
            <w:r>
              <w:rPr>
                <w:rFonts w:hint="eastAsia"/>
                <w:color w:val="auto"/>
                <w:sz w:val="22"/>
                <w:szCs w:val="22"/>
              </w:rPr>
              <w:t>692916</w:t>
            </w:r>
          </w:p>
        </w:tc>
        <w:tc>
          <w:tcPr>
            <w:tcW w:w="791" w:type="pct"/>
            <w:tcBorders>
              <w:top w:val="single" w:color="auto" w:sz="4" w:space="0"/>
              <w:left w:val="nil"/>
              <w:bottom w:val="nil"/>
              <w:right w:val="nil"/>
            </w:tcBorders>
            <w:vAlign w:val="center"/>
          </w:tcPr>
          <w:p w14:paraId="112C1CA0">
            <w:pPr>
              <w:pStyle w:val="19"/>
              <w:widowControl w:val="0"/>
              <w:jc w:val="center"/>
              <w:rPr>
                <w:color w:val="auto"/>
                <w:sz w:val="22"/>
                <w:szCs w:val="22"/>
              </w:rPr>
            </w:pPr>
            <w:r>
              <w:rPr>
                <w:rFonts w:hint="eastAsia"/>
                <w:color w:val="auto"/>
                <w:sz w:val="22"/>
                <w:szCs w:val="22"/>
              </w:rPr>
              <w:t>100</w:t>
            </w:r>
          </w:p>
        </w:tc>
        <w:tc>
          <w:tcPr>
            <w:tcW w:w="648" w:type="pct"/>
            <w:tcBorders>
              <w:top w:val="single" w:color="auto" w:sz="4" w:space="0"/>
              <w:left w:val="nil"/>
              <w:bottom w:val="nil"/>
              <w:right w:val="nil"/>
            </w:tcBorders>
            <w:vAlign w:val="center"/>
          </w:tcPr>
          <w:p w14:paraId="0CA1A41C">
            <w:pPr>
              <w:pStyle w:val="19"/>
              <w:widowControl w:val="0"/>
              <w:jc w:val="center"/>
              <w:rPr>
                <w:color w:val="auto"/>
                <w:sz w:val="22"/>
                <w:szCs w:val="22"/>
              </w:rPr>
            </w:pPr>
            <w:r>
              <w:rPr>
                <w:rFonts w:hint="eastAsia"/>
                <w:color w:val="auto"/>
                <w:sz w:val="22"/>
                <w:szCs w:val="22"/>
              </w:rPr>
              <w:t>100</w:t>
            </w:r>
          </w:p>
        </w:tc>
        <w:tc>
          <w:tcPr>
            <w:tcW w:w="622" w:type="pct"/>
            <w:tcBorders>
              <w:top w:val="single" w:color="auto" w:sz="4" w:space="0"/>
              <w:left w:val="nil"/>
              <w:bottom w:val="nil"/>
              <w:right w:val="nil"/>
            </w:tcBorders>
            <w:vAlign w:val="center"/>
          </w:tcPr>
          <w:p w14:paraId="767D618C">
            <w:pPr>
              <w:pStyle w:val="19"/>
              <w:widowControl w:val="0"/>
              <w:jc w:val="center"/>
              <w:rPr>
                <w:color w:val="auto"/>
                <w:sz w:val="22"/>
                <w:szCs w:val="22"/>
              </w:rPr>
            </w:pPr>
          </w:p>
        </w:tc>
        <w:tc>
          <w:tcPr>
            <w:tcW w:w="654" w:type="pct"/>
            <w:tcBorders>
              <w:top w:val="single" w:color="auto" w:sz="4" w:space="0"/>
              <w:left w:val="nil"/>
              <w:bottom w:val="nil"/>
              <w:right w:val="nil"/>
            </w:tcBorders>
            <w:vAlign w:val="center"/>
          </w:tcPr>
          <w:p w14:paraId="71D8F032">
            <w:pPr>
              <w:pStyle w:val="19"/>
              <w:widowControl w:val="0"/>
              <w:jc w:val="center"/>
              <w:rPr>
                <w:color w:val="auto"/>
                <w:sz w:val="22"/>
                <w:szCs w:val="22"/>
              </w:rPr>
            </w:pPr>
          </w:p>
        </w:tc>
      </w:tr>
      <w:tr w14:paraId="3719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30CE059B">
            <w:pPr>
              <w:pStyle w:val="19"/>
              <w:widowControl w:val="0"/>
              <w:ind w:firstLine="0"/>
              <w:jc w:val="center"/>
              <w:rPr>
                <w:color w:val="auto"/>
                <w:sz w:val="22"/>
                <w:szCs w:val="22"/>
              </w:rPr>
            </w:pPr>
            <w:r>
              <w:rPr>
                <w:rFonts w:hint="eastAsia"/>
                <w:color w:val="auto"/>
                <w:sz w:val="22"/>
                <w:szCs w:val="22"/>
              </w:rPr>
              <w:t>八都</w:t>
            </w:r>
          </w:p>
        </w:tc>
        <w:tc>
          <w:tcPr>
            <w:tcW w:w="792" w:type="pct"/>
            <w:tcBorders>
              <w:top w:val="nil"/>
              <w:left w:val="nil"/>
              <w:bottom w:val="nil"/>
              <w:right w:val="nil"/>
            </w:tcBorders>
            <w:vAlign w:val="center"/>
          </w:tcPr>
          <w:p w14:paraId="1DA39C2A">
            <w:pPr>
              <w:pStyle w:val="19"/>
              <w:widowControl w:val="0"/>
              <w:jc w:val="center"/>
              <w:rPr>
                <w:color w:val="auto"/>
                <w:sz w:val="22"/>
                <w:szCs w:val="22"/>
              </w:rPr>
            </w:pPr>
            <w:r>
              <w:rPr>
                <w:rFonts w:hint="eastAsia"/>
                <w:color w:val="auto"/>
                <w:sz w:val="22"/>
                <w:szCs w:val="22"/>
              </w:rPr>
              <w:t>68955</w:t>
            </w:r>
          </w:p>
        </w:tc>
        <w:tc>
          <w:tcPr>
            <w:tcW w:w="798" w:type="pct"/>
            <w:tcBorders>
              <w:top w:val="nil"/>
              <w:left w:val="nil"/>
              <w:bottom w:val="nil"/>
              <w:right w:val="nil"/>
            </w:tcBorders>
            <w:vAlign w:val="center"/>
          </w:tcPr>
          <w:p w14:paraId="5ED96BDF">
            <w:pPr>
              <w:pStyle w:val="19"/>
              <w:widowControl w:val="0"/>
              <w:jc w:val="center"/>
              <w:rPr>
                <w:rFonts w:eastAsiaTheme="minorEastAsia" w:cstheme="minorBidi"/>
                <w:color w:val="auto"/>
                <w:sz w:val="22"/>
                <w:szCs w:val="22"/>
              </w:rPr>
            </w:pPr>
            <w:r>
              <w:rPr>
                <w:rFonts w:hint="eastAsia"/>
                <w:color w:val="auto"/>
                <w:sz w:val="22"/>
                <w:szCs w:val="22"/>
              </w:rPr>
              <w:t>105497</w:t>
            </w:r>
          </w:p>
        </w:tc>
        <w:tc>
          <w:tcPr>
            <w:tcW w:w="791" w:type="pct"/>
            <w:tcBorders>
              <w:top w:val="nil"/>
              <w:left w:val="nil"/>
              <w:bottom w:val="nil"/>
              <w:right w:val="nil"/>
            </w:tcBorders>
            <w:vAlign w:val="center"/>
          </w:tcPr>
          <w:p w14:paraId="69DD2D5B">
            <w:pPr>
              <w:pStyle w:val="19"/>
              <w:widowControl w:val="0"/>
              <w:jc w:val="center"/>
              <w:rPr>
                <w:color w:val="auto"/>
                <w:sz w:val="22"/>
                <w:szCs w:val="22"/>
              </w:rPr>
            </w:pPr>
            <w:r>
              <w:rPr>
                <w:rFonts w:hint="eastAsia"/>
                <w:color w:val="auto"/>
                <w:sz w:val="22"/>
                <w:szCs w:val="22"/>
              </w:rPr>
              <w:t>12.52</w:t>
            </w:r>
          </w:p>
        </w:tc>
        <w:tc>
          <w:tcPr>
            <w:tcW w:w="648" w:type="pct"/>
            <w:tcBorders>
              <w:top w:val="nil"/>
              <w:left w:val="nil"/>
              <w:bottom w:val="nil"/>
              <w:right w:val="nil"/>
            </w:tcBorders>
            <w:vAlign w:val="center"/>
          </w:tcPr>
          <w:p w14:paraId="0454FDA9">
            <w:pPr>
              <w:pStyle w:val="19"/>
              <w:widowControl w:val="0"/>
              <w:ind w:firstLine="0"/>
              <w:jc w:val="right"/>
              <w:rPr>
                <w:color w:val="auto"/>
                <w:sz w:val="22"/>
                <w:szCs w:val="22"/>
              </w:rPr>
            </w:pPr>
            <w:r>
              <w:rPr>
                <w:rFonts w:hint="eastAsia"/>
                <w:color w:val="auto"/>
                <w:sz w:val="22"/>
                <w:szCs w:val="22"/>
              </w:rPr>
              <w:t>15.23</w:t>
            </w:r>
          </w:p>
        </w:tc>
        <w:tc>
          <w:tcPr>
            <w:tcW w:w="622" w:type="pct"/>
            <w:tcBorders>
              <w:top w:val="nil"/>
              <w:left w:val="nil"/>
              <w:bottom w:val="nil"/>
              <w:right w:val="nil"/>
            </w:tcBorders>
            <w:vAlign w:val="center"/>
          </w:tcPr>
          <w:p w14:paraId="6CCD5D42">
            <w:pPr>
              <w:pStyle w:val="19"/>
              <w:widowControl w:val="0"/>
              <w:jc w:val="center"/>
              <w:rPr>
                <w:color w:val="auto"/>
                <w:sz w:val="22"/>
                <w:szCs w:val="22"/>
              </w:rPr>
            </w:pPr>
            <w:r>
              <w:rPr>
                <w:rFonts w:hint="eastAsia"/>
                <w:color w:val="auto"/>
                <w:sz w:val="22"/>
                <w:szCs w:val="22"/>
              </w:rPr>
              <w:t>1</w:t>
            </w:r>
          </w:p>
        </w:tc>
        <w:tc>
          <w:tcPr>
            <w:tcW w:w="654" w:type="pct"/>
            <w:tcBorders>
              <w:top w:val="nil"/>
              <w:left w:val="nil"/>
              <w:bottom w:val="nil"/>
              <w:right w:val="nil"/>
            </w:tcBorders>
            <w:vAlign w:val="center"/>
          </w:tcPr>
          <w:p w14:paraId="4BE43539">
            <w:pPr>
              <w:pStyle w:val="19"/>
              <w:widowControl w:val="0"/>
              <w:jc w:val="center"/>
              <w:rPr>
                <w:color w:val="auto"/>
                <w:sz w:val="22"/>
                <w:szCs w:val="22"/>
              </w:rPr>
            </w:pPr>
            <w:r>
              <w:rPr>
                <w:rFonts w:hint="eastAsia"/>
                <w:color w:val="auto"/>
                <w:sz w:val="22"/>
                <w:szCs w:val="22"/>
              </w:rPr>
              <w:t>1</w:t>
            </w:r>
          </w:p>
        </w:tc>
      </w:tr>
      <w:tr w14:paraId="33A9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0AEA9D22">
            <w:pPr>
              <w:pStyle w:val="19"/>
              <w:widowControl w:val="0"/>
              <w:ind w:firstLine="0"/>
              <w:jc w:val="center"/>
              <w:rPr>
                <w:color w:val="auto"/>
                <w:sz w:val="22"/>
                <w:szCs w:val="22"/>
              </w:rPr>
            </w:pPr>
            <w:r>
              <w:rPr>
                <w:rFonts w:hint="eastAsia"/>
                <w:color w:val="auto"/>
                <w:sz w:val="22"/>
                <w:szCs w:val="22"/>
              </w:rPr>
              <w:t>上垟</w:t>
            </w:r>
          </w:p>
        </w:tc>
        <w:tc>
          <w:tcPr>
            <w:tcW w:w="792" w:type="pct"/>
            <w:tcBorders>
              <w:top w:val="nil"/>
              <w:left w:val="nil"/>
              <w:bottom w:val="nil"/>
              <w:right w:val="nil"/>
            </w:tcBorders>
            <w:vAlign w:val="center"/>
          </w:tcPr>
          <w:p w14:paraId="5A47DC63">
            <w:pPr>
              <w:pStyle w:val="19"/>
              <w:widowControl w:val="0"/>
              <w:jc w:val="center"/>
              <w:rPr>
                <w:color w:val="auto"/>
                <w:sz w:val="22"/>
                <w:szCs w:val="22"/>
              </w:rPr>
            </w:pPr>
            <w:r>
              <w:rPr>
                <w:rFonts w:hint="eastAsia"/>
                <w:color w:val="auto"/>
                <w:sz w:val="22"/>
                <w:szCs w:val="22"/>
              </w:rPr>
              <w:t>60303</w:t>
            </w:r>
          </w:p>
        </w:tc>
        <w:tc>
          <w:tcPr>
            <w:tcW w:w="798" w:type="pct"/>
            <w:tcBorders>
              <w:top w:val="nil"/>
              <w:left w:val="nil"/>
              <w:bottom w:val="nil"/>
              <w:right w:val="nil"/>
            </w:tcBorders>
            <w:vAlign w:val="center"/>
          </w:tcPr>
          <w:p w14:paraId="316AF960">
            <w:pPr>
              <w:pStyle w:val="19"/>
              <w:widowControl w:val="0"/>
              <w:jc w:val="center"/>
              <w:rPr>
                <w:rFonts w:eastAsiaTheme="minorEastAsia" w:cstheme="minorBidi"/>
                <w:color w:val="auto"/>
                <w:sz w:val="22"/>
                <w:szCs w:val="22"/>
              </w:rPr>
            </w:pPr>
            <w:r>
              <w:rPr>
                <w:rFonts w:hint="eastAsia"/>
                <w:color w:val="auto"/>
                <w:sz w:val="22"/>
                <w:szCs w:val="22"/>
              </w:rPr>
              <w:t>68912</w:t>
            </w:r>
          </w:p>
        </w:tc>
        <w:tc>
          <w:tcPr>
            <w:tcW w:w="791" w:type="pct"/>
            <w:tcBorders>
              <w:top w:val="nil"/>
              <w:left w:val="nil"/>
              <w:bottom w:val="nil"/>
              <w:right w:val="nil"/>
            </w:tcBorders>
            <w:vAlign w:val="center"/>
          </w:tcPr>
          <w:p w14:paraId="025979A7">
            <w:pPr>
              <w:pStyle w:val="19"/>
              <w:widowControl w:val="0"/>
              <w:jc w:val="center"/>
              <w:rPr>
                <w:color w:val="auto"/>
                <w:sz w:val="22"/>
                <w:szCs w:val="22"/>
              </w:rPr>
            </w:pPr>
            <w:r>
              <w:rPr>
                <w:rFonts w:hint="eastAsia"/>
                <w:color w:val="auto"/>
                <w:sz w:val="22"/>
                <w:szCs w:val="22"/>
              </w:rPr>
              <w:t>10.95</w:t>
            </w:r>
          </w:p>
        </w:tc>
        <w:tc>
          <w:tcPr>
            <w:tcW w:w="648" w:type="pct"/>
            <w:tcBorders>
              <w:top w:val="nil"/>
              <w:left w:val="nil"/>
              <w:bottom w:val="nil"/>
              <w:right w:val="nil"/>
            </w:tcBorders>
            <w:vAlign w:val="center"/>
          </w:tcPr>
          <w:p w14:paraId="146DDFAF">
            <w:pPr>
              <w:pStyle w:val="19"/>
              <w:widowControl w:val="0"/>
              <w:jc w:val="center"/>
              <w:rPr>
                <w:color w:val="auto"/>
                <w:sz w:val="22"/>
                <w:szCs w:val="22"/>
              </w:rPr>
            </w:pPr>
            <w:r>
              <w:rPr>
                <w:rFonts w:hint="eastAsia"/>
                <w:color w:val="auto"/>
                <w:sz w:val="22"/>
                <w:szCs w:val="22"/>
              </w:rPr>
              <w:t>9.95</w:t>
            </w:r>
          </w:p>
        </w:tc>
        <w:tc>
          <w:tcPr>
            <w:tcW w:w="622" w:type="pct"/>
            <w:tcBorders>
              <w:top w:val="nil"/>
              <w:left w:val="nil"/>
              <w:bottom w:val="nil"/>
              <w:right w:val="nil"/>
            </w:tcBorders>
            <w:vAlign w:val="center"/>
          </w:tcPr>
          <w:p w14:paraId="72D56C19">
            <w:pPr>
              <w:pStyle w:val="19"/>
              <w:widowControl w:val="0"/>
              <w:jc w:val="center"/>
              <w:rPr>
                <w:color w:val="auto"/>
                <w:sz w:val="22"/>
                <w:szCs w:val="22"/>
              </w:rPr>
            </w:pPr>
            <w:r>
              <w:rPr>
                <w:rFonts w:hint="eastAsia"/>
                <w:color w:val="auto"/>
                <w:sz w:val="22"/>
                <w:szCs w:val="22"/>
              </w:rPr>
              <w:t>2</w:t>
            </w:r>
          </w:p>
        </w:tc>
        <w:tc>
          <w:tcPr>
            <w:tcW w:w="654" w:type="pct"/>
            <w:tcBorders>
              <w:top w:val="nil"/>
              <w:left w:val="nil"/>
              <w:bottom w:val="nil"/>
              <w:right w:val="nil"/>
            </w:tcBorders>
            <w:vAlign w:val="center"/>
          </w:tcPr>
          <w:p w14:paraId="764023C5">
            <w:pPr>
              <w:pStyle w:val="19"/>
              <w:widowControl w:val="0"/>
              <w:jc w:val="center"/>
              <w:rPr>
                <w:color w:val="auto"/>
                <w:sz w:val="22"/>
                <w:szCs w:val="22"/>
              </w:rPr>
            </w:pPr>
            <w:r>
              <w:rPr>
                <w:rFonts w:hint="eastAsia"/>
                <w:color w:val="auto"/>
                <w:sz w:val="22"/>
                <w:szCs w:val="22"/>
              </w:rPr>
              <w:t>2</w:t>
            </w:r>
          </w:p>
        </w:tc>
      </w:tr>
      <w:tr w14:paraId="1F5F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3E0E51F6">
            <w:pPr>
              <w:pStyle w:val="19"/>
              <w:widowControl w:val="0"/>
              <w:ind w:firstLine="0"/>
              <w:jc w:val="center"/>
              <w:rPr>
                <w:color w:val="auto"/>
                <w:sz w:val="22"/>
                <w:szCs w:val="22"/>
              </w:rPr>
            </w:pPr>
            <w:r>
              <w:rPr>
                <w:rFonts w:hint="eastAsia"/>
                <w:color w:val="auto"/>
                <w:sz w:val="22"/>
                <w:szCs w:val="22"/>
              </w:rPr>
              <w:t>锦溪</w:t>
            </w:r>
          </w:p>
        </w:tc>
        <w:tc>
          <w:tcPr>
            <w:tcW w:w="792" w:type="pct"/>
            <w:tcBorders>
              <w:top w:val="nil"/>
              <w:left w:val="nil"/>
              <w:bottom w:val="nil"/>
              <w:right w:val="nil"/>
            </w:tcBorders>
            <w:vAlign w:val="center"/>
          </w:tcPr>
          <w:p w14:paraId="0A00B9A9">
            <w:pPr>
              <w:pStyle w:val="19"/>
              <w:widowControl w:val="0"/>
              <w:jc w:val="center"/>
              <w:rPr>
                <w:color w:val="auto"/>
                <w:sz w:val="22"/>
                <w:szCs w:val="22"/>
              </w:rPr>
            </w:pPr>
            <w:r>
              <w:rPr>
                <w:rFonts w:hint="eastAsia"/>
                <w:color w:val="auto"/>
                <w:sz w:val="22"/>
                <w:szCs w:val="22"/>
              </w:rPr>
              <w:t>41154</w:t>
            </w:r>
          </w:p>
        </w:tc>
        <w:tc>
          <w:tcPr>
            <w:tcW w:w="798" w:type="pct"/>
            <w:tcBorders>
              <w:top w:val="nil"/>
              <w:left w:val="nil"/>
              <w:bottom w:val="nil"/>
              <w:right w:val="nil"/>
            </w:tcBorders>
            <w:vAlign w:val="center"/>
          </w:tcPr>
          <w:p w14:paraId="698EC846">
            <w:pPr>
              <w:pStyle w:val="19"/>
              <w:widowControl w:val="0"/>
              <w:jc w:val="center"/>
              <w:rPr>
                <w:rFonts w:eastAsiaTheme="minorEastAsia" w:cstheme="minorBidi"/>
                <w:color w:val="auto"/>
                <w:sz w:val="22"/>
                <w:szCs w:val="22"/>
              </w:rPr>
            </w:pPr>
            <w:r>
              <w:rPr>
                <w:rFonts w:hint="eastAsia"/>
                <w:color w:val="auto"/>
                <w:sz w:val="22"/>
                <w:szCs w:val="22"/>
              </w:rPr>
              <w:t>49144</w:t>
            </w:r>
          </w:p>
        </w:tc>
        <w:tc>
          <w:tcPr>
            <w:tcW w:w="791" w:type="pct"/>
            <w:tcBorders>
              <w:top w:val="nil"/>
              <w:left w:val="nil"/>
              <w:bottom w:val="nil"/>
              <w:right w:val="nil"/>
            </w:tcBorders>
            <w:vAlign w:val="center"/>
          </w:tcPr>
          <w:p w14:paraId="6D1690B9">
            <w:pPr>
              <w:pStyle w:val="19"/>
              <w:widowControl w:val="0"/>
              <w:jc w:val="center"/>
              <w:rPr>
                <w:color w:val="auto"/>
                <w:sz w:val="22"/>
                <w:szCs w:val="22"/>
              </w:rPr>
            </w:pPr>
            <w:r>
              <w:rPr>
                <w:rFonts w:hint="eastAsia"/>
                <w:color w:val="auto"/>
                <w:sz w:val="22"/>
                <w:szCs w:val="22"/>
              </w:rPr>
              <w:t>7.47</w:t>
            </w:r>
          </w:p>
        </w:tc>
        <w:tc>
          <w:tcPr>
            <w:tcW w:w="648" w:type="pct"/>
            <w:tcBorders>
              <w:top w:val="nil"/>
              <w:left w:val="nil"/>
              <w:bottom w:val="nil"/>
              <w:right w:val="nil"/>
            </w:tcBorders>
            <w:vAlign w:val="center"/>
          </w:tcPr>
          <w:p w14:paraId="5FED0AB5">
            <w:pPr>
              <w:pStyle w:val="19"/>
              <w:widowControl w:val="0"/>
              <w:jc w:val="center"/>
              <w:rPr>
                <w:color w:val="auto"/>
                <w:sz w:val="22"/>
                <w:szCs w:val="22"/>
              </w:rPr>
            </w:pPr>
            <w:r>
              <w:rPr>
                <w:rFonts w:hint="eastAsia"/>
                <w:color w:val="auto"/>
                <w:sz w:val="22"/>
                <w:szCs w:val="22"/>
              </w:rPr>
              <w:t>7.09</w:t>
            </w:r>
          </w:p>
        </w:tc>
        <w:tc>
          <w:tcPr>
            <w:tcW w:w="622" w:type="pct"/>
            <w:tcBorders>
              <w:top w:val="nil"/>
              <w:left w:val="nil"/>
              <w:bottom w:val="nil"/>
              <w:right w:val="nil"/>
            </w:tcBorders>
            <w:vAlign w:val="center"/>
          </w:tcPr>
          <w:p w14:paraId="2CFF9970">
            <w:pPr>
              <w:pStyle w:val="19"/>
              <w:widowControl w:val="0"/>
              <w:jc w:val="center"/>
              <w:rPr>
                <w:color w:val="auto"/>
                <w:sz w:val="22"/>
                <w:szCs w:val="22"/>
              </w:rPr>
            </w:pPr>
            <w:r>
              <w:rPr>
                <w:rFonts w:hint="eastAsia"/>
                <w:color w:val="auto"/>
                <w:sz w:val="22"/>
                <w:szCs w:val="22"/>
              </w:rPr>
              <w:t>3</w:t>
            </w:r>
          </w:p>
        </w:tc>
        <w:tc>
          <w:tcPr>
            <w:tcW w:w="654" w:type="pct"/>
            <w:tcBorders>
              <w:top w:val="nil"/>
              <w:left w:val="nil"/>
              <w:bottom w:val="nil"/>
              <w:right w:val="nil"/>
            </w:tcBorders>
            <w:vAlign w:val="center"/>
          </w:tcPr>
          <w:p w14:paraId="4A49EB1D">
            <w:pPr>
              <w:pStyle w:val="19"/>
              <w:widowControl w:val="0"/>
              <w:jc w:val="center"/>
              <w:rPr>
                <w:color w:val="auto"/>
                <w:sz w:val="22"/>
                <w:szCs w:val="22"/>
              </w:rPr>
            </w:pPr>
            <w:r>
              <w:rPr>
                <w:rFonts w:hint="eastAsia"/>
                <w:color w:val="auto"/>
                <w:sz w:val="22"/>
                <w:szCs w:val="22"/>
              </w:rPr>
              <w:t>4</w:t>
            </w:r>
          </w:p>
        </w:tc>
      </w:tr>
      <w:tr w14:paraId="50AE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51C5C95B">
            <w:pPr>
              <w:pStyle w:val="19"/>
              <w:widowControl w:val="0"/>
              <w:ind w:firstLine="0"/>
              <w:jc w:val="center"/>
              <w:rPr>
                <w:color w:val="auto"/>
                <w:sz w:val="22"/>
                <w:szCs w:val="22"/>
              </w:rPr>
            </w:pPr>
            <w:r>
              <w:rPr>
                <w:rFonts w:hint="eastAsia"/>
                <w:color w:val="auto"/>
                <w:sz w:val="22"/>
                <w:szCs w:val="22"/>
              </w:rPr>
              <w:t>城北</w:t>
            </w:r>
          </w:p>
        </w:tc>
        <w:tc>
          <w:tcPr>
            <w:tcW w:w="792" w:type="pct"/>
            <w:tcBorders>
              <w:top w:val="nil"/>
              <w:left w:val="nil"/>
              <w:bottom w:val="nil"/>
              <w:right w:val="nil"/>
            </w:tcBorders>
            <w:vAlign w:val="center"/>
          </w:tcPr>
          <w:p w14:paraId="0381C087">
            <w:pPr>
              <w:pStyle w:val="19"/>
              <w:widowControl w:val="0"/>
              <w:jc w:val="center"/>
              <w:rPr>
                <w:color w:val="auto"/>
                <w:sz w:val="22"/>
                <w:szCs w:val="22"/>
              </w:rPr>
            </w:pPr>
            <w:r>
              <w:rPr>
                <w:rFonts w:hint="eastAsia"/>
                <w:color w:val="auto"/>
                <w:sz w:val="22"/>
                <w:szCs w:val="22"/>
              </w:rPr>
              <w:t>36399</w:t>
            </w:r>
          </w:p>
        </w:tc>
        <w:tc>
          <w:tcPr>
            <w:tcW w:w="798" w:type="pct"/>
            <w:tcBorders>
              <w:top w:val="nil"/>
              <w:left w:val="nil"/>
              <w:bottom w:val="nil"/>
              <w:right w:val="nil"/>
            </w:tcBorders>
            <w:vAlign w:val="center"/>
          </w:tcPr>
          <w:p w14:paraId="262452CA">
            <w:pPr>
              <w:pStyle w:val="19"/>
              <w:widowControl w:val="0"/>
              <w:jc w:val="center"/>
              <w:rPr>
                <w:rFonts w:eastAsiaTheme="minorEastAsia" w:cstheme="minorBidi"/>
                <w:color w:val="auto"/>
                <w:sz w:val="22"/>
                <w:szCs w:val="22"/>
              </w:rPr>
            </w:pPr>
            <w:r>
              <w:rPr>
                <w:rFonts w:hint="eastAsia"/>
                <w:color w:val="auto"/>
                <w:sz w:val="22"/>
                <w:szCs w:val="22"/>
              </w:rPr>
              <w:t>38695</w:t>
            </w:r>
          </w:p>
        </w:tc>
        <w:tc>
          <w:tcPr>
            <w:tcW w:w="791" w:type="pct"/>
            <w:tcBorders>
              <w:top w:val="nil"/>
              <w:left w:val="nil"/>
              <w:bottom w:val="nil"/>
              <w:right w:val="nil"/>
            </w:tcBorders>
            <w:vAlign w:val="center"/>
          </w:tcPr>
          <w:p w14:paraId="3BB539AE">
            <w:pPr>
              <w:pStyle w:val="19"/>
              <w:widowControl w:val="0"/>
              <w:jc w:val="center"/>
              <w:rPr>
                <w:color w:val="auto"/>
                <w:sz w:val="22"/>
                <w:szCs w:val="22"/>
              </w:rPr>
            </w:pPr>
            <w:r>
              <w:rPr>
                <w:rFonts w:hint="eastAsia"/>
                <w:color w:val="auto"/>
                <w:sz w:val="22"/>
                <w:szCs w:val="22"/>
              </w:rPr>
              <w:t>6.61</w:t>
            </w:r>
          </w:p>
        </w:tc>
        <w:tc>
          <w:tcPr>
            <w:tcW w:w="648" w:type="pct"/>
            <w:tcBorders>
              <w:top w:val="nil"/>
              <w:left w:val="nil"/>
              <w:bottom w:val="nil"/>
              <w:right w:val="nil"/>
            </w:tcBorders>
            <w:vAlign w:val="center"/>
          </w:tcPr>
          <w:p w14:paraId="7636ADA9">
            <w:pPr>
              <w:pStyle w:val="19"/>
              <w:widowControl w:val="0"/>
              <w:jc w:val="center"/>
              <w:rPr>
                <w:color w:val="auto"/>
                <w:sz w:val="22"/>
                <w:szCs w:val="22"/>
              </w:rPr>
            </w:pPr>
            <w:r>
              <w:rPr>
                <w:rFonts w:hint="eastAsia"/>
                <w:color w:val="auto"/>
                <w:sz w:val="22"/>
                <w:szCs w:val="22"/>
              </w:rPr>
              <w:t>5.58</w:t>
            </w:r>
          </w:p>
        </w:tc>
        <w:tc>
          <w:tcPr>
            <w:tcW w:w="622" w:type="pct"/>
            <w:tcBorders>
              <w:top w:val="nil"/>
              <w:left w:val="nil"/>
              <w:bottom w:val="nil"/>
              <w:right w:val="nil"/>
            </w:tcBorders>
            <w:vAlign w:val="center"/>
          </w:tcPr>
          <w:p w14:paraId="640013F9">
            <w:pPr>
              <w:pStyle w:val="19"/>
              <w:widowControl w:val="0"/>
              <w:jc w:val="center"/>
              <w:rPr>
                <w:color w:val="auto"/>
                <w:sz w:val="22"/>
                <w:szCs w:val="22"/>
              </w:rPr>
            </w:pPr>
            <w:r>
              <w:rPr>
                <w:rFonts w:hint="eastAsia"/>
                <w:color w:val="auto"/>
                <w:sz w:val="22"/>
                <w:szCs w:val="22"/>
              </w:rPr>
              <w:t>4</w:t>
            </w:r>
          </w:p>
        </w:tc>
        <w:tc>
          <w:tcPr>
            <w:tcW w:w="654" w:type="pct"/>
            <w:tcBorders>
              <w:top w:val="nil"/>
              <w:left w:val="nil"/>
              <w:bottom w:val="nil"/>
              <w:right w:val="nil"/>
            </w:tcBorders>
            <w:vAlign w:val="center"/>
          </w:tcPr>
          <w:p w14:paraId="1F1BCDD0">
            <w:pPr>
              <w:pStyle w:val="19"/>
              <w:widowControl w:val="0"/>
              <w:jc w:val="center"/>
              <w:rPr>
                <w:color w:val="auto"/>
                <w:sz w:val="22"/>
                <w:szCs w:val="22"/>
              </w:rPr>
            </w:pPr>
            <w:r>
              <w:rPr>
                <w:rFonts w:hint="eastAsia"/>
                <w:color w:val="auto"/>
                <w:sz w:val="22"/>
                <w:szCs w:val="22"/>
              </w:rPr>
              <w:t>6</w:t>
            </w:r>
          </w:p>
        </w:tc>
      </w:tr>
      <w:tr w14:paraId="77BB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2F88080B">
            <w:pPr>
              <w:pStyle w:val="19"/>
              <w:widowControl w:val="0"/>
              <w:ind w:firstLine="0"/>
              <w:jc w:val="center"/>
              <w:rPr>
                <w:color w:val="auto"/>
                <w:sz w:val="22"/>
                <w:szCs w:val="22"/>
              </w:rPr>
            </w:pPr>
            <w:r>
              <w:rPr>
                <w:rFonts w:hint="eastAsia"/>
                <w:color w:val="auto"/>
                <w:sz w:val="22"/>
                <w:szCs w:val="22"/>
              </w:rPr>
              <w:t>小梅</w:t>
            </w:r>
          </w:p>
        </w:tc>
        <w:tc>
          <w:tcPr>
            <w:tcW w:w="792" w:type="pct"/>
            <w:tcBorders>
              <w:top w:val="nil"/>
              <w:left w:val="nil"/>
              <w:bottom w:val="nil"/>
              <w:right w:val="nil"/>
            </w:tcBorders>
            <w:vAlign w:val="center"/>
          </w:tcPr>
          <w:p w14:paraId="08E23C8A">
            <w:pPr>
              <w:pStyle w:val="19"/>
              <w:widowControl w:val="0"/>
              <w:jc w:val="center"/>
              <w:rPr>
                <w:color w:val="auto"/>
                <w:sz w:val="22"/>
                <w:szCs w:val="22"/>
              </w:rPr>
            </w:pPr>
            <w:r>
              <w:rPr>
                <w:rFonts w:hint="eastAsia"/>
                <w:color w:val="auto"/>
                <w:sz w:val="22"/>
                <w:szCs w:val="22"/>
              </w:rPr>
              <w:t>34008</w:t>
            </w:r>
          </w:p>
        </w:tc>
        <w:tc>
          <w:tcPr>
            <w:tcW w:w="798" w:type="pct"/>
            <w:tcBorders>
              <w:top w:val="nil"/>
              <w:left w:val="nil"/>
              <w:bottom w:val="nil"/>
              <w:right w:val="nil"/>
            </w:tcBorders>
            <w:vAlign w:val="center"/>
          </w:tcPr>
          <w:p w14:paraId="05AC0A1F">
            <w:pPr>
              <w:pStyle w:val="19"/>
              <w:widowControl w:val="0"/>
              <w:jc w:val="center"/>
              <w:rPr>
                <w:rFonts w:eastAsiaTheme="minorEastAsia" w:cstheme="minorBidi"/>
                <w:color w:val="auto"/>
                <w:sz w:val="22"/>
                <w:szCs w:val="22"/>
              </w:rPr>
            </w:pPr>
            <w:r>
              <w:rPr>
                <w:rFonts w:hint="eastAsia"/>
                <w:color w:val="auto"/>
                <w:sz w:val="22"/>
                <w:szCs w:val="22"/>
              </w:rPr>
              <w:t>36752</w:t>
            </w:r>
          </w:p>
        </w:tc>
        <w:tc>
          <w:tcPr>
            <w:tcW w:w="791" w:type="pct"/>
            <w:tcBorders>
              <w:top w:val="nil"/>
              <w:left w:val="nil"/>
              <w:bottom w:val="nil"/>
              <w:right w:val="nil"/>
            </w:tcBorders>
            <w:vAlign w:val="center"/>
          </w:tcPr>
          <w:p w14:paraId="598B6FFD">
            <w:pPr>
              <w:pStyle w:val="19"/>
              <w:widowControl w:val="0"/>
              <w:jc w:val="center"/>
              <w:rPr>
                <w:color w:val="auto"/>
                <w:sz w:val="22"/>
                <w:szCs w:val="22"/>
              </w:rPr>
            </w:pPr>
            <w:r>
              <w:rPr>
                <w:rFonts w:hint="eastAsia"/>
                <w:color w:val="auto"/>
                <w:sz w:val="22"/>
                <w:szCs w:val="22"/>
              </w:rPr>
              <w:t>6.17</w:t>
            </w:r>
          </w:p>
        </w:tc>
        <w:tc>
          <w:tcPr>
            <w:tcW w:w="648" w:type="pct"/>
            <w:tcBorders>
              <w:top w:val="nil"/>
              <w:left w:val="nil"/>
              <w:bottom w:val="nil"/>
              <w:right w:val="nil"/>
            </w:tcBorders>
            <w:vAlign w:val="center"/>
          </w:tcPr>
          <w:p w14:paraId="2BAAC4CC">
            <w:pPr>
              <w:pStyle w:val="19"/>
              <w:widowControl w:val="0"/>
              <w:jc w:val="center"/>
              <w:rPr>
                <w:color w:val="auto"/>
                <w:sz w:val="22"/>
                <w:szCs w:val="22"/>
              </w:rPr>
            </w:pPr>
            <w:r>
              <w:rPr>
                <w:rFonts w:hint="eastAsia"/>
                <w:color w:val="auto"/>
                <w:sz w:val="22"/>
                <w:szCs w:val="22"/>
              </w:rPr>
              <w:t>5.30</w:t>
            </w:r>
          </w:p>
        </w:tc>
        <w:tc>
          <w:tcPr>
            <w:tcW w:w="622" w:type="pct"/>
            <w:tcBorders>
              <w:top w:val="nil"/>
              <w:left w:val="nil"/>
              <w:bottom w:val="nil"/>
              <w:right w:val="nil"/>
            </w:tcBorders>
            <w:vAlign w:val="center"/>
          </w:tcPr>
          <w:p w14:paraId="003FE7C1">
            <w:pPr>
              <w:pStyle w:val="19"/>
              <w:widowControl w:val="0"/>
              <w:jc w:val="center"/>
              <w:rPr>
                <w:color w:val="auto"/>
                <w:sz w:val="22"/>
                <w:szCs w:val="22"/>
              </w:rPr>
            </w:pPr>
            <w:r>
              <w:rPr>
                <w:rFonts w:hint="eastAsia"/>
                <w:color w:val="auto"/>
                <w:sz w:val="22"/>
                <w:szCs w:val="22"/>
              </w:rPr>
              <w:t>5</w:t>
            </w:r>
          </w:p>
        </w:tc>
        <w:tc>
          <w:tcPr>
            <w:tcW w:w="654" w:type="pct"/>
            <w:tcBorders>
              <w:top w:val="nil"/>
              <w:left w:val="nil"/>
              <w:bottom w:val="nil"/>
              <w:right w:val="nil"/>
            </w:tcBorders>
            <w:vAlign w:val="center"/>
          </w:tcPr>
          <w:p w14:paraId="2F8F0035">
            <w:pPr>
              <w:pStyle w:val="19"/>
              <w:widowControl w:val="0"/>
              <w:jc w:val="center"/>
              <w:rPr>
                <w:color w:val="auto"/>
                <w:sz w:val="22"/>
                <w:szCs w:val="22"/>
              </w:rPr>
            </w:pPr>
            <w:r>
              <w:rPr>
                <w:rFonts w:hint="eastAsia"/>
                <w:color w:val="auto"/>
                <w:sz w:val="22"/>
                <w:szCs w:val="22"/>
              </w:rPr>
              <w:t>7</w:t>
            </w:r>
          </w:p>
        </w:tc>
      </w:tr>
      <w:tr w14:paraId="7935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2A785669">
            <w:pPr>
              <w:pStyle w:val="19"/>
              <w:widowControl w:val="0"/>
              <w:ind w:firstLine="0"/>
              <w:jc w:val="center"/>
              <w:rPr>
                <w:color w:val="auto"/>
                <w:sz w:val="22"/>
                <w:szCs w:val="22"/>
              </w:rPr>
            </w:pPr>
            <w:r>
              <w:rPr>
                <w:rFonts w:hint="eastAsia"/>
                <w:color w:val="auto"/>
                <w:sz w:val="22"/>
                <w:szCs w:val="22"/>
              </w:rPr>
              <w:t>查田</w:t>
            </w:r>
          </w:p>
        </w:tc>
        <w:tc>
          <w:tcPr>
            <w:tcW w:w="792" w:type="pct"/>
            <w:tcBorders>
              <w:top w:val="nil"/>
              <w:left w:val="nil"/>
              <w:bottom w:val="nil"/>
              <w:right w:val="nil"/>
            </w:tcBorders>
            <w:vAlign w:val="center"/>
          </w:tcPr>
          <w:p w14:paraId="59B49EEA">
            <w:pPr>
              <w:pStyle w:val="19"/>
              <w:widowControl w:val="0"/>
              <w:jc w:val="center"/>
              <w:rPr>
                <w:color w:val="auto"/>
                <w:sz w:val="22"/>
                <w:szCs w:val="22"/>
              </w:rPr>
            </w:pPr>
            <w:r>
              <w:rPr>
                <w:rFonts w:hint="eastAsia"/>
                <w:color w:val="auto"/>
                <w:sz w:val="22"/>
                <w:szCs w:val="22"/>
              </w:rPr>
              <w:t>33513</w:t>
            </w:r>
          </w:p>
        </w:tc>
        <w:tc>
          <w:tcPr>
            <w:tcW w:w="798" w:type="pct"/>
            <w:tcBorders>
              <w:top w:val="nil"/>
              <w:left w:val="nil"/>
              <w:bottom w:val="nil"/>
              <w:right w:val="nil"/>
            </w:tcBorders>
            <w:vAlign w:val="center"/>
          </w:tcPr>
          <w:p w14:paraId="16BD285B">
            <w:pPr>
              <w:pStyle w:val="19"/>
              <w:widowControl w:val="0"/>
              <w:jc w:val="center"/>
              <w:rPr>
                <w:rFonts w:eastAsiaTheme="minorEastAsia" w:cstheme="minorBidi"/>
                <w:color w:val="auto"/>
                <w:sz w:val="22"/>
                <w:szCs w:val="22"/>
              </w:rPr>
            </w:pPr>
            <w:r>
              <w:rPr>
                <w:rFonts w:hint="eastAsia"/>
                <w:color w:val="auto"/>
                <w:sz w:val="22"/>
                <w:szCs w:val="22"/>
              </w:rPr>
              <w:t>45436</w:t>
            </w:r>
          </w:p>
        </w:tc>
        <w:tc>
          <w:tcPr>
            <w:tcW w:w="791" w:type="pct"/>
            <w:tcBorders>
              <w:top w:val="nil"/>
              <w:left w:val="nil"/>
              <w:bottom w:val="nil"/>
              <w:right w:val="nil"/>
            </w:tcBorders>
            <w:vAlign w:val="center"/>
          </w:tcPr>
          <w:p w14:paraId="67A763A7">
            <w:pPr>
              <w:pStyle w:val="19"/>
              <w:widowControl w:val="0"/>
              <w:jc w:val="center"/>
              <w:rPr>
                <w:color w:val="auto"/>
                <w:sz w:val="22"/>
                <w:szCs w:val="22"/>
              </w:rPr>
            </w:pPr>
            <w:r>
              <w:rPr>
                <w:rFonts w:hint="eastAsia"/>
                <w:color w:val="auto"/>
                <w:sz w:val="22"/>
                <w:szCs w:val="22"/>
              </w:rPr>
              <w:t>6.08</w:t>
            </w:r>
          </w:p>
        </w:tc>
        <w:tc>
          <w:tcPr>
            <w:tcW w:w="648" w:type="pct"/>
            <w:tcBorders>
              <w:top w:val="nil"/>
              <w:left w:val="nil"/>
              <w:bottom w:val="nil"/>
              <w:right w:val="nil"/>
            </w:tcBorders>
            <w:vAlign w:val="center"/>
          </w:tcPr>
          <w:p w14:paraId="44030AD5">
            <w:pPr>
              <w:pStyle w:val="19"/>
              <w:widowControl w:val="0"/>
              <w:jc w:val="center"/>
              <w:rPr>
                <w:color w:val="auto"/>
                <w:sz w:val="22"/>
                <w:szCs w:val="22"/>
              </w:rPr>
            </w:pPr>
            <w:r>
              <w:rPr>
                <w:rFonts w:hint="eastAsia"/>
                <w:color w:val="auto"/>
                <w:sz w:val="22"/>
                <w:szCs w:val="22"/>
              </w:rPr>
              <w:t>6.56</w:t>
            </w:r>
          </w:p>
        </w:tc>
        <w:tc>
          <w:tcPr>
            <w:tcW w:w="622" w:type="pct"/>
            <w:tcBorders>
              <w:top w:val="nil"/>
              <w:left w:val="nil"/>
              <w:bottom w:val="nil"/>
              <w:right w:val="nil"/>
            </w:tcBorders>
            <w:vAlign w:val="center"/>
          </w:tcPr>
          <w:p w14:paraId="1FC13012">
            <w:pPr>
              <w:pStyle w:val="19"/>
              <w:widowControl w:val="0"/>
              <w:jc w:val="center"/>
              <w:rPr>
                <w:color w:val="auto"/>
                <w:sz w:val="22"/>
                <w:szCs w:val="22"/>
              </w:rPr>
            </w:pPr>
            <w:r>
              <w:rPr>
                <w:rFonts w:hint="eastAsia"/>
                <w:color w:val="auto"/>
                <w:sz w:val="22"/>
                <w:szCs w:val="22"/>
              </w:rPr>
              <w:t>6</w:t>
            </w:r>
          </w:p>
        </w:tc>
        <w:tc>
          <w:tcPr>
            <w:tcW w:w="654" w:type="pct"/>
            <w:tcBorders>
              <w:top w:val="nil"/>
              <w:left w:val="nil"/>
              <w:bottom w:val="nil"/>
              <w:right w:val="nil"/>
            </w:tcBorders>
            <w:vAlign w:val="center"/>
          </w:tcPr>
          <w:p w14:paraId="7835096E">
            <w:pPr>
              <w:pStyle w:val="19"/>
              <w:widowControl w:val="0"/>
              <w:jc w:val="center"/>
              <w:rPr>
                <w:color w:val="auto"/>
                <w:sz w:val="22"/>
                <w:szCs w:val="22"/>
              </w:rPr>
            </w:pPr>
            <w:r>
              <w:rPr>
                <w:rFonts w:hint="eastAsia"/>
                <w:color w:val="auto"/>
                <w:sz w:val="22"/>
                <w:szCs w:val="22"/>
              </w:rPr>
              <w:t>5</w:t>
            </w:r>
          </w:p>
        </w:tc>
      </w:tr>
      <w:tr w14:paraId="1A8F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2F5C947B">
            <w:pPr>
              <w:pStyle w:val="19"/>
              <w:widowControl w:val="0"/>
              <w:ind w:firstLine="0"/>
              <w:jc w:val="center"/>
              <w:rPr>
                <w:color w:val="auto"/>
                <w:sz w:val="22"/>
                <w:szCs w:val="22"/>
              </w:rPr>
            </w:pPr>
            <w:r>
              <w:rPr>
                <w:rFonts w:hint="eastAsia"/>
                <w:color w:val="auto"/>
                <w:sz w:val="22"/>
                <w:szCs w:val="22"/>
              </w:rPr>
              <w:t>竹垟</w:t>
            </w:r>
          </w:p>
        </w:tc>
        <w:tc>
          <w:tcPr>
            <w:tcW w:w="792" w:type="pct"/>
            <w:tcBorders>
              <w:top w:val="nil"/>
              <w:left w:val="nil"/>
              <w:bottom w:val="nil"/>
              <w:right w:val="nil"/>
            </w:tcBorders>
            <w:vAlign w:val="center"/>
          </w:tcPr>
          <w:p w14:paraId="6E1CF33A">
            <w:pPr>
              <w:pStyle w:val="19"/>
              <w:widowControl w:val="0"/>
              <w:jc w:val="center"/>
              <w:rPr>
                <w:color w:val="auto"/>
                <w:sz w:val="22"/>
                <w:szCs w:val="22"/>
              </w:rPr>
            </w:pPr>
            <w:r>
              <w:rPr>
                <w:rFonts w:hint="eastAsia"/>
                <w:color w:val="auto"/>
                <w:sz w:val="22"/>
                <w:szCs w:val="22"/>
              </w:rPr>
              <w:t>31160</w:t>
            </w:r>
          </w:p>
        </w:tc>
        <w:tc>
          <w:tcPr>
            <w:tcW w:w="798" w:type="pct"/>
            <w:tcBorders>
              <w:top w:val="nil"/>
              <w:left w:val="nil"/>
              <w:bottom w:val="nil"/>
              <w:right w:val="nil"/>
            </w:tcBorders>
            <w:vAlign w:val="center"/>
          </w:tcPr>
          <w:p w14:paraId="51758A8B">
            <w:pPr>
              <w:pStyle w:val="19"/>
              <w:widowControl w:val="0"/>
              <w:jc w:val="center"/>
              <w:rPr>
                <w:rFonts w:eastAsiaTheme="minorEastAsia" w:cstheme="minorBidi"/>
                <w:color w:val="auto"/>
                <w:sz w:val="22"/>
                <w:szCs w:val="22"/>
              </w:rPr>
            </w:pPr>
            <w:r>
              <w:rPr>
                <w:rFonts w:hint="eastAsia"/>
                <w:color w:val="auto"/>
                <w:sz w:val="22"/>
                <w:szCs w:val="22"/>
              </w:rPr>
              <w:t>50812</w:t>
            </w:r>
          </w:p>
        </w:tc>
        <w:tc>
          <w:tcPr>
            <w:tcW w:w="791" w:type="pct"/>
            <w:tcBorders>
              <w:top w:val="nil"/>
              <w:left w:val="nil"/>
              <w:bottom w:val="nil"/>
              <w:right w:val="nil"/>
            </w:tcBorders>
            <w:vAlign w:val="center"/>
          </w:tcPr>
          <w:p w14:paraId="1A356D49">
            <w:pPr>
              <w:pStyle w:val="19"/>
              <w:widowControl w:val="0"/>
              <w:jc w:val="center"/>
              <w:rPr>
                <w:color w:val="auto"/>
                <w:sz w:val="22"/>
                <w:szCs w:val="22"/>
              </w:rPr>
            </w:pPr>
            <w:r>
              <w:rPr>
                <w:rFonts w:hint="eastAsia"/>
                <w:color w:val="auto"/>
                <w:sz w:val="22"/>
                <w:szCs w:val="22"/>
              </w:rPr>
              <w:t>5.66</w:t>
            </w:r>
          </w:p>
        </w:tc>
        <w:tc>
          <w:tcPr>
            <w:tcW w:w="648" w:type="pct"/>
            <w:tcBorders>
              <w:top w:val="nil"/>
              <w:left w:val="nil"/>
              <w:bottom w:val="nil"/>
              <w:right w:val="nil"/>
            </w:tcBorders>
            <w:vAlign w:val="center"/>
          </w:tcPr>
          <w:p w14:paraId="1787CF6B">
            <w:pPr>
              <w:pStyle w:val="19"/>
              <w:widowControl w:val="0"/>
              <w:jc w:val="center"/>
              <w:rPr>
                <w:color w:val="auto"/>
                <w:sz w:val="22"/>
                <w:szCs w:val="22"/>
              </w:rPr>
            </w:pPr>
            <w:r>
              <w:rPr>
                <w:rFonts w:hint="eastAsia"/>
                <w:color w:val="auto"/>
                <w:sz w:val="22"/>
                <w:szCs w:val="22"/>
              </w:rPr>
              <w:t>7.33</w:t>
            </w:r>
          </w:p>
        </w:tc>
        <w:tc>
          <w:tcPr>
            <w:tcW w:w="622" w:type="pct"/>
            <w:tcBorders>
              <w:top w:val="nil"/>
              <w:left w:val="nil"/>
              <w:bottom w:val="nil"/>
              <w:right w:val="nil"/>
            </w:tcBorders>
            <w:vAlign w:val="center"/>
          </w:tcPr>
          <w:p w14:paraId="15CCED39">
            <w:pPr>
              <w:pStyle w:val="19"/>
              <w:widowControl w:val="0"/>
              <w:jc w:val="center"/>
              <w:rPr>
                <w:color w:val="auto"/>
                <w:sz w:val="22"/>
                <w:szCs w:val="22"/>
              </w:rPr>
            </w:pPr>
            <w:r>
              <w:rPr>
                <w:rFonts w:hint="eastAsia"/>
                <w:color w:val="auto"/>
                <w:sz w:val="22"/>
                <w:szCs w:val="22"/>
              </w:rPr>
              <w:t>7</w:t>
            </w:r>
          </w:p>
        </w:tc>
        <w:tc>
          <w:tcPr>
            <w:tcW w:w="654" w:type="pct"/>
            <w:tcBorders>
              <w:top w:val="nil"/>
              <w:left w:val="nil"/>
              <w:bottom w:val="nil"/>
              <w:right w:val="nil"/>
            </w:tcBorders>
            <w:vAlign w:val="center"/>
          </w:tcPr>
          <w:p w14:paraId="668E90BA">
            <w:pPr>
              <w:pStyle w:val="19"/>
              <w:widowControl w:val="0"/>
              <w:jc w:val="center"/>
              <w:rPr>
                <w:color w:val="auto"/>
                <w:sz w:val="22"/>
                <w:szCs w:val="22"/>
              </w:rPr>
            </w:pPr>
            <w:r>
              <w:rPr>
                <w:rFonts w:hint="eastAsia"/>
                <w:color w:val="auto"/>
                <w:sz w:val="22"/>
                <w:szCs w:val="22"/>
              </w:rPr>
              <w:t>3</w:t>
            </w:r>
          </w:p>
        </w:tc>
      </w:tr>
      <w:tr w14:paraId="7A4B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3A36A97D">
            <w:pPr>
              <w:pStyle w:val="19"/>
              <w:widowControl w:val="0"/>
              <w:ind w:firstLine="0"/>
              <w:jc w:val="center"/>
              <w:rPr>
                <w:color w:val="auto"/>
                <w:sz w:val="22"/>
                <w:szCs w:val="22"/>
              </w:rPr>
            </w:pPr>
            <w:r>
              <w:rPr>
                <w:rFonts w:hint="eastAsia"/>
                <w:color w:val="auto"/>
                <w:sz w:val="22"/>
                <w:szCs w:val="22"/>
              </w:rPr>
              <w:t>龙南</w:t>
            </w:r>
          </w:p>
        </w:tc>
        <w:tc>
          <w:tcPr>
            <w:tcW w:w="792" w:type="pct"/>
            <w:tcBorders>
              <w:top w:val="nil"/>
              <w:left w:val="nil"/>
              <w:bottom w:val="nil"/>
              <w:right w:val="nil"/>
            </w:tcBorders>
            <w:vAlign w:val="center"/>
          </w:tcPr>
          <w:p w14:paraId="4BBE7EE4">
            <w:pPr>
              <w:pStyle w:val="19"/>
              <w:widowControl w:val="0"/>
              <w:jc w:val="center"/>
              <w:rPr>
                <w:color w:val="auto"/>
                <w:sz w:val="22"/>
                <w:szCs w:val="22"/>
              </w:rPr>
            </w:pPr>
            <w:r>
              <w:rPr>
                <w:rFonts w:hint="eastAsia"/>
                <w:color w:val="auto"/>
                <w:sz w:val="22"/>
                <w:szCs w:val="22"/>
              </w:rPr>
              <w:t>32203</w:t>
            </w:r>
          </w:p>
        </w:tc>
        <w:tc>
          <w:tcPr>
            <w:tcW w:w="798" w:type="pct"/>
            <w:tcBorders>
              <w:top w:val="nil"/>
              <w:left w:val="nil"/>
              <w:bottom w:val="nil"/>
              <w:right w:val="nil"/>
            </w:tcBorders>
            <w:vAlign w:val="center"/>
          </w:tcPr>
          <w:p w14:paraId="6D80798E">
            <w:pPr>
              <w:pStyle w:val="19"/>
              <w:widowControl w:val="0"/>
              <w:jc w:val="center"/>
              <w:rPr>
                <w:color w:val="auto"/>
                <w:sz w:val="22"/>
                <w:szCs w:val="22"/>
              </w:rPr>
            </w:pPr>
            <w:r>
              <w:rPr>
                <w:rFonts w:hint="eastAsia"/>
                <w:color w:val="auto"/>
                <w:sz w:val="22"/>
                <w:szCs w:val="22"/>
              </w:rPr>
              <w:t>32417</w:t>
            </w:r>
          </w:p>
        </w:tc>
        <w:tc>
          <w:tcPr>
            <w:tcW w:w="791" w:type="pct"/>
            <w:tcBorders>
              <w:top w:val="nil"/>
              <w:left w:val="nil"/>
              <w:bottom w:val="nil"/>
              <w:right w:val="nil"/>
            </w:tcBorders>
            <w:vAlign w:val="center"/>
          </w:tcPr>
          <w:p w14:paraId="0AF083FD">
            <w:pPr>
              <w:pStyle w:val="19"/>
              <w:widowControl w:val="0"/>
              <w:jc w:val="center"/>
              <w:rPr>
                <w:color w:val="auto"/>
                <w:sz w:val="22"/>
                <w:szCs w:val="22"/>
              </w:rPr>
            </w:pPr>
            <w:r>
              <w:rPr>
                <w:rFonts w:hint="eastAsia"/>
                <w:color w:val="auto"/>
                <w:sz w:val="22"/>
                <w:szCs w:val="22"/>
              </w:rPr>
              <w:t>5.48</w:t>
            </w:r>
          </w:p>
        </w:tc>
        <w:tc>
          <w:tcPr>
            <w:tcW w:w="648" w:type="pct"/>
            <w:tcBorders>
              <w:top w:val="nil"/>
              <w:left w:val="nil"/>
              <w:bottom w:val="nil"/>
              <w:right w:val="nil"/>
            </w:tcBorders>
            <w:vAlign w:val="center"/>
          </w:tcPr>
          <w:p w14:paraId="67A20341">
            <w:pPr>
              <w:pStyle w:val="19"/>
              <w:widowControl w:val="0"/>
              <w:jc w:val="center"/>
              <w:rPr>
                <w:color w:val="auto"/>
                <w:sz w:val="22"/>
                <w:szCs w:val="22"/>
              </w:rPr>
            </w:pPr>
            <w:r>
              <w:rPr>
                <w:rFonts w:hint="eastAsia"/>
                <w:color w:val="auto"/>
                <w:sz w:val="22"/>
                <w:szCs w:val="22"/>
              </w:rPr>
              <w:t>4.68</w:t>
            </w:r>
          </w:p>
        </w:tc>
        <w:tc>
          <w:tcPr>
            <w:tcW w:w="622" w:type="pct"/>
            <w:tcBorders>
              <w:top w:val="nil"/>
              <w:left w:val="nil"/>
              <w:bottom w:val="nil"/>
              <w:right w:val="nil"/>
            </w:tcBorders>
            <w:vAlign w:val="center"/>
          </w:tcPr>
          <w:p w14:paraId="0D2DEC41">
            <w:pPr>
              <w:pStyle w:val="19"/>
              <w:widowControl w:val="0"/>
              <w:jc w:val="center"/>
              <w:rPr>
                <w:color w:val="auto"/>
                <w:sz w:val="22"/>
                <w:szCs w:val="22"/>
              </w:rPr>
            </w:pPr>
            <w:r>
              <w:rPr>
                <w:rFonts w:hint="eastAsia"/>
                <w:color w:val="auto"/>
                <w:sz w:val="22"/>
                <w:szCs w:val="22"/>
              </w:rPr>
              <w:t>8</w:t>
            </w:r>
          </w:p>
        </w:tc>
        <w:tc>
          <w:tcPr>
            <w:tcW w:w="654" w:type="pct"/>
            <w:tcBorders>
              <w:top w:val="nil"/>
              <w:left w:val="nil"/>
              <w:bottom w:val="nil"/>
              <w:right w:val="nil"/>
            </w:tcBorders>
            <w:vAlign w:val="center"/>
          </w:tcPr>
          <w:p w14:paraId="4FF1FBC0">
            <w:pPr>
              <w:pStyle w:val="19"/>
              <w:widowControl w:val="0"/>
              <w:jc w:val="center"/>
              <w:rPr>
                <w:color w:val="auto"/>
                <w:sz w:val="22"/>
                <w:szCs w:val="22"/>
              </w:rPr>
            </w:pPr>
            <w:r>
              <w:rPr>
                <w:rFonts w:hint="eastAsia"/>
                <w:color w:val="auto"/>
                <w:sz w:val="22"/>
                <w:szCs w:val="22"/>
              </w:rPr>
              <w:t>11</w:t>
            </w:r>
          </w:p>
        </w:tc>
      </w:tr>
      <w:tr w14:paraId="3ECB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7BFBAF46">
            <w:pPr>
              <w:pStyle w:val="19"/>
              <w:widowControl w:val="0"/>
              <w:ind w:firstLine="0"/>
              <w:jc w:val="center"/>
              <w:rPr>
                <w:color w:val="auto"/>
                <w:sz w:val="22"/>
                <w:szCs w:val="22"/>
              </w:rPr>
            </w:pPr>
            <w:r>
              <w:rPr>
                <w:rFonts w:hint="eastAsia"/>
                <w:color w:val="auto"/>
                <w:sz w:val="22"/>
                <w:szCs w:val="22"/>
              </w:rPr>
              <w:t>道太</w:t>
            </w:r>
          </w:p>
        </w:tc>
        <w:tc>
          <w:tcPr>
            <w:tcW w:w="792" w:type="pct"/>
            <w:tcBorders>
              <w:top w:val="nil"/>
              <w:left w:val="nil"/>
              <w:bottom w:val="nil"/>
              <w:right w:val="nil"/>
            </w:tcBorders>
            <w:vAlign w:val="center"/>
          </w:tcPr>
          <w:p w14:paraId="04B70CFE">
            <w:pPr>
              <w:pStyle w:val="19"/>
              <w:widowControl w:val="0"/>
              <w:jc w:val="center"/>
              <w:rPr>
                <w:color w:val="auto"/>
                <w:sz w:val="22"/>
                <w:szCs w:val="22"/>
              </w:rPr>
            </w:pPr>
            <w:r>
              <w:rPr>
                <w:rFonts w:hint="eastAsia"/>
                <w:color w:val="auto"/>
                <w:sz w:val="22"/>
                <w:szCs w:val="22"/>
              </w:rPr>
              <w:t>27329</w:t>
            </w:r>
          </w:p>
        </w:tc>
        <w:tc>
          <w:tcPr>
            <w:tcW w:w="798" w:type="pct"/>
            <w:tcBorders>
              <w:top w:val="nil"/>
              <w:left w:val="nil"/>
              <w:bottom w:val="nil"/>
              <w:right w:val="nil"/>
            </w:tcBorders>
            <w:vAlign w:val="center"/>
          </w:tcPr>
          <w:p w14:paraId="46519CDE">
            <w:pPr>
              <w:pStyle w:val="19"/>
              <w:widowControl w:val="0"/>
              <w:jc w:val="center"/>
              <w:rPr>
                <w:color w:val="auto"/>
                <w:sz w:val="22"/>
                <w:szCs w:val="22"/>
              </w:rPr>
            </w:pPr>
            <w:r>
              <w:rPr>
                <w:rFonts w:hint="eastAsia"/>
                <w:color w:val="auto"/>
                <w:sz w:val="22"/>
                <w:szCs w:val="22"/>
              </w:rPr>
              <w:t>31837</w:t>
            </w:r>
          </w:p>
        </w:tc>
        <w:tc>
          <w:tcPr>
            <w:tcW w:w="791" w:type="pct"/>
            <w:tcBorders>
              <w:top w:val="nil"/>
              <w:left w:val="nil"/>
              <w:bottom w:val="nil"/>
              <w:right w:val="nil"/>
            </w:tcBorders>
            <w:vAlign w:val="center"/>
          </w:tcPr>
          <w:p w14:paraId="0FF8F64C">
            <w:pPr>
              <w:pStyle w:val="19"/>
              <w:widowControl w:val="0"/>
              <w:jc w:val="center"/>
              <w:rPr>
                <w:color w:val="auto"/>
                <w:sz w:val="22"/>
                <w:szCs w:val="22"/>
              </w:rPr>
            </w:pPr>
            <w:r>
              <w:rPr>
                <w:rFonts w:hint="eastAsia"/>
                <w:color w:val="auto"/>
                <w:sz w:val="22"/>
                <w:szCs w:val="22"/>
              </w:rPr>
              <w:t>4.96</w:t>
            </w:r>
          </w:p>
        </w:tc>
        <w:tc>
          <w:tcPr>
            <w:tcW w:w="648" w:type="pct"/>
            <w:tcBorders>
              <w:top w:val="nil"/>
              <w:left w:val="nil"/>
              <w:bottom w:val="nil"/>
              <w:right w:val="nil"/>
            </w:tcBorders>
            <w:vAlign w:val="center"/>
          </w:tcPr>
          <w:p w14:paraId="705C515F">
            <w:pPr>
              <w:pStyle w:val="19"/>
              <w:widowControl w:val="0"/>
              <w:jc w:val="center"/>
              <w:rPr>
                <w:color w:val="auto"/>
                <w:sz w:val="22"/>
                <w:szCs w:val="22"/>
              </w:rPr>
            </w:pPr>
            <w:r>
              <w:rPr>
                <w:rFonts w:hint="eastAsia"/>
                <w:color w:val="auto"/>
                <w:sz w:val="22"/>
                <w:szCs w:val="22"/>
              </w:rPr>
              <w:t>4.59</w:t>
            </w:r>
          </w:p>
        </w:tc>
        <w:tc>
          <w:tcPr>
            <w:tcW w:w="622" w:type="pct"/>
            <w:tcBorders>
              <w:top w:val="nil"/>
              <w:left w:val="nil"/>
              <w:bottom w:val="nil"/>
              <w:right w:val="nil"/>
            </w:tcBorders>
            <w:vAlign w:val="center"/>
          </w:tcPr>
          <w:p w14:paraId="580FD271">
            <w:pPr>
              <w:pStyle w:val="19"/>
              <w:widowControl w:val="0"/>
              <w:jc w:val="center"/>
              <w:rPr>
                <w:color w:val="auto"/>
                <w:sz w:val="22"/>
                <w:szCs w:val="22"/>
              </w:rPr>
            </w:pPr>
            <w:r>
              <w:rPr>
                <w:rFonts w:hint="eastAsia"/>
                <w:color w:val="auto"/>
                <w:sz w:val="22"/>
                <w:szCs w:val="22"/>
              </w:rPr>
              <w:t>9</w:t>
            </w:r>
          </w:p>
        </w:tc>
        <w:tc>
          <w:tcPr>
            <w:tcW w:w="654" w:type="pct"/>
            <w:tcBorders>
              <w:top w:val="nil"/>
              <w:left w:val="nil"/>
              <w:bottom w:val="nil"/>
              <w:right w:val="nil"/>
            </w:tcBorders>
            <w:vAlign w:val="center"/>
          </w:tcPr>
          <w:p w14:paraId="5970A9DA">
            <w:pPr>
              <w:pStyle w:val="19"/>
              <w:widowControl w:val="0"/>
              <w:jc w:val="center"/>
              <w:rPr>
                <w:color w:val="auto"/>
                <w:sz w:val="22"/>
                <w:szCs w:val="22"/>
              </w:rPr>
            </w:pPr>
            <w:r>
              <w:rPr>
                <w:rFonts w:hint="eastAsia"/>
                <w:color w:val="auto"/>
                <w:sz w:val="22"/>
                <w:szCs w:val="22"/>
              </w:rPr>
              <w:t>12</w:t>
            </w:r>
          </w:p>
        </w:tc>
      </w:tr>
      <w:tr w14:paraId="5C3B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23A9775F">
            <w:pPr>
              <w:pStyle w:val="19"/>
              <w:widowControl w:val="0"/>
              <w:ind w:firstLine="0"/>
              <w:jc w:val="center"/>
              <w:rPr>
                <w:color w:val="auto"/>
                <w:sz w:val="22"/>
                <w:szCs w:val="22"/>
              </w:rPr>
            </w:pPr>
            <w:r>
              <w:rPr>
                <w:rFonts w:hint="eastAsia"/>
                <w:color w:val="auto"/>
                <w:sz w:val="22"/>
                <w:szCs w:val="22"/>
              </w:rPr>
              <w:t>安仁</w:t>
            </w:r>
          </w:p>
        </w:tc>
        <w:tc>
          <w:tcPr>
            <w:tcW w:w="792" w:type="pct"/>
            <w:tcBorders>
              <w:top w:val="nil"/>
              <w:left w:val="nil"/>
              <w:bottom w:val="nil"/>
              <w:right w:val="nil"/>
            </w:tcBorders>
            <w:vAlign w:val="center"/>
          </w:tcPr>
          <w:p w14:paraId="778D3F64">
            <w:pPr>
              <w:pStyle w:val="19"/>
              <w:widowControl w:val="0"/>
              <w:jc w:val="center"/>
              <w:rPr>
                <w:color w:val="auto"/>
                <w:sz w:val="22"/>
                <w:szCs w:val="22"/>
              </w:rPr>
            </w:pPr>
            <w:r>
              <w:rPr>
                <w:rFonts w:hint="eastAsia"/>
                <w:color w:val="auto"/>
                <w:sz w:val="22"/>
                <w:szCs w:val="22"/>
              </w:rPr>
              <w:t>26160</w:t>
            </w:r>
          </w:p>
        </w:tc>
        <w:tc>
          <w:tcPr>
            <w:tcW w:w="798" w:type="pct"/>
            <w:tcBorders>
              <w:top w:val="nil"/>
              <w:left w:val="nil"/>
              <w:bottom w:val="nil"/>
              <w:right w:val="nil"/>
            </w:tcBorders>
            <w:vAlign w:val="center"/>
          </w:tcPr>
          <w:p w14:paraId="06C8F6C8">
            <w:pPr>
              <w:pStyle w:val="19"/>
              <w:widowControl w:val="0"/>
              <w:jc w:val="center"/>
              <w:rPr>
                <w:color w:val="auto"/>
                <w:sz w:val="22"/>
                <w:szCs w:val="22"/>
              </w:rPr>
            </w:pPr>
            <w:r>
              <w:rPr>
                <w:rFonts w:hint="eastAsia"/>
                <w:color w:val="auto"/>
                <w:sz w:val="22"/>
                <w:szCs w:val="22"/>
              </w:rPr>
              <w:t>32941</w:t>
            </w:r>
          </w:p>
        </w:tc>
        <w:tc>
          <w:tcPr>
            <w:tcW w:w="791" w:type="pct"/>
            <w:tcBorders>
              <w:top w:val="nil"/>
              <w:left w:val="nil"/>
              <w:bottom w:val="nil"/>
              <w:right w:val="nil"/>
            </w:tcBorders>
            <w:vAlign w:val="center"/>
          </w:tcPr>
          <w:p w14:paraId="28349F0C">
            <w:pPr>
              <w:pStyle w:val="19"/>
              <w:widowControl w:val="0"/>
              <w:jc w:val="center"/>
              <w:rPr>
                <w:color w:val="auto"/>
                <w:sz w:val="22"/>
                <w:szCs w:val="22"/>
              </w:rPr>
            </w:pPr>
            <w:r>
              <w:rPr>
                <w:rFonts w:hint="eastAsia"/>
                <w:color w:val="auto"/>
                <w:sz w:val="22"/>
                <w:szCs w:val="22"/>
              </w:rPr>
              <w:t>4.75</w:t>
            </w:r>
          </w:p>
        </w:tc>
        <w:tc>
          <w:tcPr>
            <w:tcW w:w="648" w:type="pct"/>
            <w:tcBorders>
              <w:top w:val="nil"/>
              <w:left w:val="nil"/>
              <w:bottom w:val="nil"/>
              <w:right w:val="nil"/>
            </w:tcBorders>
            <w:vAlign w:val="center"/>
          </w:tcPr>
          <w:p w14:paraId="04442779">
            <w:pPr>
              <w:pStyle w:val="19"/>
              <w:widowControl w:val="0"/>
              <w:jc w:val="center"/>
              <w:rPr>
                <w:color w:val="auto"/>
                <w:sz w:val="22"/>
                <w:szCs w:val="22"/>
              </w:rPr>
            </w:pPr>
            <w:r>
              <w:rPr>
                <w:rFonts w:hint="eastAsia"/>
                <w:color w:val="auto"/>
                <w:sz w:val="22"/>
                <w:szCs w:val="22"/>
              </w:rPr>
              <w:t>4.75</w:t>
            </w:r>
          </w:p>
        </w:tc>
        <w:tc>
          <w:tcPr>
            <w:tcW w:w="622" w:type="pct"/>
            <w:tcBorders>
              <w:top w:val="nil"/>
              <w:left w:val="nil"/>
              <w:bottom w:val="nil"/>
              <w:right w:val="nil"/>
            </w:tcBorders>
            <w:vAlign w:val="center"/>
          </w:tcPr>
          <w:p w14:paraId="549DF2BB">
            <w:pPr>
              <w:pStyle w:val="19"/>
              <w:widowControl w:val="0"/>
              <w:jc w:val="center"/>
              <w:rPr>
                <w:color w:val="auto"/>
                <w:sz w:val="22"/>
                <w:szCs w:val="22"/>
              </w:rPr>
            </w:pPr>
            <w:r>
              <w:rPr>
                <w:rFonts w:hint="eastAsia"/>
                <w:color w:val="auto"/>
                <w:sz w:val="22"/>
                <w:szCs w:val="22"/>
              </w:rPr>
              <w:t>10</w:t>
            </w:r>
          </w:p>
        </w:tc>
        <w:tc>
          <w:tcPr>
            <w:tcW w:w="654" w:type="pct"/>
            <w:tcBorders>
              <w:top w:val="nil"/>
              <w:left w:val="nil"/>
              <w:bottom w:val="nil"/>
              <w:right w:val="nil"/>
            </w:tcBorders>
            <w:vAlign w:val="center"/>
          </w:tcPr>
          <w:p w14:paraId="1BC66D94">
            <w:pPr>
              <w:pStyle w:val="19"/>
              <w:widowControl w:val="0"/>
              <w:jc w:val="center"/>
              <w:rPr>
                <w:color w:val="auto"/>
                <w:sz w:val="22"/>
                <w:szCs w:val="22"/>
              </w:rPr>
            </w:pPr>
            <w:r>
              <w:rPr>
                <w:rFonts w:hint="eastAsia"/>
                <w:color w:val="auto"/>
                <w:sz w:val="22"/>
                <w:szCs w:val="22"/>
              </w:rPr>
              <w:t>10</w:t>
            </w:r>
          </w:p>
        </w:tc>
      </w:tr>
      <w:tr w14:paraId="5FBF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1AE3FA76">
            <w:pPr>
              <w:pStyle w:val="19"/>
              <w:widowControl w:val="0"/>
              <w:ind w:firstLine="0"/>
              <w:jc w:val="center"/>
              <w:rPr>
                <w:color w:val="auto"/>
                <w:sz w:val="22"/>
                <w:szCs w:val="22"/>
              </w:rPr>
            </w:pPr>
            <w:r>
              <w:rPr>
                <w:rFonts w:hint="eastAsia"/>
                <w:color w:val="auto"/>
                <w:sz w:val="22"/>
                <w:szCs w:val="22"/>
              </w:rPr>
              <w:t>兰巨</w:t>
            </w:r>
          </w:p>
        </w:tc>
        <w:tc>
          <w:tcPr>
            <w:tcW w:w="792" w:type="pct"/>
            <w:tcBorders>
              <w:top w:val="nil"/>
              <w:left w:val="nil"/>
              <w:bottom w:val="nil"/>
              <w:right w:val="nil"/>
            </w:tcBorders>
            <w:vAlign w:val="center"/>
          </w:tcPr>
          <w:p w14:paraId="58D20620">
            <w:pPr>
              <w:pStyle w:val="19"/>
              <w:widowControl w:val="0"/>
              <w:jc w:val="center"/>
              <w:rPr>
                <w:color w:val="auto"/>
                <w:sz w:val="22"/>
                <w:szCs w:val="22"/>
              </w:rPr>
            </w:pPr>
            <w:r>
              <w:rPr>
                <w:rFonts w:hint="eastAsia"/>
                <w:color w:val="auto"/>
                <w:sz w:val="22"/>
                <w:szCs w:val="22"/>
              </w:rPr>
              <w:t>26003</w:t>
            </w:r>
          </w:p>
        </w:tc>
        <w:tc>
          <w:tcPr>
            <w:tcW w:w="798" w:type="pct"/>
            <w:tcBorders>
              <w:top w:val="nil"/>
              <w:left w:val="nil"/>
              <w:bottom w:val="nil"/>
              <w:right w:val="nil"/>
            </w:tcBorders>
            <w:vAlign w:val="center"/>
          </w:tcPr>
          <w:p w14:paraId="38EF5B51">
            <w:pPr>
              <w:pStyle w:val="19"/>
              <w:widowControl w:val="0"/>
              <w:jc w:val="center"/>
              <w:rPr>
                <w:color w:val="auto"/>
                <w:sz w:val="22"/>
                <w:szCs w:val="22"/>
              </w:rPr>
            </w:pPr>
            <w:r>
              <w:rPr>
                <w:rFonts w:hint="eastAsia"/>
                <w:color w:val="auto"/>
                <w:sz w:val="22"/>
                <w:szCs w:val="22"/>
              </w:rPr>
              <w:t>33341</w:t>
            </w:r>
          </w:p>
        </w:tc>
        <w:tc>
          <w:tcPr>
            <w:tcW w:w="791" w:type="pct"/>
            <w:tcBorders>
              <w:top w:val="nil"/>
              <w:left w:val="nil"/>
              <w:bottom w:val="nil"/>
              <w:right w:val="nil"/>
            </w:tcBorders>
            <w:vAlign w:val="center"/>
          </w:tcPr>
          <w:p w14:paraId="1AEDE9C2">
            <w:pPr>
              <w:pStyle w:val="19"/>
              <w:widowControl w:val="0"/>
              <w:jc w:val="center"/>
              <w:rPr>
                <w:color w:val="auto"/>
                <w:sz w:val="22"/>
                <w:szCs w:val="22"/>
              </w:rPr>
            </w:pPr>
            <w:r>
              <w:rPr>
                <w:rFonts w:hint="eastAsia"/>
                <w:color w:val="auto"/>
                <w:sz w:val="22"/>
                <w:szCs w:val="22"/>
              </w:rPr>
              <w:t>4.72</w:t>
            </w:r>
          </w:p>
        </w:tc>
        <w:tc>
          <w:tcPr>
            <w:tcW w:w="648" w:type="pct"/>
            <w:tcBorders>
              <w:top w:val="nil"/>
              <w:left w:val="nil"/>
              <w:bottom w:val="nil"/>
              <w:right w:val="nil"/>
            </w:tcBorders>
            <w:vAlign w:val="center"/>
          </w:tcPr>
          <w:p w14:paraId="7F080046">
            <w:pPr>
              <w:pStyle w:val="19"/>
              <w:widowControl w:val="0"/>
              <w:jc w:val="center"/>
              <w:rPr>
                <w:color w:val="auto"/>
                <w:sz w:val="22"/>
                <w:szCs w:val="22"/>
              </w:rPr>
            </w:pPr>
            <w:r>
              <w:rPr>
                <w:rFonts w:hint="eastAsia"/>
                <w:color w:val="auto"/>
                <w:sz w:val="22"/>
                <w:szCs w:val="22"/>
              </w:rPr>
              <w:t>4.81</w:t>
            </w:r>
          </w:p>
        </w:tc>
        <w:tc>
          <w:tcPr>
            <w:tcW w:w="622" w:type="pct"/>
            <w:tcBorders>
              <w:top w:val="nil"/>
              <w:left w:val="nil"/>
              <w:bottom w:val="nil"/>
              <w:right w:val="nil"/>
            </w:tcBorders>
            <w:vAlign w:val="center"/>
          </w:tcPr>
          <w:p w14:paraId="474DE664">
            <w:pPr>
              <w:pStyle w:val="19"/>
              <w:widowControl w:val="0"/>
              <w:jc w:val="center"/>
              <w:rPr>
                <w:color w:val="auto"/>
                <w:sz w:val="22"/>
                <w:szCs w:val="22"/>
              </w:rPr>
            </w:pPr>
            <w:r>
              <w:rPr>
                <w:rFonts w:hint="eastAsia"/>
                <w:color w:val="auto"/>
                <w:sz w:val="22"/>
                <w:szCs w:val="22"/>
              </w:rPr>
              <w:t>11</w:t>
            </w:r>
          </w:p>
        </w:tc>
        <w:tc>
          <w:tcPr>
            <w:tcW w:w="654" w:type="pct"/>
            <w:tcBorders>
              <w:top w:val="nil"/>
              <w:left w:val="nil"/>
              <w:bottom w:val="nil"/>
              <w:right w:val="nil"/>
            </w:tcBorders>
            <w:vAlign w:val="center"/>
          </w:tcPr>
          <w:p w14:paraId="264AC75C">
            <w:pPr>
              <w:pStyle w:val="19"/>
              <w:widowControl w:val="0"/>
              <w:jc w:val="center"/>
              <w:rPr>
                <w:color w:val="auto"/>
                <w:sz w:val="22"/>
                <w:szCs w:val="22"/>
              </w:rPr>
            </w:pPr>
            <w:r>
              <w:rPr>
                <w:rFonts w:hint="eastAsia"/>
                <w:color w:val="auto"/>
                <w:sz w:val="22"/>
                <w:szCs w:val="22"/>
              </w:rPr>
              <w:t>9</w:t>
            </w:r>
          </w:p>
        </w:tc>
      </w:tr>
      <w:tr w14:paraId="6486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054585C8">
            <w:pPr>
              <w:pStyle w:val="19"/>
              <w:widowControl w:val="0"/>
              <w:ind w:firstLine="0"/>
              <w:jc w:val="center"/>
              <w:rPr>
                <w:color w:val="auto"/>
                <w:sz w:val="22"/>
                <w:szCs w:val="22"/>
              </w:rPr>
            </w:pPr>
            <w:r>
              <w:rPr>
                <w:rFonts w:hint="eastAsia"/>
                <w:color w:val="auto"/>
                <w:sz w:val="22"/>
                <w:szCs w:val="22"/>
              </w:rPr>
              <w:t>宝溪</w:t>
            </w:r>
          </w:p>
        </w:tc>
        <w:tc>
          <w:tcPr>
            <w:tcW w:w="792" w:type="pct"/>
            <w:tcBorders>
              <w:top w:val="nil"/>
              <w:left w:val="nil"/>
              <w:bottom w:val="nil"/>
              <w:right w:val="nil"/>
            </w:tcBorders>
            <w:vAlign w:val="center"/>
          </w:tcPr>
          <w:p w14:paraId="45F82197">
            <w:pPr>
              <w:pStyle w:val="19"/>
              <w:widowControl w:val="0"/>
              <w:jc w:val="center"/>
              <w:rPr>
                <w:color w:val="auto"/>
                <w:sz w:val="22"/>
                <w:szCs w:val="22"/>
              </w:rPr>
            </w:pPr>
            <w:r>
              <w:rPr>
                <w:rFonts w:hint="eastAsia"/>
                <w:color w:val="auto"/>
                <w:sz w:val="22"/>
                <w:szCs w:val="22"/>
              </w:rPr>
              <w:t>25411</w:t>
            </w:r>
          </w:p>
        </w:tc>
        <w:tc>
          <w:tcPr>
            <w:tcW w:w="798" w:type="pct"/>
            <w:tcBorders>
              <w:top w:val="nil"/>
              <w:left w:val="nil"/>
              <w:bottom w:val="nil"/>
              <w:right w:val="nil"/>
            </w:tcBorders>
            <w:vAlign w:val="center"/>
          </w:tcPr>
          <w:p w14:paraId="5F5682AA">
            <w:pPr>
              <w:pStyle w:val="19"/>
              <w:widowControl w:val="0"/>
              <w:jc w:val="center"/>
              <w:rPr>
                <w:color w:val="auto"/>
                <w:sz w:val="22"/>
                <w:szCs w:val="22"/>
              </w:rPr>
            </w:pPr>
            <w:r>
              <w:rPr>
                <w:rFonts w:hint="eastAsia"/>
                <w:color w:val="auto"/>
                <w:sz w:val="22"/>
                <w:szCs w:val="22"/>
              </w:rPr>
              <w:t>34215</w:t>
            </w:r>
          </w:p>
        </w:tc>
        <w:tc>
          <w:tcPr>
            <w:tcW w:w="791" w:type="pct"/>
            <w:tcBorders>
              <w:top w:val="nil"/>
              <w:left w:val="nil"/>
              <w:bottom w:val="nil"/>
              <w:right w:val="nil"/>
            </w:tcBorders>
            <w:vAlign w:val="center"/>
          </w:tcPr>
          <w:p w14:paraId="5C260FE1">
            <w:pPr>
              <w:pStyle w:val="19"/>
              <w:widowControl w:val="0"/>
              <w:jc w:val="center"/>
              <w:rPr>
                <w:color w:val="auto"/>
                <w:sz w:val="22"/>
                <w:szCs w:val="22"/>
              </w:rPr>
            </w:pPr>
            <w:r>
              <w:rPr>
                <w:rFonts w:hint="eastAsia"/>
                <w:color w:val="auto"/>
                <w:sz w:val="22"/>
                <w:szCs w:val="22"/>
              </w:rPr>
              <w:t>4.61</w:t>
            </w:r>
          </w:p>
        </w:tc>
        <w:tc>
          <w:tcPr>
            <w:tcW w:w="648" w:type="pct"/>
            <w:tcBorders>
              <w:top w:val="nil"/>
              <w:left w:val="nil"/>
              <w:bottom w:val="nil"/>
              <w:right w:val="nil"/>
            </w:tcBorders>
            <w:vAlign w:val="center"/>
          </w:tcPr>
          <w:p w14:paraId="00D2B87F">
            <w:pPr>
              <w:pStyle w:val="19"/>
              <w:widowControl w:val="0"/>
              <w:jc w:val="center"/>
              <w:rPr>
                <w:color w:val="auto"/>
                <w:sz w:val="22"/>
                <w:szCs w:val="22"/>
              </w:rPr>
            </w:pPr>
            <w:r>
              <w:rPr>
                <w:rFonts w:hint="eastAsia"/>
                <w:color w:val="auto"/>
                <w:sz w:val="22"/>
                <w:szCs w:val="22"/>
              </w:rPr>
              <w:t>4.94</w:t>
            </w:r>
          </w:p>
        </w:tc>
        <w:tc>
          <w:tcPr>
            <w:tcW w:w="622" w:type="pct"/>
            <w:tcBorders>
              <w:top w:val="nil"/>
              <w:left w:val="nil"/>
              <w:bottom w:val="nil"/>
              <w:right w:val="nil"/>
            </w:tcBorders>
            <w:vAlign w:val="center"/>
          </w:tcPr>
          <w:p w14:paraId="3FBFD50A">
            <w:pPr>
              <w:pStyle w:val="19"/>
              <w:widowControl w:val="0"/>
              <w:jc w:val="center"/>
              <w:rPr>
                <w:color w:val="auto"/>
                <w:sz w:val="22"/>
                <w:szCs w:val="22"/>
              </w:rPr>
            </w:pPr>
            <w:r>
              <w:rPr>
                <w:rFonts w:hint="eastAsia"/>
                <w:color w:val="auto"/>
                <w:sz w:val="22"/>
                <w:szCs w:val="22"/>
              </w:rPr>
              <w:t>12</w:t>
            </w:r>
          </w:p>
        </w:tc>
        <w:tc>
          <w:tcPr>
            <w:tcW w:w="654" w:type="pct"/>
            <w:tcBorders>
              <w:top w:val="nil"/>
              <w:left w:val="nil"/>
              <w:bottom w:val="nil"/>
              <w:right w:val="nil"/>
            </w:tcBorders>
            <w:vAlign w:val="center"/>
          </w:tcPr>
          <w:p w14:paraId="109F89F1">
            <w:pPr>
              <w:pStyle w:val="19"/>
              <w:widowControl w:val="0"/>
              <w:jc w:val="center"/>
              <w:rPr>
                <w:color w:val="auto"/>
                <w:sz w:val="22"/>
                <w:szCs w:val="22"/>
              </w:rPr>
            </w:pPr>
            <w:r>
              <w:rPr>
                <w:rFonts w:hint="eastAsia"/>
                <w:color w:val="auto"/>
                <w:sz w:val="22"/>
                <w:szCs w:val="22"/>
              </w:rPr>
              <w:t>8</w:t>
            </w:r>
          </w:p>
        </w:tc>
      </w:tr>
      <w:tr w14:paraId="4AE0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01BD91A0">
            <w:pPr>
              <w:pStyle w:val="19"/>
              <w:widowControl w:val="0"/>
              <w:ind w:firstLine="0"/>
              <w:jc w:val="center"/>
              <w:rPr>
                <w:color w:val="auto"/>
                <w:sz w:val="22"/>
                <w:szCs w:val="22"/>
              </w:rPr>
            </w:pPr>
            <w:r>
              <w:rPr>
                <w:rFonts w:hint="eastAsia"/>
                <w:color w:val="auto"/>
                <w:sz w:val="22"/>
                <w:szCs w:val="22"/>
              </w:rPr>
              <w:t>西街</w:t>
            </w:r>
          </w:p>
        </w:tc>
        <w:tc>
          <w:tcPr>
            <w:tcW w:w="792" w:type="pct"/>
            <w:tcBorders>
              <w:top w:val="nil"/>
              <w:left w:val="nil"/>
              <w:bottom w:val="nil"/>
              <w:right w:val="nil"/>
            </w:tcBorders>
            <w:vAlign w:val="center"/>
          </w:tcPr>
          <w:p w14:paraId="3629A210">
            <w:pPr>
              <w:pStyle w:val="19"/>
              <w:widowControl w:val="0"/>
              <w:jc w:val="center"/>
              <w:rPr>
                <w:color w:val="auto"/>
                <w:sz w:val="22"/>
                <w:szCs w:val="22"/>
              </w:rPr>
            </w:pPr>
            <w:r>
              <w:rPr>
                <w:rFonts w:hint="eastAsia"/>
                <w:color w:val="auto"/>
                <w:sz w:val="22"/>
                <w:szCs w:val="22"/>
              </w:rPr>
              <w:t>2147</w:t>
            </w:r>
          </w:p>
        </w:tc>
        <w:tc>
          <w:tcPr>
            <w:tcW w:w="798" w:type="pct"/>
            <w:tcBorders>
              <w:top w:val="nil"/>
              <w:left w:val="nil"/>
              <w:bottom w:val="nil"/>
              <w:right w:val="nil"/>
            </w:tcBorders>
            <w:vAlign w:val="center"/>
          </w:tcPr>
          <w:p w14:paraId="730869AD">
            <w:pPr>
              <w:pStyle w:val="19"/>
              <w:widowControl w:val="0"/>
              <w:jc w:val="center"/>
              <w:rPr>
                <w:color w:val="auto"/>
                <w:sz w:val="22"/>
                <w:szCs w:val="22"/>
              </w:rPr>
            </w:pPr>
            <w:r>
              <w:rPr>
                <w:rFonts w:hint="eastAsia"/>
                <w:color w:val="auto"/>
                <w:sz w:val="22"/>
                <w:szCs w:val="22"/>
              </w:rPr>
              <w:t>26813</w:t>
            </w:r>
          </w:p>
        </w:tc>
        <w:tc>
          <w:tcPr>
            <w:tcW w:w="791" w:type="pct"/>
            <w:tcBorders>
              <w:top w:val="nil"/>
              <w:left w:val="nil"/>
              <w:bottom w:val="nil"/>
              <w:right w:val="nil"/>
            </w:tcBorders>
            <w:vAlign w:val="center"/>
          </w:tcPr>
          <w:p w14:paraId="1FF042BF">
            <w:pPr>
              <w:pStyle w:val="19"/>
              <w:widowControl w:val="0"/>
              <w:jc w:val="center"/>
              <w:rPr>
                <w:color w:val="auto"/>
                <w:sz w:val="22"/>
                <w:szCs w:val="22"/>
              </w:rPr>
            </w:pPr>
            <w:r>
              <w:rPr>
                <w:rFonts w:hint="eastAsia"/>
                <w:color w:val="auto"/>
                <w:sz w:val="22"/>
                <w:szCs w:val="22"/>
              </w:rPr>
              <w:t>3.90</w:t>
            </w:r>
          </w:p>
        </w:tc>
        <w:tc>
          <w:tcPr>
            <w:tcW w:w="648" w:type="pct"/>
            <w:tcBorders>
              <w:top w:val="nil"/>
              <w:left w:val="nil"/>
              <w:bottom w:val="nil"/>
              <w:right w:val="nil"/>
            </w:tcBorders>
            <w:vAlign w:val="center"/>
          </w:tcPr>
          <w:p w14:paraId="3D8C780C">
            <w:pPr>
              <w:pStyle w:val="19"/>
              <w:widowControl w:val="0"/>
              <w:jc w:val="center"/>
              <w:rPr>
                <w:color w:val="auto"/>
                <w:sz w:val="22"/>
                <w:szCs w:val="22"/>
              </w:rPr>
            </w:pPr>
            <w:r>
              <w:rPr>
                <w:rFonts w:hint="eastAsia"/>
                <w:color w:val="auto"/>
                <w:sz w:val="22"/>
                <w:szCs w:val="22"/>
              </w:rPr>
              <w:t>3.87</w:t>
            </w:r>
          </w:p>
        </w:tc>
        <w:tc>
          <w:tcPr>
            <w:tcW w:w="622" w:type="pct"/>
            <w:tcBorders>
              <w:top w:val="nil"/>
              <w:left w:val="nil"/>
              <w:bottom w:val="nil"/>
              <w:right w:val="nil"/>
            </w:tcBorders>
            <w:vAlign w:val="center"/>
          </w:tcPr>
          <w:p w14:paraId="6F6E8BCC">
            <w:pPr>
              <w:pStyle w:val="19"/>
              <w:widowControl w:val="0"/>
              <w:jc w:val="center"/>
              <w:rPr>
                <w:color w:val="auto"/>
                <w:sz w:val="22"/>
                <w:szCs w:val="22"/>
              </w:rPr>
            </w:pPr>
            <w:r>
              <w:rPr>
                <w:rFonts w:hint="eastAsia"/>
                <w:color w:val="auto"/>
                <w:sz w:val="22"/>
                <w:szCs w:val="22"/>
              </w:rPr>
              <w:t>13</w:t>
            </w:r>
          </w:p>
        </w:tc>
        <w:tc>
          <w:tcPr>
            <w:tcW w:w="654" w:type="pct"/>
            <w:tcBorders>
              <w:top w:val="nil"/>
              <w:left w:val="nil"/>
              <w:bottom w:val="nil"/>
              <w:right w:val="nil"/>
            </w:tcBorders>
            <w:vAlign w:val="center"/>
          </w:tcPr>
          <w:p w14:paraId="007191AD">
            <w:pPr>
              <w:pStyle w:val="19"/>
              <w:widowControl w:val="0"/>
              <w:jc w:val="center"/>
              <w:rPr>
                <w:color w:val="auto"/>
                <w:sz w:val="22"/>
                <w:szCs w:val="22"/>
              </w:rPr>
            </w:pPr>
            <w:r>
              <w:rPr>
                <w:rFonts w:hint="eastAsia"/>
                <w:color w:val="auto"/>
                <w:sz w:val="22"/>
                <w:szCs w:val="22"/>
              </w:rPr>
              <w:t>13</w:t>
            </w:r>
          </w:p>
        </w:tc>
      </w:tr>
      <w:tr w14:paraId="5AB1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221A84B9">
            <w:pPr>
              <w:pStyle w:val="19"/>
              <w:widowControl w:val="0"/>
              <w:ind w:firstLine="0"/>
              <w:jc w:val="center"/>
              <w:rPr>
                <w:color w:val="auto"/>
                <w:sz w:val="22"/>
                <w:szCs w:val="22"/>
              </w:rPr>
            </w:pPr>
            <w:r>
              <w:rPr>
                <w:rFonts w:hint="eastAsia"/>
                <w:color w:val="auto"/>
                <w:sz w:val="22"/>
                <w:szCs w:val="22"/>
              </w:rPr>
              <w:t>塔石</w:t>
            </w:r>
          </w:p>
        </w:tc>
        <w:tc>
          <w:tcPr>
            <w:tcW w:w="792" w:type="pct"/>
            <w:tcBorders>
              <w:top w:val="nil"/>
              <w:left w:val="nil"/>
              <w:bottom w:val="nil"/>
              <w:right w:val="nil"/>
            </w:tcBorders>
            <w:vAlign w:val="center"/>
          </w:tcPr>
          <w:p w14:paraId="7D2EF435">
            <w:pPr>
              <w:pStyle w:val="19"/>
              <w:widowControl w:val="0"/>
              <w:jc w:val="center"/>
              <w:rPr>
                <w:color w:val="auto"/>
                <w:sz w:val="22"/>
                <w:szCs w:val="22"/>
              </w:rPr>
            </w:pPr>
            <w:r>
              <w:rPr>
                <w:rFonts w:hint="eastAsia"/>
                <w:color w:val="auto"/>
                <w:sz w:val="22"/>
                <w:szCs w:val="22"/>
              </w:rPr>
              <w:t>20261</w:t>
            </w:r>
          </w:p>
        </w:tc>
        <w:tc>
          <w:tcPr>
            <w:tcW w:w="798" w:type="pct"/>
            <w:tcBorders>
              <w:top w:val="nil"/>
              <w:left w:val="nil"/>
              <w:bottom w:val="nil"/>
              <w:right w:val="nil"/>
            </w:tcBorders>
            <w:vAlign w:val="center"/>
          </w:tcPr>
          <w:p w14:paraId="3B69498F">
            <w:pPr>
              <w:pStyle w:val="19"/>
              <w:widowControl w:val="0"/>
              <w:jc w:val="center"/>
              <w:rPr>
                <w:color w:val="auto"/>
                <w:sz w:val="22"/>
                <w:szCs w:val="22"/>
              </w:rPr>
            </w:pPr>
            <w:r>
              <w:rPr>
                <w:rFonts w:hint="eastAsia"/>
                <w:color w:val="auto"/>
                <w:sz w:val="22"/>
                <w:szCs w:val="22"/>
              </w:rPr>
              <w:t>26786</w:t>
            </w:r>
          </w:p>
        </w:tc>
        <w:tc>
          <w:tcPr>
            <w:tcW w:w="791" w:type="pct"/>
            <w:tcBorders>
              <w:top w:val="nil"/>
              <w:left w:val="nil"/>
              <w:bottom w:val="nil"/>
              <w:right w:val="nil"/>
            </w:tcBorders>
            <w:vAlign w:val="center"/>
          </w:tcPr>
          <w:p w14:paraId="61D50F3F">
            <w:pPr>
              <w:pStyle w:val="19"/>
              <w:widowControl w:val="0"/>
              <w:jc w:val="center"/>
              <w:rPr>
                <w:color w:val="auto"/>
                <w:sz w:val="22"/>
                <w:szCs w:val="22"/>
              </w:rPr>
            </w:pPr>
            <w:r>
              <w:rPr>
                <w:rFonts w:hint="eastAsia"/>
                <w:color w:val="auto"/>
                <w:sz w:val="22"/>
                <w:szCs w:val="22"/>
              </w:rPr>
              <w:t>3.68</w:t>
            </w:r>
          </w:p>
        </w:tc>
        <w:tc>
          <w:tcPr>
            <w:tcW w:w="648" w:type="pct"/>
            <w:tcBorders>
              <w:top w:val="nil"/>
              <w:left w:val="nil"/>
              <w:bottom w:val="nil"/>
              <w:right w:val="nil"/>
            </w:tcBorders>
            <w:vAlign w:val="center"/>
          </w:tcPr>
          <w:p w14:paraId="44319930">
            <w:pPr>
              <w:pStyle w:val="19"/>
              <w:widowControl w:val="0"/>
              <w:jc w:val="center"/>
              <w:rPr>
                <w:color w:val="auto"/>
                <w:sz w:val="22"/>
                <w:szCs w:val="22"/>
              </w:rPr>
            </w:pPr>
            <w:r>
              <w:rPr>
                <w:rFonts w:hint="eastAsia"/>
                <w:color w:val="auto"/>
                <w:sz w:val="22"/>
                <w:szCs w:val="22"/>
              </w:rPr>
              <w:t>3.87</w:t>
            </w:r>
          </w:p>
        </w:tc>
        <w:tc>
          <w:tcPr>
            <w:tcW w:w="622" w:type="pct"/>
            <w:tcBorders>
              <w:top w:val="nil"/>
              <w:left w:val="nil"/>
              <w:bottom w:val="nil"/>
              <w:right w:val="nil"/>
            </w:tcBorders>
            <w:vAlign w:val="center"/>
          </w:tcPr>
          <w:p w14:paraId="0CB68EC9">
            <w:pPr>
              <w:pStyle w:val="19"/>
              <w:widowControl w:val="0"/>
              <w:jc w:val="center"/>
              <w:rPr>
                <w:color w:val="auto"/>
                <w:sz w:val="22"/>
                <w:szCs w:val="22"/>
              </w:rPr>
            </w:pPr>
            <w:r>
              <w:rPr>
                <w:rFonts w:hint="eastAsia"/>
                <w:color w:val="auto"/>
                <w:sz w:val="22"/>
                <w:szCs w:val="22"/>
              </w:rPr>
              <w:t>14</w:t>
            </w:r>
          </w:p>
        </w:tc>
        <w:tc>
          <w:tcPr>
            <w:tcW w:w="654" w:type="pct"/>
            <w:tcBorders>
              <w:top w:val="nil"/>
              <w:left w:val="nil"/>
              <w:bottom w:val="nil"/>
              <w:right w:val="nil"/>
            </w:tcBorders>
            <w:vAlign w:val="center"/>
          </w:tcPr>
          <w:p w14:paraId="6B4A67C3">
            <w:pPr>
              <w:pStyle w:val="19"/>
              <w:widowControl w:val="0"/>
              <w:jc w:val="center"/>
              <w:rPr>
                <w:color w:val="auto"/>
                <w:sz w:val="22"/>
                <w:szCs w:val="22"/>
              </w:rPr>
            </w:pPr>
            <w:r>
              <w:rPr>
                <w:rFonts w:hint="eastAsia"/>
                <w:color w:val="auto"/>
                <w:sz w:val="22"/>
                <w:szCs w:val="22"/>
              </w:rPr>
              <w:t>14</w:t>
            </w:r>
          </w:p>
        </w:tc>
      </w:tr>
      <w:tr w14:paraId="72CC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05243E43">
            <w:pPr>
              <w:pStyle w:val="19"/>
              <w:widowControl w:val="0"/>
              <w:ind w:firstLine="0"/>
              <w:jc w:val="center"/>
              <w:rPr>
                <w:color w:val="auto"/>
                <w:sz w:val="22"/>
                <w:szCs w:val="22"/>
              </w:rPr>
            </w:pPr>
            <w:r>
              <w:rPr>
                <w:rFonts w:hint="eastAsia"/>
                <w:color w:val="auto"/>
                <w:sz w:val="22"/>
                <w:szCs w:val="22"/>
              </w:rPr>
              <w:t>岩樟</w:t>
            </w:r>
          </w:p>
        </w:tc>
        <w:tc>
          <w:tcPr>
            <w:tcW w:w="792" w:type="pct"/>
            <w:tcBorders>
              <w:top w:val="nil"/>
              <w:left w:val="nil"/>
              <w:bottom w:val="nil"/>
              <w:right w:val="nil"/>
            </w:tcBorders>
            <w:vAlign w:val="center"/>
          </w:tcPr>
          <w:p w14:paraId="05AADB67">
            <w:pPr>
              <w:pStyle w:val="19"/>
              <w:widowControl w:val="0"/>
              <w:jc w:val="center"/>
              <w:rPr>
                <w:color w:val="auto"/>
                <w:sz w:val="22"/>
                <w:szCs w:val="22"/>
              </w:rPr>
            </w:pPr>
            <w:r>
              <w:rPr>
                <w:rFonts w:hint="eastAsia"/>
                <w:color w:val="auto"/>
                <w:sz w:val="22"/>
                <w:szCs w:val="22"/>
              </w:rPr>
              <w:t>18492</w:t>
            </w:r>
          </w:p>
        </w:tc>
        <w:tc>
          <w:tcPr>
            <w:tcW w:w="798" w:type="pct"/>
            <w:tcBorders>
              <w:top w:val="nil"/>
              <w:left w:val="nil"/>
              <w:bottom w:val="nil"/>
              <w:right w:val="nil"/>
            </w:tcBorders>
            <w:vAlign w:val="center"/>
          </w:tcPr>
          <w:p w14:paraId="2003B17E">
            <w:pPr>
              <w:pStyle w:val="19"/>
              <w:widowControl w:val="0"/>
              <w:jc w:val="center"/>
              <w:rPr>
                <w:color w:val="auto"/>
                <w:sz w:val="22"/>
                <w:szCs w:val="22"/>
              </w:rPr>
            </w:pPr>
            <w:r>
              <w:rPr>
                <w:rFonts w:hint="eastAsia"/>
                <w:color w:val="auto"/>
                <w:sz w:val="22"/>
                <w:szCs w:val="22"/>
              </w:rPr>
              <w:t>23783</w:t>
            </w:r>
          </w:p>
        </w:tc>
        <w:tc>
          <w:tcPr>
            <w:tcW w:w="791" w:type="pct"/>
            <w:tcBorders>
              <w:top w:val="nil"/>
              <w:left w:val="nil"/>
              <w:bottom w:val="nil"/>
              <w:right w:val="nil"/>
            </w:tcBorders>
            <w:vAlign w:val="center"/>
          </w:tcPr>
          <w:p w14:paraId="661F390D">
            <w:pPr>
              <w:pStyle w:val="19"/>
              <w:widowControl w:val="0"/>
              <w:jc w:val="center"/>
              <w:rPr>
                <w:color w:val="auto"/>
                <w:sz w:val="22"/>
                <w:szCs w:val="22"/>
              </w:rPr>
            </w:pPr>
            <w:r>
              <w:rPr>
                <w:rFonts w:hint="eastAsia"/>
                <w:color w:val="auto"/>
                <w:sz w:val="22"/>
                <w:szCs w:val="22"/>
              </w:rPr>
              <w:t>3.36</w:t>
            </w:r>
          </w:p>
        </w:tc>
        <w:tc>
          <w:tcPr>
            <w:tcW w:w="648" w:type="pct"/>
            <w:tcBorders>
              <w:top w:val="nil"/>
              <w:left w:val="nil"/>
              <w:bottom w:val="nil"/>
              <w:right w:val="nil"/>
            </w:tcBorders>
            <w:vAlign w:val="center"/>
          </w:tcPr>
          <w:p w14:paraId="534AD31E">
            <w:pPr>
              <w:pStyle w:val="19"/>
              <w:widowControl w:val="0"/>
              <w:jc w:val="center"/>
              <w:rPr>
                <w:color w:val="auto"/>
                <w:sz w:val="22"/>
                <w:szCs w:val="22"/>
              </w:rPr>
            </w:pPr>
            <w:r>
              <w:rPr>
                <w:rFonts w:hint="eastAsia"/>
                <w:color w:val="auto"/>
                <w:sz w:val="22"/>
                <w:szCs w:val="22"/>
              </w:rPr>
              <w:t>3.43</w:t>
            </w:r>
          </w:p>
        </w:tc>
        <w:tc>
          <w:tcPr>
            <w:tcW w:w="622" w:type="pct"/>
            <w:tcBorders>
              <w:top w:val="nil"/>
              <w:left w:val="nil"/>
              <w:bottom w:val="nil"/>
              <w:right w:val="nil"/>
            </w:tcBorders>
            <w:vAlign w:val="center"/>
          </w:tcPr>
          <w:p w14:paraId="196BF893">
            <w:pPr>
              <w:pStyle w:val="19"/>
              <w:widowControl w:val="0"/>
              <w:jc w:val="center"/>
              <w:rPr>
                <w:color w:val="auto"/>
                <w:sz w:val="22"/>
                <w:szCs w:val="22"/>
              </w:rPr>
            </w:pPr>
            <w:r>
              <w:rPr>
                <w:rFonts w:hint="eastAsia"/>
                <w:color w:val="auto"/>
                <w:sz w:val="22"/>
                <w:szCs w:val="22"/>
              </w:rPr>
              <w:t>15</w:t>
            </w:r>
          </w:p>
        </w:tc>
        <w:tc>
          <w:tcPr>
            <w:tcW w:w="654" w:type="pct"/>
            <w:tcBorders>
              <w:top w:val="nil"/>
              <w:left w:val="nil"/>
              <w:bottom w:val="nil"/>
              <w:right w:val="nil"/>
            </w:tcBorders>
            <w:vAlign w:val="center"/>
          </w:tcPr>
          <w:p w14:paraId="1F2284E1">
            <w:pPr>
              <w:pStyle w:val="19"/>
              <w:widowControl w:val="0"/>
              <w:jc w:val="center"/>
              <w:rPr>
                <w:color w:val="auto"/>
                <w:sz w:val="22"/>
                <w:szCs w:val="22"/>
              </w:rPr>
            </w:pPr>
            <w:r>
              <w:rPr>
                <w:rFonts w:hint="eastAsia"/>
                <w:color w:val="auto"/>
                <w:sz w:val="22"/>
                <w:szCs w:val="22"/>
              </w:rPr>
              <w:t>15</w:t>
            </w:r>
          </w:p>
        </w:tc>
      </w:tr>
      <w:tr w14:paraId="3864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3865EE8C">
            <w:pPr>
              <w:pStyle w:val="19"/>
              <w:widowControl w:val="0"/>
              <w:ind w:firstLine="0"/>
              <w:jc w:val="center"/>
              <w:rPr>
                <w:color w:val="auto"/>
                <w:sz w:val="22"/>
                <w:szCs w:val="22"/>
              </w:rPr>
            </w:pPr>
            <w:r>
              <w:rPr>
                <w:rFonts w:hint="eastAsia"/>
                <w:color w:val="auto"/>
                <w:sz w:val="22"/>
                <w:szCs w:val="22"/>
              </w:rPr>
              <w:t>屏南</w:t>
            </w:r>
          </w:p>
        </w:tc>
        <w:tc>
          <w:tcPr>
            <w:tcW w:w="792" w:type="pct"/>
            <w:tcBorders>
              <w:top w:val="nil"/>
              <w:left w:val="nil"/>
              <w:bottom w:val="nil"/>
              <w:right w:val="nil"/>
            </w:tcBorders>
            <w:vAlign w:val="center"/>
          </w:tcPr>
          <w:p w14:paraId="1C9561E0">
            <w:pPr>
              <w:pStyle w:val="19"/>
              <w:widowControl w:val="0"/>
              <w:jc w:val="center"/>
              <w:rPr>
                <w:color w:val="auto"/>
                <w:sz w:val="22"/>
                <w:szCs w:val="22"/>
              </w:rPr>
            </w:pPr>
            <w:r>
              <w:rPr>
                <w:rFonts w:hint="eastAsia"/>
                <w:color w:val="auto"/>
                <w:sz w:val="22"/>
                <w:szCs w:val="22"/>
              </w:rPr>
              <w:t>18491</w:t>
            </w:r>
          </w:p>
        </w:tc>
        <w:tc>
          <w:tcPr>
            <w:tcW w:w="798" w:type="pct"/>
            <w:tcBorders>
              <w:top w:val="nil"/>
              <w:left w:val="nil"/>
              <w:bottom w:val="nil"/>
              <w:right w:val="nil"/>
            </w:tcBorders>
            <w:vAlign w:val="center"/>
          </w:tcPr>
          <w:p w14:paraId="77EE43F5">
            <w:pPr>
              <w:pStyle w:val="19"/>
              <w:widowControl w:val="0"/>
              <w:jc w:val="center"/>
              <w:rPr>
                <w:color w:val="auto"/>
                <w:sz w:val="22"/>
                <w:szCs w:val="22"/>
              </w:rPr>
            </w:pPr>
            <w:r>
              <w:rPr>
                <w:rFonts w:hint="eastAsia"/>
                <w:color w:val="auto"/>
                <w:sz w:val="22"/>
                <w:szCs w:val="22"/>
              </w:rPr>
              <w:t>20952</w:t>
            </w:r>
          </w:p>
        </w:tc>
        <w:tc>
          <w:tcPr>
            <w:tcW w:w="791" w:type="pct"/>
            <w:tcBorders>
              <w:top w:val="nil"/>
              <w:left w:val="nil"/>
              <w:bottom w:val="nil"/>
              <w:right w:val="nil"/>
            </w:tcBorders>
            <w:vAlign w:val="center"/>
          </w:tcPr>
          <w:p w14:paraId="0A1645A8">
            <w:pPr>
              <w:pStyle w:val="19"/>
              <w:widowControl w:val="0"/>
              <w:jc w:val="center"/>
              <w:rPr>
                <w:color w:val="auto"/>
                <w:sz w:val="22"/>
                <w:szCs w:val="22"/>
              </w:rPr>
            </w:pPr>
            <w:r>
              <w:rPr>
                <w:rFonts w:hint="eastAsia"/>
                <w:color w:val="auto"/>
                <w:sz w:val="22"/>
                <w:szCs w:val="22"/>
              </w:rPr>
              <w:t>3.36</w:t>
            </w:r>
          </w:p>
        </w:tc>
        <w:tc>
          <w:tcPr>
            <w:tcW w:w="648" w:type="pct"/>
            <w:tcBorders>
              <w:top w:val="nil"/>
              <w:left w:val="nil"/>
              <w:bottom w:val="nil"/>
              <w:right w:val="nil"/>
            </w:tcBorders>
            <w:vAlign w:val="center"/>
          </w:tcPr>
          <w:p w14:paraId="237DD98F">
            <w:pPr>
              <w:pStyle w:val="19"/>
              <w:widowControl w:val="0"/>
              <w:jc w:val="center"/>
              <w:rPr>
                <w:color w:val="auto"/>
                <w:sz w:val="22"/>
                <w:szCs w:val="22"/>
              </w:rPr>
            </w:pPr>
            <w:r>
              <w:rPr>
                <w:rFonts w:hint="eastAsia"/>
                <w:color w:val="auto"/>
                <w:sz w:val="22"/>
                <w:szCs w:val="22"/>
              </w:rPr>
              <w:t>3.02</w:t>
            </w:r>
          </w:p>
        </w:tc>
        <w:tc>
          <w:tcPr>
            <w:tcW w:w="622" w:type="pct"/>
            <w:tcBorders>
              <w:top w:val="nil"/>
              <w:left w:val="nil"/>
              <w:bottom w:val="nil"/>
              <w:right w:val="nil"/>
            </w:tcBorders>
            <w:vAlign w:val="center"/>
          </w:tcPr>
          <w:p w14:paraId="26F60024">
            <w:pPr>
              <w:pStyle w:val="19"/>
              <w:widowControl w:val="0"/>
              <w:jc w:val="center"/>
              <w:rPr>
                <w:color w:val="auto"/>
                <w:sz w:val="22"/>
                <w:szCs w:val="22"/>
              </w:rPr>
            </w:pPr>
            <w:r>
              <w:rPr>
                <w:rFonts w:hint="eastAsia"/>
                <w:color w:val="auto"/>
                <w:sz w:val="22"/>
                <w:szCs w:val="22"/>
              </w:rPr>
              <w:t>16</w:t>
            </w:r>
          </w:p>
        </w:tc>
        <w:tc>
          <w:tcPr>
            <w:tcW w:w="654" w:type="pct"/>
            <w:tcBorders>
              <w:top w:val="nil"/>
              <w:left w:val="nil"/>
              <w:bottom w:val="nil"/>
              <w:right w:val="nil"/>
            </w:tcBorders>
            <w:vAlign w:val="center"/>
          </w:tcPr>
          <w:p w14:paraId="22D55F0E">
            <w:pPr>
              <w:pStyle w:val="19"/>
              <w:widowControl w:val="0"/>
              <w:jc w:val="center"/>
              <w:rPr>
                <w:color w:val="auto"/>
                <w:sz w:val="22"/>
                <w:szCs w:val="22"/>
              </w:rPr>
            </w:pPr>
            <w:r>
              <w:rPr>
                <w:rFonts w:hint="eastAsia"/>
                <w:color w:val="auto"/>
                <w:sz w:val="22"/>
                <w:szCs w:val="22"/>
              </w:rPr>
              <w:t>16</w:t>
            </w:r>
          </w:p>
        </w:tc>
      </w:tr>
      <w:tr w14:paraId="554B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55A38033">
            <w:pPr>
              <w:pStyle w:val="19"/>
              <w:widowControl w:val="0"/>
              <w:ind w:firstLine="0"/>
              <w:jc w:val="center"/>
              <w:rPr>
                <w:color w:val="auto"/>
                <w:sz w:val="22"/>
                <w:szCs w:val="22"/>
              </w:rPr>
            </w:pPr>
            <w:r>
              <w:rPr>
                <w:rFonts w:hint="eastAsia"/>
                <w:color w:val="auto"/>
                <w:sz w:val="22"/>
                <w:szCs w:val="22"/>
              </w:rPr>
              <w:t>龙渊</w:t>
            </w:r>
          </w:p>
        </w:tc>
        <w:tc>
          <w:tcPr>
            <w:tcW w:w="792" w:type="pct"/>
            <w:tcBorders>
              <w:top w:val="nil"/>
              <w:left w:val="nil"/>
              <w:bottom w:val="nil"/>
              <w:right w:val="nil"/>
            </w:tcBorders>
            <w:vAlign w:val="center"/>
          </w:tcPr>
          <w:p w14:paraId="06AE15CE">
            <w:pPr>
              <w:pStyle w:val="19"/>
              <w:widowControl w:val="0"/>
              <w:jc w:val="center"/>
              <w:rPr>
                <w:color w:val="auto"/>
                <w:sz w:val="22"/>
                <w:szCs w:val="22"/>
              </w:rPr>
            </w:pPr>
            <w:r>
              <w:rPr>
                <w:rFonts w:hint="eastAsia"/>
                <w:color w:val="auto"/>
                <w:sz w:val="22"/>
                <w:szCs w:val="22"/>
              </w:rPr>
              <w:t>13872</w:t>
            </w:r>
          </w:p>
        </w:tc>
        <w:tc>
          <w:tcPr>
            <w:tcW w:w="798" w:type="pct"/>
            <w:tcBorders>
              <w:top w:val="nil"/>
              <w:left w:val="nil"/>
              <w:bottom w:val="nil"/>
              <w:right w:val="nil"/>
            </w:tcBorders>
            <w:vAlign w:val="center"/>
          </w:tcPr>
          <w:p w14:paraId="26CA2AEB">
            <w:pPr>
              <w:pStyle w:val="19"/>
              <w:widowControl w:val="0"/>
              <w:jc w:val="center"/>
              <w:rPr>
                <w:color w:val="auto"/>
                <w:sz w:val="22"/>
                <w:szCs w:val="22"/>
              </w:rPr>
            </w:pPr>
            <w:r>
              <w:rPr>
                <w:rFonts w:hint="eastAsia"/>
                <w:color w:val="auto"/>
                <w:sz w:val="22"/>
                <w:szCs w:val="22"/>
              </w:rPr>
              <w:t>16317</w:t>
            </w:r>
          </w:p>
        </w:tc>
        <w:tc>
          <w:tcPr>
            <w:tcW w:w="791" w:type="pct"/>
            <w:tcBorders>
              <w:top w:val="nil"/>
              <w:left w:val="nil"/>
              <w:bottom w:val="nil"/>
              <w:right w:val="nil"/>
            </w:tcBorders>
            <w:vAlign w:val="center"/>
          </w:tcPr>
          <w:p w14:paraId="0E412936">
            <w:pPr>
              <w:pStyle w:val="19"/>
              <w:widowControl w:val="0"/>
              <w:jc w:val="center"/>
              <w:rPr>
                <w:color w:val="auto"/>
                <w:sz w:val="22"/>
                <w:szCs w:val="22"/>
              </w:rPr>
            </w:pPr>
            <w:r>
              <w:rPr>
                <w:rFonts w:hint="eastAsia"/>
                <w:color w:val="auto"/>
                <w:sz w:val="22"/>
                <w:szCs w:val="22"/>
              </w:rPr>
              <w:t>2.52</w:t>
            </w:r>
          </w:p>
        </w:tc>
        <w:tc>
          <w:tcPr>
            <w:tcW w:w="648" w:type="pct"/>
            <w:tcBorders>
              <w:top w:val="nil"/>
              <w:left w:val="nil"/>
              <w:bottom w:val="nil"/>
              <w:right w:val="nil"/>
            </w:tcBorders>
            <w:vAlign w:val="center"/>
          </w:tcPr>
          <w:p w14:paraId="35DA68F9">
            <w:pPr>
              <w:pStyle w:val="19"/>
              <w:widowControl w:val="0"/>
              <w:jc w:val="center"/>
              <w:rPr>
                <w:color w:val="auto"/>
                <w:sz w:val="22"/>
                <w:szCs w:val="22"/>
              </w:rPr>
            </w:pPr>
            <w:r>
              <w:rPr>
                <w:rFonts w:hint="eastAsia"/>
                <w:color w:val="auto"/>
                <w:sz w:val="22"/>
                <w:szCs w:val="22"/>
              </w:rPr>
              <w:t>2.35</w:t>
            </w:r>
          </w:p>
        </w:tc>
        <w:tc>
          <w:tcPr>
            <w:tcW w:w="622" w:type="pct"/>
            <w:tcBorders>
              <w:top w:val="nil"/>
              <w:left w:val="nil"/>
              <w:bottom w:val="nil"/>
              <w:right w:val="nil"/>
            </w:tcBorders>
            <w:vAlign w:val="center"/>
          </w:tcPr>
          <w:p w14:paraId="05463722">
            <w:pPr>
              <w:pStyle w:val="19"/>
              <w:widowControl w:val="0"/>
              <w:jc w:val="center"/>
              <w:rPr>
                <w:color w:val="auto"/>
                <w:sz w:val="22"/>
                <w:szCs w:val="22"/>
              </w:rPr>
            </w:pPr>
            <w:r>
              <w:rPr>
                <w:rFonts w:hint="eastAsia"/>
                <w:color w:val="auto"/>
                <w:sz w:val="22"/>
                <w:szCs w:val="22"/>
              </w:rPr>
              <w:t>17</w:t>
            </w:r>
          </w:p>
        </w:tc>
        <w:tc>
          <w:tcPr>
            <w:tcW w:w="654" w:type="pct"/>
            <w:tcBorders>
              <w:top w:val="nil"/>
              <w:left w:val="nil"/>
              <w:bottom w:val="nil"/>
              <w:right w:val="nil"/>
            </w:tcBorders>
            <w:vAlign w:val="center"/>
          </w:tcPr>
          <w:p w14:paraId="2907C9DD">
            <w:pPr>
              <w:pStyle w:val="19"/>
              <w:widowControl w:val="0"/>
              <w:jc w:val="center"/>
              <w:rPr>
                <w:color w:val="auto"/>
                <w:sz w:val="22"/>
                <w:szCs w:val="22"/>
              </w:rPr>
            </w:pPr>
            <w:r>
              <w:rPr>
                <w:rFonts w:hint="eastAsia"/>
                <w:color w:val="auto"/>
                <w:sz w:val="22"/>
                <w:szCs w:val="22"/>
              </w:rPr>
              <w:t>17</w:t>
            </w:r>
          </w:p>
        </w:tc>
      </w:tr>
      <w:tr w14:paraId="4022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4252A978">
            <w:pPr>
              <w:pStyle w:val="19"/>
              <w:widowControl w:val="0"/>
              <w:ind w:firstLine="0"/>
              <w:jc w:val="center"/>
              <w:rPr>
                <w:color w:val="auto"/>
                <w:sz w:val="22"/>
                <w:szCs w:val="22"/>
              </w:rPr>
            </w:pPr>
            <w:r>
              <w:rPr>
                <w:rFonts w:hint="eastAsia"/>
                <w:color w:val="auto"/>
                <w:sz w:val="22"/>
                <w:szCs w:val="22"/>
              </w:rPr>
              <w:t>住龙</w:t>
            </w:r>
          </w:p>
        </w:tc>
        <w:tc>
          <w:tcPr>
            <w:tcW w:w="792" w:type="pct"/>
            <w:tcBorders>
              <w:top w:val="nil"/>
              <w:left w:val="nil"/>
              <w:bottom w:val="nil"/>
              <w:right w:val="nil"/>
            </w:tcBorders>
            <w:vAlign w:val="center"/>
          </w:tcPr>
          <w:p w14:paraId="2C2B0B86">
            <w:pPr>
              <w:pStyle w:val="19"/>
              <w:widowControl w:val="0"/>
              <w:jc w:val="center"/>
              <w:rPr>
                <w:color w:val="auto"/>
                <w:sz w:val="22"/>
                <w:szCs w:val="22"/>
              </w:rPr>
            </w:pPr>
            <w:r>
              <w:rPr>
                <w:rFonts w:hint="eastAsia"/>
                <w:color w:val="auto"/>
                <w:sz w:val="22"/>
                <w:szCs w:val="22"/>
              </w:rPr>
              <w:t>9961</w:t>
            </w:r>
          </w:p>
        </w:tc>
        <w:tc>
          <w:tcPr>
            <w:tcW w:w="798" w:type="pct"/>
            <w:tcBorders>
              <w:top w:val="nil"/>
              <w:left w:val="nil"/>
              <w:bottom w:val="nil"/>
              <w:right w:val="nil"/>
            </w:tcBorders>
            <w:vAlign w:val="center"/>
          </w:tcPr>
          <w:p w14:paraId="1212669C">
            <w:pPr>
              <w:pStyle w:val="19"/>
              <w:widowControl w:val="0"/>
              <w:jc w:val="center"/>
              <w:rPr>
                <w:color w:val="auto"/>
                <w:sz w:val="22"/>
                <w:szCs w:val="22"/>
              </w:rPr>
            </w:pPr>
            <w:r>
              <w:rPr>
                <w:rFonts w:hint="eastAsia"/>
                <w:color w:val="auto"/>
                <w:sz w:val="22"/>
                <w:szCs w:val="22"/>
              </w:rPr>
              <w:t>11209</w:t>
            </w:r>
          </w:p>
        </w:tc>
        <w:tc>
          <w:tcPr>
            <w:tcW w:w="791" w:type="pct"/>
            <w:tcBorders>
              <w:top w:val="nil"/>
              <w:left w:val="nil"/>
              <w:bottom w:val="nil"/>
              <w:right w:val="nil"/>
            </w:tcBorders>
            <w:vAlign w:val="center"/>
          </w:tcPr>
          <w:p w14:paraId="06464B6A">
            <w:pPr>
              <w:pStyle w:val="19"/>
              <w:widowControl w:val="0"/>
              <w:jc w:val="center"/>
              <w:rPr>
                <w:color w:val="auto"/>
                <w:sz w:val="22"/>
                <w:szCs w:val="22"/>
              </w:rPr>
            </w:pPr>
            <w:r>
              <w:rPr>
                <w:rFonts w:hint="eastAsia"/>
                <w:color w:val="auto"/>
                <w:sz w:val="22"/>
                <w:szCs w:val="22"/>
              </w:rPr>
              <w:t>1.81</w:t>
            </w:r>
          </w:p>
        </w:tc>
        <w:tc>
          <w:tcPr>
            <w:tcW w:w="648" w:type="pct"/>
            <w:tcBorders>
              <w:top w:val="nil"/>
              <w:left w:val="nil"/>
              <w:bottom w:val="nil"/>
              <w:right w:val="nil"/>
            </w:tcBorders>
            <w:vAlign w:val="center"/>
          </w:tcPr>
          <w:p w14:paraId="5DC62AF5">
            <w:pPr>
              <w:pStyle w:val="19"/>
              <w:widowControl w:val="0"/>
              <w:jc w:val="center"/>
              <w:rPr>
                <w:color w:val="auto"/>
                <w:sz w:val="22"/>
                <w:szCs w:val="22"/>
              </w:rPr>
            </w:pPr>
            <w:r>
              <w:rPr>
                <w:rFonts w:hint="eastAsia"/>
                <w:color w:val="auto"/>
                <w:sz w:val="22"/>
                <w:szCs w:val="22"/>
              </w:rPr>
              <w:t>1.62</w:t>
            </w:r>
          </w:p>
        </w:tc>
        <w:tc>
          <w:tcPr>
            <w:tcW w:w="622" w:type="pct"/>
            <w:tcBorders>
              <w:top w:val="nil"/>
              <w:left w:val="nil"/>
              <w:bottom w:val="nil"/>
              <w:right w:val="nil"/>
            </w:tcBorders>
            <w:vAlign w:val="center"/>
          </w:tcPr>
          <w:p w14:paraId="1AEBC213">
            <w:pPr>
              <w:pStyle w:val="19"/>
              <w:widowControl w:val="0"/>
              <w:jc w:val="center"/>
              <w:rPr>
                <w:color w:val="auto"/>
                <w:sz w:val="22"/>
                <w:szCs w:val="22"/>
              </w:rPr>
            </w:pPr>
            <w:r>
              <w:rPr>
                <w:rFonts w:hint="eastAsia"/>
                <w:color w:val="auto"/>
                <w:sz w:val="22"/>
                <w:szCs w:val="22"/>
              </w:rPr>
              <w:t>18</w:t>
            </w:r>
          </w:p>
        </w:tc>
        <w:tc>
          <w:tcPr>
            <w:tcW w:w="654" w:type="pct"/>
            <w:tcBorders>
              <w:top w:val="nil"/>
              <w:left w:val="nil"/>
              <w:bottom w:val="nil"/>
              <w:right w:val="nil"/>
            </w:tcBorders>
            <w:vAlign w:val="center"/>
          </w:tcPr>
          <w:p w14:paraId="4BEC2761">
            <w:pPr>
              <w:pStyle w:val="19"/>
              <w:widowControl w:val="0"/>
              <w:jc w:val="center"/>
              <w:rPr>
                <w:color w:val="auto"/>
                <w:sz w:val="22"/>
                <w:szCs w:val="22"/>
              </w:rPr>
            </w:pPr>
            <w:r>
              <w:rPr>
                <w:rFonts w:hint="eastAsia"/>
                <w:color w:val="auto"/>
                <w:sz w:val="22"/>
                <w:szCs w:val="22"/>
              </w:rPr>
              <w:t>18</w:t>
            </w:r>
          </w:p>
        </w:tc>
      </w:tr>
      <w:tr w14:paraId="6D6D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7825DBC5">
            <w:pPr>
              <w:pStyle w:val="19"/>
              <w:widowControl w:val="0"/>
              <w:ind w:firstLine="0"/>
              <w:jc w:val="center"/>
              <w:rPr>
                <w:color w:val="auto"/>
                <w:sz w:val="22"/>
                <w:szCs w:val="22"/>
              </w:rPr>
            </w:pPr>
            <w:r>
              <w:rPr>
                <w:rFonts w:hint="eastAsia"/>
                <w:color w:val="auto"/>
                <w:sz w:val="22"/>
                <w:szCs w:val="22"/>
              </w:rPr>
              <w:t>剑池</w:t>
            </w:r>
          </w:p>
        </w:tc>
        <w:tc>
          <w:tcPr>
            <w:tcW w:w="792" w:type="pct"/>
            <w:tcBorders>
              <w:top w:val="nil"/>
              <w:left w:val="nil"/>
              <w:bottom w:val="nil"/>
              <w:right w:val="nil"/>
            </w:tcBorders>
            <w:vAlign w:val="center"/>
          </w:tcPr>
          <w:p w14:paraId="413705A1">
            <w:pPr>
              <w:pStyle w:val="19"/>
              <w:widowControl w:val="0"/>
              <w:jc w:val="center"/>
              <w:rPr>
                <w:color w:val="auto"/>
                <w:sz w:val="22"/>
                <w:szCs w:val="22"/>
              </w:rPr>
            </w:pPr>
            <w:r>
              <w:rPr>
                <w:rFonts w:hint="eastAsia"/>
                <w:color w:val="auto"/>
                <w:sz w:val="22"/>
                <w:szCs w:val="22"/>
              </w:rPr>
              <w:t>5376</w:t>
            </w:r>
          </w:p>
        </w:tc>
        <w:tc>
          <w:tcPr>
            <w:tcW w:w="798" w:type="pct"/>
            <w:tcBorders>
              <w:top w:val="nil"/>
              <w:left w:val="nil"/>
              <w:bottom w:val="nil"/>
              <w:right w:val="nil"/>
            </w:tcBorders>
            <w:vAlign w:val="center"/>
          </w:tcPr>
          <w:p w14:paraId="1492B48C">
            <w:pPr>
              <w:pStyle w:val="19"/>
              <w:widowControl w:val="0"/>
              <w:jc w:val="center"/>
              <w:rPr>
                <w:color w:val="auto"/>
                <w:sz w:val="22"/>
                <w:szCs w:val="22"/>
              </w:rPr>
            </w:pPr>
            <w:r>
              <w:rPr>
                <w:rFonts w:hint="eastAsia"/>
                <w:color w:val="auto"/>
                <w:sz w:val="22"/>
                <w:szCs w:val="22"/>
              </w:rPr>
              <w:t>5288</w:t>
            </w:r>
          </w:p>
        </w:tc>
        <w:tc>
          <w:tcPr>
            <w:tcW w:w="791" w:type="pct"/>
            <w:tcBorders>
              <w:top w:val="nil"/>
              <w:left w:val="nil"/>
              <w:bottom w:val="nil"/>
              <w:right w:val="nil"/>
            </w:tcBorders>
            <w:vAlign w:val="center"/>
          </w:tcPr>
          <w:p w14:paraId="61E82418">
            <w:pPr>
              <w:pStyle w:val="19"/>
              <w:widowControl w:val="0"/>
              <w:jc w:val="center"/>
              <w:rPr>
                <w:color w:val="auto"/>
                <w:sz w:val="22"/>
                <w:szCs w:val="22"/>
              </w:rPr>
            </w:pPr>
            <w:r>
              <w:rPr>
                <w:rFonts w:hint="eastAsia"/>
                <w:color w:val="auto"/>
                <w:sz w:val="22"/>
                <w:szCs w:val="22"/>
              </w:rPr>
              <w:t>0.98</w:t>
            </w:r>
          </w:p>
        </w:tc>
        <w:tc>
          <w:tcPr>
            <w:tcW w:w="648" w:type="pct"/>
            <w:tcBorders>
              <w:top w:val="nil"/>
              <w:left w:val="nil"/>
              <w:bottom w:val="nil"/>
              <w:right w:val="nil"/>
            </w:tcBorders>
            <w:vAlign w:val="center"/>
          </w:tcPr>
          <w:p w14:paraId="23A1D130">
            <w:pPr>
              <w:pStyle w:val="19"/>
              <w:widowControl w:val="0"/>
              <w:ind w:firstLine="0"/>
              <w:jc w:val="right"/>
              <w:rPr>
                <w:color w:val="auto"/>
                <w:sz w:val="22"/>
                <w:szCs w:val="22"/>
              </w:rPr>
            </w:pPr>
            <w:r>
              <w:rPr>
                <w:rFonts w:hint="eastAsia"/>
                <w:color w:val="auto"/>
                <w:sz w:val="22"/>
                <w:szCs w:val="22"/>
              </w:rPr>
              <w:t>0.76</w:t>
            </w:r>
          </w:p>
        </w:tc>
        <w:tc>
          <w:tcPr>
            <w:tcW w:w="622" w:type="pct"/>
            <w:tcBorders>
              <w:top w:val="nil"/>
              <w:left w:val="nil"/>
              <w:bottom w:val="nil"/>
              <w:right w:val="nil"/>
            </w:tcBorders>
            <w:vAlign w:val="center"/>
          </w:tcPr>
          <w:p w14:paraId="7EF871E2">
            <w:pPr>
              <w:pStyle w:val="19"/>
              <w:widowControl w:val="0"/>
              <w:jc w:val="center"/>
              <w:rPr>
                <w:color w:val="auto"/>
                <w:sz w:val="22"/>
                <w:szCs w:val="22"/>
              </w:rPr>
            </w:pPr>
            <w:r>
              <w:rPr>
                <w:rFonts w:hint="eastAsia"/>
                <w:color w:val="auto"/>
                <w:sz w:val="22"/>
                <w:szCs w:val="22"/>
              </w:rPr>
              <w:t>19</w:t>
            </w:r>
          </w:p>
        </w:tc>
        <w:tc>
          <w:tcPr>
            <w:tcW w:w="654" w:type="pct"/>
            <w:tcBorders>
              <w:top w:val="nil"/>
              <w:left w:val="nil"/>
              <w:bottom w:val="nil"/>
              <w:right w:val="nil"/>
            </w:tcBorders>
            <w:vAlign w:val="center"/>
          </w:tcPr>
          <w:p w14:paraId="0A5BE031">
            <w:pPr>
              <w:pStyle w:val="19"/>
              <w:widowControl w:val="0"/>
              <w:jc w:val="center"/>
              <w:rPr>
                <w:color w:val="auto"/>
                <w:sz w:val="22"/>
                <w:szCs w:val="22"/>
              </w:rPr>
            </w:pPr>
            <w:r>
              <w:rPr>
                <w:rFonts w:hint="eastAsia"/>
                <w:color w:val="auto"/>
                <w:sz w:val="22"/>
                <w:szCs w:val="22"/>
              </w:rPr>
              <w:t>19</w:t>
            </w:r>
          </w:p>
        </w:tc>
      </w:tr>
      <w:tr w14:paraId="3FAA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62958114">
            <w:pPr>
              <w:pStyle w:val="19"/>
              <w:widowControl w:val="0"/>
              <w:ind w:firstLine="0"/>
              <w:jc w:val="center"/>
              <w:rPr>
                <w:color w:val="auto"/>
                <w:sz w:val="22"/>
                <w:szCs w:val="22"/>
              </w:rPr>
            </w:pPr>
            <w:r>
              <w:rPr>
                <w:rFonts w:hint="eastAsia"/>
                <w:color w:val="auto"/>
                <w:sz w:val="22"/>
                <w:szCs w:val="22"/>
              </w:rPr>
              <w:t>山坑林场</w:t>
            </w:r>
          </w:p>
        </w:tc>
        <w:tc>
          <w:tcPr>
            <w:tcW w:w="792" w:type="pct"/>
            <w:tcBorders>
              <w:top w:val="nil"/>
              <w:left w:val="nil"/>
              <w:bottom w:val="nil"/>
              <w:right w:val="nil"/>
            </w:tcBorders>
            <w:vAlign w:val="center"/>
          </w:tcPr>
          <w:p w14:paraId="0B9463EA">
            <w:pPr>
              <w:pStyle w:val="19"/>
              <w:widowControl w:val="0"/>
              <w:jc w:val="center"/>
              <w:rPr>
                <w:color w:val="auto"/>
                <w:sz w:val="22"/>
                <w:szCs w:val="22"/>
              </w:rPr>
            </w:pPr>
            <w:r>
              <w:rPr>
                <w:rFonts w:hint="eastAsia"/>
                <w:color w:val="auto"/>
                <w:sz w:val="22"/>
                <w:szCs w:val="22"/>
              </w:rPr>
              <w:t>1366</w:t>
            </w:r>
          </w:p>
        </w:tc>
        <w:tc>
          <w:tcPr>
            <w:tcW w:w="798" w:type="pct"/>
            <w:tcBorders>
              <w:top w:val="nil"/>
              <w:left w:val="nil"/>
              <w:bottom w:val="nil"/>
              <w:right w:val="nil"/>
            </w:tcBorders>
            <w:vAlign w:val="center"/>
          </w:tcPr>
          <w:p w14:paraId="3936062B">
            <w:pPr>
              <w:pStyle w:val="19"/>
              <w:widowControl w:val="0"/>
              <w:jc w:val="center"/>
              <w:rPr>
                <w:color w:val="auto"/>
                <w:sz w:val="22"/>
                <w:szCs w:val="22"/>
              </w:rPr>
            </w:pPr>
            <w:r>
              <w:rPr>
                <w:rFonts w:hint="eastAsia"/>
                <w:color w:val="auto"/>
                <w:sz w:val="22"/>
                <w:szCs w:val="22"/>
              </w:rPr>
              <w:t>1695</w:t>
            </w:r>
          </w:p>
        </w:tc>
        <w:tc>
          <w:tcPr>
            <w:tcW w:w="791" w:type="pct"/>
            <w:tcBorders>
              <w:top w:val="nil"/>
              <w:left w:val="nil"/>
              <w:bottom w:val="nil"/>
              <w:right w:val="nil"/>
            </w:tcBorders>
            <w:vAlign w:val="center"/>
          </w:tcPr>
          <w:p w14:paraId="7D88B530">
            <w:pPr>
              <w:pStyle w:val="19"/>
              <w:widowControl w:val="0"/>
              <w:jc w:val="center"/>
              <w:rPr>
                <w:color w:val="auto"/>
                <w:sz w:val="22"/>
                <w:szCs w:val="22"/>
              </w:rPr>
            </w:pPr>
            <w:r>
              <w:rPr>
                <w:rFonts w:hint="eastAsia"/>
                <w:color w:val="auto"/>
                <w:sz w:val="22"/>
                <w:szCs w:val="22"/>
              </w:rPr>
              <w:t>0.25</w:t>
            </w:r>
          </w:p>
        </w:tc>
        <w:tc>
          <w:tcPr>
            <w:tcW w:w="648" w:type="pct"/>
            <w:tcBorders>
              <w:top w:val="nil"/>
              <w:left w:val="nil"/>
              <w:bottom w:val="nil"/>
              <w:right w:val="nil"/>
            </w:tcBorders>
            <w:vAlign w:val="center"/>
          </w:tcPr>
          <w:p w14:paraId="3CB8FE8D">
            <w:pPr>
              <w:pStyle w:val="19"/>
              <w:widowControl w:val="0"/>
              <w:ind w:firstLine="0"/>
              <w:jc w:val="right"/>
              <w:rPr>
                <w:color w:val="auto"/>
                <w:sz w:val="22"/>
                <w:szCs w:val="22"/>
              </w:rPr>
            </w:pPr>
            <w:r>
              <w:rPr>
                <w:rFonts w:hint="eastAsia"/>
                <w:color w:val="auto"/>
                <w:sz w:val="22"/>
                <w:szCs w:val="22"/>
              </w:rPr>
              <w:t>0.24</w:t>
            </w:r>
          </w:p>
        </w:tc>
        <w:tc>
          <w:tcPr>
            <w:tcW w:w="622" w:type="pct"/>
            <w:tcBorders>
              <w:top w:val="nil"/>
              <w:left w:val="nil"/>
              <w:bottom w:val="nil"/>
              <w:right w:val="nil"/>
            </w:tcBorders>
            <w:vAlign w:val="center"/>
          </w:tcPr>
          <w:p w14:paraId="0EA8186A">
            <w:pPr>
              <w:pStyle w:val="19"/>
              <w:widowControl w:val="0"/>
              <w:jc w:val="center"/>
              <w:rPr>
                <w:color w:val="auto"/>
                <w:sz w:val="22"/>
                <w:szCs w:val="22"/>
              </w:rPr>
            </w:pPr>
            <w:r>
              <w:rPr>
                <w:rFonts w:hint="eastAsia"/>
                <w:color w:val="auto"/>
                <w:sz w:val="22"/>
                <w:szCs w:val="22"/>
              </w:rPr>
              <w:t>20</w:t>
            </w:r>
          </w:p>
        </w:tc>
        <w:tc>
          <w:tcPr>
            <w:tcW w:w="654" w:type="pct"/>
            <w:tcBorders>
              <w:top w:val="nil"/>
              <w:left w:val="nil"/>
              <w:bottom w:val="nil"/>
              <w:right w:val="nil"/>
            </w:tcBorders>
            <w:vAlign w:val="center"/>
          </w:tcPr>
          <w:p w14:paraId="32014A0D">
            <w:pPr>
              <w:pStyle w:val="19"/>
              <w:widowControl w:val="0"/>
              <w:jc w:val="center"/>
              <w:rPr>
                <w:color w:val="auto"/>
                <w:sz w:val="22"/>
                <w:szCs w:val="22"/>
              </w:rPr>
            </w:pPr>
            <w:r>
              <w:rPr>
                <w:rFonts w:hint="eastAsia"/>
                <w:color w:val="auto"/>
                <w:sz w:val="22"/>
                <w:szCs w:val="22"/>
              </w:rPr>
              <w:t>20</w:t>
            </w:r>
          </w:p>
        </w:tc>
      </w:tr>
      <w:tr w14:paraId="35BD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bottom w:val="nil"/>
              <w:right w:val="nil"/>
            </w:tcBorders>
            <w:vAlign w:val="center"/>
          </w:tcPr>
          <w:p w14:paraId="50BFAEA9">
            <w:pPr>
              <w:pStyle w:val="19"/>
              <w:widowControl w:val="0"/>
              <w:ind w:firstLine="0"/>
              <w:jc w:val="center"/>
              <w:rPr>
                <w:color w:val="auto"/>
                <w:sz w:val="22"/>
                <w:szCs w:val="22"/>
              </w:rPr>
            </w:pPr>
            <w:r>
              <w:rPr>
                <w:rFonts w:hint="eastAsia"/>
                <w:color w:val="auto"/>
                <w:sz w:val="22"/>
                <w:szCs w:val="22"/>
              </w:rPr>
              <w:t>市林场</w:t>
            </w:r>
          </w:p>
        </w:tc>
        <w:tc>
          <w:tcPr>
            <w:tcW w:w="792" w:type="pct"/>
            <w:tcBorders>
              <w:top w:val="nil"/>
              <w:left w:val="nil"/>
              <w:bottom w:val="nil"/>
              <w:right w:val="nil"/>
            </w:tcBorders>
            <w:vAlign w:val="center"/>
          </w:tcPr>
          <w:p w14:paraId="07CA622B">
            <w:pPr>
              <w:pStyle w:val="19"/>
              <w:widowControl w:val="0"/>
              <w:jc w:val="center"/>
              <w:rPr>
                <w:color w:val="auto"/>
                <w:sz w:val="22"/>
                <w:szCs w:val="22"/>
              </w:rPr>
            </w:pPr>
            <w:r>
              <w:rPr>
                <w:rFonts w:hint="eastAsia"/>
                <w:color w:val="auto"/>
                <w:sz w:val="22"/>
                <w:szCs w:val="22"/>
              </w:rPr>
              <w:t>792</w:t>
            </w:r>
          </w:p>
        </w:tc>
        <w:tc>
          <w:tcPr>
            <w:tcW w:w="798" w:type="pct"/>
            <w:tcBorders>
              <w:top w:val="nil"/>
              <w:left w:val="nil"/>
              <w:bottom w:val="nil"/>
              <w:right w:val="nil"/>
            </w:tcBorders>
            <w:vAlign w:val="center"/>
          </w:tcPr>
          <w:p w14:paraId="62105AA9">
            <w:pPr>
              <w:pStyle w:val="19"/>
              <w:widowControl w:val="0"/>
              <w:jc w:val="center"/>
              <w:rPr>
                <w:color w:val="auto"/>
                <w:sz w:val="22"/>
                <w:szCs w:val="22"/>
              </w:rPr>
            </w:pPr>
            <w:r>
              <w:rPr>
                <w:rFonts w:hint="eastAsia"/>
                <w:color w:val="auto"/>
                <w:sz w:val="22"/>
                <w:szCs w:val="22"/>
              </w:rPr>
              <w:t>22</w:t>
            </w:r>
          </w:p>
        </w:tc>
        <w:tc>
          <w:tcPr>
            <w:tcW w:w="791" w:type="pct"/>
            <w:tcBorders>
              <w:top w:val="nil"/>
              <w:left w:val="nil"/>
              <w:bottom w:val="nil"/>
              <w:right w:val="nil"/>
            </w:tcBorders>
            <w:vAlign w:val="center"/>
          </w:tcPr>
          <w:p w14:paraId="42103EFE">
            <w:pPr>
              <w:pStyle w:val="19"/>
              <w:widowControl w:val="0"/>
              <w:jc w:val="center"/>
              <w:rPr>
                <w:color w:val="auto"/>
                <w:sz w:val="22"/>
                <w:szCs w:val="22"/>
              </w:rPr>
            </w:pPr>
            <w:r>
              <w:rPr>
                <w:rFonts w:hint="eastAsia"/>
                <w:color w:val="auto"/>
                <w:sz w:val="22"/>
                <w:szCs w:val="22"/>
              </w:rPr>
              <w:t>0.14</w:t>
            </w:r>
          </w:p>
        </w:tc>
        <w:tc>
          <w:tcPr>
            <w:tcW w:w="648" w:type="pct"/>
            <w:tcBorders>
              <w:top w:val="nil"/>
              <w:left w:val="nil"/>
              <w:bottom w:val="nil"/>
              <w:right w:val="nil"/>
            </w:tcBorders>
            <w:vAlign w:val="center"/>
          </w:tcPr>
          <w:p w14:paraId="5386AEBB">
            <w:pPr>
              <w:pStyle w:val="19"/>
              <w:widowControl w:val="0"/>
              <w:ind w:firstLine="0"/>
              <w:jc w:val="right"/>
              <w:rPr>
                <w:color w:val="auto"/>
                <w:sz w:val="22"/>
                <w:szCs w:val="22"/>
              </w:rPr>
            </w:pPr>
            <w:r>
              <w:rPr>
                <w:rFonts w:hint="eastAsia"/>
                <w:color w:val="auto"/>
                <w:sz w:val="22"/>
                <w:szCs w:val="22"/>
              </w:rPr>
              <w:t>0.003</w:t>
            </w:r>
          </w:p>
        </w:tc>
        <w:tc>
          <w:tcPr>
            <w:tcW w:w="622" w:type="pct"/>
            <w:tcBorders>
              <w:top w:val="nil"/>
              <w:left w:val="nil"/>
              <w:bottom w:val="nil"/>
              <w:right w:val="nil"/>
            </w:tcBorders>
            <w:vAlign w:val="center"/>
          </w:tcPr>
          <w:p w14:paraId="42A2A039">
            <w:pPr>
              <w:pStyle w:val="19"/>
              <w:widowControl w:val="0"/>
              <w:jc w:val="center"/>
              <w:rPr>
                <w:color w:val="auto"/>
                <w:sz w:val="22"/>
                <w:szCs w:val="22"/>
              </w:rPr>
            </w:pPr>
            <w:r>
              <w:rPr>
                <w:rFonts w:hint="eastAsia"/>
                <w:color w:val="auto"/>
                <w:sz w:val="22"/>
                <w:szCs w:val="22"/>
              </w:rPr>
              <w:t>21</w:t>
            </w:r>
          </w:p>
        </w:tc>
        <w:tc>
          <w:tcPr>
            <w:tcW w:w="654" w:type="pct"/>
            <w:tcBorders>
              <w:top w:val="nil"/>
              <w:left w:val="nil"/>
              <w:bottom w:val="nil"/>
              <w:right w:val="nil"/>
            </w:tcBorders>
            <w:vAlign w:val="center"/>
          </w:tcPr>
          <w:p w14:paraId="2A68CC37">
            <w:pPr>
              <w:pStyle w:val="19"/>
              <w:widowControl w:val="0"/>
              <w:jc w:val="center"/>
              <w:rPr>
                <w:color w:val="auto"/>
                <w:sz w:val="22"/>
                <w:szCs w:val="22"/>
              </w:rPr>
            </w:pPr>
            <w:r>
              <w:rPr>
                <w:rFonts w:hint="eastAsia"/>
                <w:color w:val="auto"/>
                <w:sz w:val="22"/>
                <w:szCs w:val="22"/>
              </w:rPr>
              <w:t>22</w:t>
            </w:r>
          </w:p>
        </w:tc>
      </w:tr>
      <w:tr w14:paraId="2F4E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pct"/>
            <w:tcBorders>
              <w:top w:val="nil"/>
              <w:left w:val="nil"/>
              <w:right w:val="nil"/>
            </w:tcBorders>
            <w:vAlign w:val="center"/>
          </w:tcPr>
          <w:p w14:paraId="7DCCB9FF">
            <w:pPr>
              <w:pStyle w:val="19"/>
              <w:widowControl w:val="0"/>
              <w:ind w:firstLine="0"/>
              <w:jc w:val="center"/>
              <w:rPr>
                <w:color w:val="auto"/>
                <w:sz w:val="22"/>
                <w:szCs w:val="22"/>
              </w:rPr>
            </w:pPr>
            <w:r>
              <w:rPr>
                <w:rFonts w:hint="eastAsia"/>
                <w:color w:val="auto"/>
                <w:sz w:val="22"/>
                <w:szCs w:val="22"/>
              </w:rPr>
              <w:t>凤阳山</w:t>
            </w:r>
          </w:p>
        </w:tc>
        <w:tc>
          <w:tcPr>
            <w:tcW w:w="792" w:type="pct"/>
            <w:tcBorders>
              <w:top w:val="nil"/>
              <w:left w:val="nil"/>
              <w:right w:val="nil"/>
            </w:tcBorders>
            <w:vAlign w:val="center"/>
          </w:tcPr>
          <w:p w14:paraId="7C60F368">
            <w:pPr>
              <w:pStyle w:val="19"/>
              <w:widowControl w:val="0"/>
              <w:jc w:val="center"/>
              <w:rPr>
                <w:color w:val="auto"/>
                <w:sz w:val="22"/>
                <w:szCs w:val="22"/>
              </w:rPr>
            </w:pPr>
            <w:r>
              <w:rPr>
                <w:rFonts w:hint="eastAsia"/>
                <w:color w:val="auto"/>
                <w:sz w:val="22"/>
                <w:szCs w:val="22"/>
              </w:rPr>
              <w:t>68</w:t>
            </w:r>
          </w:p>
        </w:tc>
        <w:tc>
          <w:tcPr>
            <w:tcW w:w="798" w:type="pct"/>
            <w:tcBorders>
              <w:top w:val="nil"/>
              <w:left w:val="nil"/>
              <w:right w:val="nil"/>
            </w:tcBorders>
            <w:vAlign w:val="center"/>
          </w:tcPr>
          <w:p w14:paraId="718B89AF">
            <w:pPr>
              <w:pStyle w:val="19"/>
              <w:widowControl w:val="0"/>
              <w:jc w:val="center"/>
              <w:rPr>
                <w:color w:val="auto"/>
                <w:sz w:val="22"/>
                <w:szCs w:val="22"/>
              </w:rPr>
            </w:pPr>
            <w:r>
              <w:rPr>
                <w:rFonts w:hint="eastAsia"/>
                <w:color w:val="auto"/>
                <w:sz w:val="22"/>
                <w:szCs w:val="22"/>
              </w:rPr>
              <w:t>52</w:t>
            </w:r>
          </w:p>
        </w:tc>
        <w:tc>
          <w:tcPr>
            <w:tcW w:w="791" w:type="pct"/>
            <w:tcBorders>
              <w:top w:val="nil"/>
              <w:left w:val="nil"/>
              <w:right w:val="nil"/>
            </w:tcBorders>
            <w:vAlign w:val="center"/>
          </w:tcPr>
          <w:p w14:paraId="59CFB1E7">
            <w:pPr>
              <w:pStyle w:val="19"/>
              <w:widowControl w:val="0"/>
              <w:jc w:val="center"/>
              <w:rPr>
                <w:color w:val="auto"/>
                <w:sz w:val="22"/>
                <w:szCs w:val="22"/>
              </w:rPr>
            </w:pPr>
            <w:r>
              <w:rPr>
                <w:rFonts w:hint="eastAsia"/>
                <w:color w:val="auto"/>
                <w:sz w:val="22"/>
                <w:szCs w:val="22"/>
              </w:rPr>
              <w:t>0.01</w:t>
            </w:r>
          </w:p>
        </w:tc>
        <w:tc>
          <w:tcPr>
            <w:tcW w:w="648" w:type="pct"/>
            <w:tcBorders>
              <w:top w:val="nil"/>
              <w:left w:val="nil"/>
              <w:right w:val="nil"/>
            </w:tcBorders>
            <w:vAlign w:val="center"/>
          </w:tcPr>
          <w:p w14:paraId="483321F5">
            <w:pPr>
              <w:pStyle w:val="19"/>
              <w:widowControl w:val="0"/>
              <w:jc w:val="center"/>
              <w:rPr>
                <w:color w:val="auto"/>
                <w:sz w:val="22"/>
                <w:szCs w:val="22"/>
              </w:rPr>
            </w:pPr>
            <w:r>
              <w:rPr>
                <w:rFonts w:hint="eastAsia"/>
                <w:color w:val="auto"/>
                <w:sz w:val="22"/>
                <w:szCs w:val="22"/>
              </w:rPr>
              <w:t>0.01</w:t>
            </w:r>
          </w:p>
        </w:tc>
        <w:tc>
          <w:tcPr>
            <w:tcW w:w="622" w:type="pct"/>
            <w:tcBorders>
              <w:top w:val="nil"/>
              <w:left w:val="nil"/>
              <w:right w:val="nil"/>
            </w:tcBorders>
            <w:vAlign w:val="center"/>
          </w:tcPr>
          <w:p w14:paraId="5017DCD6">
            <w:pPr>
              <w:pStyle w:val="19"/>
              <w:widowControl w:val="0"/>
              <w:jc w:val="center"/>
              <w:rPr>
                <w:color w:val="auto"/>
                <w:sz w:val="22"/>
                <w:szCs w:val="22"/>
              </w:rPr>
            </w:pPr>
            <w:r>
              <w:rPr>
                <w:rFonts w:hint="eastAsia"/>
                <w:color w:val="auto"/>
                <w:sz w:val="22"/>
                <w:szCs w:val="22"/>
              </w:rPr>
              <w:t>22</w:t>
            </w:r>
          </w:p>
        </w:tc>
        <w:tc>
          <w:tcPr>
            <w:tcW w:w="654" w:type="pct"/>
            <w:tcBorders>
              <w:top w:val="nil"/>
              <w:left w:val="nil"/>
              <w:right w:val="nil"/>
            </w:tcBorders>
            <w:vAlign w:val="center"/>
          </w:tcPr>
          <w:p w14:paraId="31680DA9">
            <w:pPr>
              <w:pStyle w:val="19"/>
              <w:widowControl w:val="0"/>
              <w:jc w:val="center"/>
              <w:rPr>
                <w:color w:val="auto"/>
                <w:sz w:val="22"/>
                <w:szCs w:val="22"/>
              </w:rPr>
            </w:pPr>
            <w:r>
              <w:rPr>
                <w:rFonts w:hint="eastAsia"/>
                <w:color w:val="auto"/>
                <w:sz w:val="22"/>
                <w:szCs w:val="22"/>
              </w:rPr>
              <w:t>21</w:t>
            </w:r>
          </w:p>
        </w:tc>
      </w:tr>
    </w:tbl>
    <w:p w14:paraId="7F65BD0A">
      <w:pPr>
        <w:rPr>
          <w:color w:val="auto"/>
        </w:rPr>
        <w:sectPr>
          <w:pgSz w:w="11906" w:h="16838"/>
          <w:pgMar w:top="1440" w:right="1800" w:bottom="1440" w:left="1800" w:header="851" w:footer="992" w:gutter="0"/>
          <w:cols w:space="425" w:num="1"/>
          <w:docGrid w:type="lines" w:linePitch="312" w:charSpace="0"/>
        </w:sectPr>
      </w:pPr>
    </w:p>
    <w:p w14:paraId="739FB535">
      <w:pPr>
        <w:jc w:val="center"/>
        <w:rPr>
          <w:color w:val="auto"/>
        </w:rPr>
      </w:pPr>
      <w:r>
        <w:rPr>
          <w:rFonts w:hint="eastAsia" w:eastAsia="黑体" w:cs="黑体"/>
          <w:color w:val="auto"/>
          <w:sz w:val="30"/>
          <w:szCs w:val="30"/>
        </w:rPr>
        <w:t>龙泉市竹木产业近5年产值统计表（2018-2022）</w:t>
      </w:r>
    </w:p>
    <w:tbl>
      <w:tblPr>
        <w:tblStyle w:val="22"/>
        <w:tblW w:w="40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3901"/>
        <w:gridCol w:w="1295"/>
      </w:tblGrid>
      <w:tr w14:paraId="6739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277" w:type="pct"/>
          </w:tcPr>
          <w:p w14:paraId="21A8DC91">
            <w:pPr>
              <w:widowControl w:val="0"/>
              <w:spacing w:line="500" w:lineRule="exact"/>
              <w:jc w:val="center"/>
              <w:rPr>
                <w:rFonts w:ascii="宋体" w:hAnsi="宋体"/>
                <w:color w:val="auto"/>
                <w:sz w:val="24"/>
              </w:rPr>
            </w:pPr>
            <w:r>
              <w:rPr>
                <w:rFonts w:hint="eastAsia" w:ascii="宋体" w:hAnsi="宋体"/>
                <w:color w:val="auto"/>
                <w:sz w:val="24"/>
              </w:rPr>
              <w:t>年度</w:t>
            </w:r>
          </w:p>
        </w:tc>
        <w:tc>
          <w:tcPr>
            <w:tcW w:w="2795" w:type="pct"/>
          </w:tcPr>
          <w:p w14:paraId="127B345E">
            <w:pPr>
              <w:widowControl w:val="0"/>
              <w:spacing w:line="500" w:lineRule="exact"/>
              <w:jc w:val="center"/>
              <w:rPr>
                <w:rFonts w:ascii="宋体" w:hAnsi="宋体"/>
                <w:color w:val="auto"/>
                <w:sz w:val="24"/>
              </w:rPr>
            </w:pPr>
            <w:r>
              <w:rPr>
                <w:rFonts w:hint="eastAsia" w:ascii="宋体" w:hAnsi="宋体"/>
                <w:color w:val="auto"/>
                <w:sz w:val="24"/>
              </w:rPr>
              <w:t>竹木产业产值（亿元）</w:t>
            </w:r>
          </w:p>
        </w:tc>
        <w:tc>
          <w:tcPr>
            <w:tcW w:w="927" w:type="pct"/>
          </w:tcPr>
          <w:p w14:paraId="11DF7086">
            <w:pPr>
              <w:widowControl w:val="0"/>
              <w:spacing w:line="500" w:lineRule="exact"/>
              <w:jc w:val="center"/>
              <w:rPr>
                <w:rFonts w:ascii="宋体" w:hAnsi="宋体"/>
                <w:color w:val="auto"/>
                <w:sz w:val="24"/>
              </w:rPr>
            </w:pPr>
            <w:r>
              <w:rPr>
                <w:rFonts w:hint="eastAsia" w:ascii="宋体" w:hAnsi="宋体"/>
                <w:color w:val="auto"/>
                <w:sz w:val="24"/>
              </w:rPr>
              <w:t>备注</w:t>
            </w:r>
          </w:p>
        </w:tc>
      </w:tr>
      <w:tr w14:paraId="21D6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7" w:type="pct"/>
          </w:tcPr>
          <w:p w14:paraId="7C4C1B9C">
            <w:pPr>
              <w:widowControl w:val="0"/>
              <w:spacing w:line="500" w:lineRule="exact"/>
              <w:jc w:val="center"/>
              <w:rPr>
                <w:rFonts w:ascii="宋体" w:hAnsi="宋体"/>
                <w:color w:val="auto"/>
                <w:sz w:val="24"/>
              </w:rPr>
            </w:pPr>
            <w:r>
              <w:rPr>
                <w:rFonts w:hint="eastAsia" w:ascii="宋体" w:hAnsi="宋体"/>
                <w:color w:val="auto"/>
                <w:sz w:val="24"/>
              </w:rPr>
              <w:t>2018</w:t>
            </w:r>
          </w:p>
        </w:tc>
        <w:tc>
          <w:tcPr>
            <w:tcW w:w="2795" w:type="pct"/>
          </w:tcPr>
          <w:p w14:paraId="350887B0">
            <w:pPr>
              <w:widowControl w:val="0"/>
              <w:spacing w:line="500" w:lineRule="exact"/>
              <w:jc w:val="center"/>
              <w:rPr>
                <w:rFonts w:ascii="宋体" w:hAnsi="宋体"/>
                <w:color w:val="auto"/>
                <w:sz w:val="24"/>
              </w:rPr>
            </w:pPr>
            <w:r>
              <w:rPr>
                <w:rFonts w:hint="eastAsia" w:ascii="宋体" w:hAnsi="宋体"/>
                <w:color w:val="auto"/>
                <w:sz w:val="24"/>
              </w:rPr>
              <w:t>54</w:t>
            </w:r>
          </w:p>
        </w:tc>
        <w:tc>
          <w:tcPr>
            <w:tcW w:w="927" w:type="pct"/>
          </w:tcPr>
          <w:p w14:paraId="78E14CC9">
            <w:pPr>
              <w:widowControl w:val="0"/>
              <w:spacing w:line="500" w:lineRule="exact"/>
              <w:jc w:val="center"/>
              <w:rPr>
                <w:rFonts w:ascii="宋体" w:hAnsi="宋体"/>
                <w:color w:val="auto"/>
                <w:sz w:val="24"/>
              </w:rPr>
            </w:pPr>
          </w:p>
        </w:tc>
      </w:tr>
      <w:tr w14:paraId="0CB1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7" w:type="pct"/>
          </w:tcPr>
          <w:p w14:paraId="736CA88C">
            <w:pPr>
              <w:widowControl w:val="0"/>
              <w:spacing w:line="500" w:lineRule="exact"/>
              <w:jc w:val="center"/>
              <w:rPr>
                <w:rFonts w:ascii="宋体" w:hAnsi="宋体"/>
                <w:color w:val="auto"/>
                <w:sz w:val="24"/>
              </w:rPr>
            </w:pPr>
            <w:r>
              <w:rPr>
                <w:rFonts w:hint="eastAsia" w:ascii="宋体" w:hAnsi="宋体"/>
                <w:color w:val="auto"/>
                <w:sz w:val="24"/>
              </w:rPr>
              <w:t>2019</w:t>
            </w:r>
          </w:p>
        </w:tc>
        <w:tc>
          <w:tcPr>
            <w:tcW w:w="2795" w:type="pct"/>
          </w:tcPr>
          <w:p w14:paraId="48D05487">
            <w:pPr>
              <w:widowControl w:val="0"/>
              <w:spacing w:line="500" w:lineRule="exact"/>
              <w:jc w:val="center"/>
              <w:rPr>
                <w:rFonts w:ascii="宋体" w:hAnsi="宋体"/>
                <w:color w:val="auto"/>
                <w:sz w:val="24"/>
              </w:rPr>
            </w:pPr>
            <w:r>
              <w:rPr>
                <w:rFonts w:hint="eastAsia" w:ascii="宋体" w:hAnsi="宋体"/>
                <w:color w:val="auto"/>
                <w:sz w:val="24"/>
              </w:rPr>
              <w:t>57</w:t>
            </w:r>
          </w:p>
        </w:tc>
        <w:tc>
          <w:tcPr>
            <w:tcW w:w="927" w:type="pct"/>
          </w:tcPr>
          <w:p w14:paraId="5A7F0611">
            <w:pPr>
              <w:widowControl w:val="0"/>
              <w:spacing w:line="500" w:lineRule="exact"/>
              <w:jc w:val="center"/>
              <w:rPr>
                <w:rFonts w:ascii="宋体" w:hAnsi="宋体"/>
                <w:color w:val="auto"/>
                <w:sz w:val="24"/>
              </w:rPr>
            </w:pPr>
          </w:p>
        </w:tc>
      </w:tr>
      <w:tr w14:paraId="3F87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7" w:type="pct"/>
          </w:tcPr>
          <w:p w14:paraId="65154FA7">
            <w:pPr>
              <w:widowControl w:val="0"/>
              <w:spacing w:line="500" w:lineRule="exact"/>
              <w:jc w:val="center"/>
              <w:rPr>
                <w:rFonts w:ascii="宋体" w:hAnsi="宋体"/>
                <w:color w:val="auto"/>
                <w:sz w:val="24"/>
              </w:rPr>
            </w:pPr>
            <w:r>
              <w:rPr>
                <w:rFonts w:hint="eastAsia" w:ascii="宋体" w:hAnsi="宋体"/>
                <w:color w:val="auto"/>
                <w:sz w:val="24"/>
              </w:rPr>
              <w:t>2020</w:t>
            </w:r>
          </w:p>
        </w:tc>
        <w:tc>
          <w:tcPr>
            <w:tcW w:w="2795" w:type="pct"/>
          </w:tcPr>
          <w:p w14:paraId="6E2D0EFA">
            <w:pPr>
              <w:widowControl w:val="0"/>
              <w:spacing w:line="500" w:lineRule="exact"/>
              <w:jc w:val="center"/>
              <w:rPr>
                <w:rFonts w:ascii="宋体" w:hAnsi="宋体"/>
                <w:color w:val="auto"/>
                <w:sz w:val="24"/>
              </w:rPr>
            </w:pPr>
            <w:r>
              <w:rPr>
                <w:rFonts w:hint="eastAsia" w:ascii="宋体" w:hAnsi="宋体"/>
                <w:color w:val="auto"/>
                <w:sz w:val="24"/>
              </w:rPr>
              <w:t>59</w:t>
            </w:r>
          </w:p>
        </w:tc>
        <w:tc>
          <w:tcPr>
            <w:tcW w:w="927" w:type="pct"/>
          </w:tcPr>
          <w:p w14:paraId="0708CAD6">
            <w:pPr>
              <w:widowControl w:val="0"/>
              <w:spacing w:line="500" w:lineRule="exact"/>
              <w:jc w:val="center"/>
              <w:rPr>
                <w:rFonts w:ascii="宋体" w:hAnsi="宋体"/>
                <w:color w:val="auto"/>
                <w:sz w:val="24"/>
              </w:rPr>
            </w:pPr>
          </w:p>
        </w:tc>
      </w:tr>
      <w:tr w14:paraId="3F1E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7" w:type="pct"/>
          </w:tcPr>
          <w:p w14:paraId="387F9466">
            <w:pPr>
              <w:widowControl w:val="0"/>
              <w:spacing w:line="500" w:lineRule="exact"/>
              <w:jc w:val="center"/>
              <w:rPr>
                <w:rFonts w:ascii="宋体" w:hAnsi="宋体"/>
                <w:color w:val="auto"/>
                <w:sz w:val="24"/>
              </w:rPr>
            </w:pPr>
            <w:r>
              <w:rPr>
                <w:rFonts w:hint="eastAsia" w:ascii="宋体" w:hAnsi="宋体"/>
                <w:color w:val="auto"/>
                <w:sz w:val="24"/>
              </w:rPr>
              <w:t>2021</w:t>
            </w:r>
          </w:p>
        </w:tc>
        <w:tc>
          <w:tcPr>
            <w:tcW w:w="2795" w:type="pct"/>
          </w:tcPr>
          <w:p w14:paraId="574EFD5A">
            <w:pPr>
              <w:widowControl w:val="0"/>
              <w:spacing w:line="500" w:lineRule="exact"/>
              <w:jc w:val="center"/>
              <w:rPr>
                <w:rFonts w:ascii="宋体" w:hAnsi="宋体"/>
                <w:color w:val="auto"/>
                <w:sz w:val="24"/>
              </w:rPr>
            </w:pPr>
            <w:r>
              <w:rPr>
                <w:rFonts w:hint="eastAsia" w:ascii="宋体" w:hAnsi="宋体"/>
                <w:color w:val="auto"/>
                <w:sz w:val="24"/>
              </w:rPr>
              <w:t>61</w:t>
            </w:r>
          </w:p>
        </w:tc>
        <w:tc>
          <w:tcPr>
            <w:tcW w:w="927" w:type="pct"/>
          </w:tcPr>
          <w:p w14:paraId="73C36B2D">
            <w:pPr>
              <w:widowControl w:val="0"/>
              <w:spacing w:line="500" w:lineRule="exact"/>
              <w:jc w:val="center"/>
              <w:rPr>
                <w:rFonts w:ascii="宋体" w:hAnsi="宋体"/>
                <w:color w:val="auto"/>
                <w:sz w:val="24"/>
              </w:rPr>
            </w:pPr>
          </w:p>
        </w:tc>
      </w:tr>
      <w:tr w14:paraId="30F4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277" w:type="pct"/>
          </w:tcPr>
          <w:p w14:paraId="757F2B89">
            <w:pPr>
              <w:widowControl w:val="0"/>
              <w:spacing w:line="500" w:lineRule="exact"/>
              <w:jc w:val="center"/>
              <w:rPr>
                <w:rFonts w:ascii="宋体" w:hAnsi="宋体"/>
                <w:color w:val="auto"/>
                <w:sz w:val="24"/>
              </w:rPr>
            </w:pPr>
            <w:r>
              <w:rPr>
                <w:rFonts w:hint="eastAsia" w:ascii="宋体" w:hAnsi="宋体"/>
                <w:color w:val="auto"/>
                <w:sz w:val="24"/>
              </w:rPr>
              <w:t>2022</w:t>
            </w:r>
          </w:p>
        </w:tc>
        <w:tc>
          <w:tcPr>
            <w:tcW w:w="2795" w:type="pct"/>
          </w:tcPr>
          <w:p w14:paraId="655A1227">
            <w:pPr>
              <w:widowControl w:val="0"/>
              <w:spacing w:line="500" w:lineRule="exact"/>
              <w:jc w:val="center"/>
              <w:rPr>
                <w:rFonts w:ascii="宋体" w:hAnsi="宋体"/>
                <w:color w:val="auto"/>
                <w:sz w:val="24"/>
              </w:rPr>
            </w:pPr>
            <w:r>
              <w:rPr>
                <w:rFonts w:hint="eastAsia" w:ascii="宋体" w:hAnsi="宋体"/>
                <w:color w:val="auto"/>
                <w:sz w:val="24"/>
              </w:rPr>
              <w:t>64</w:t>
            </w:r>
          </w:p>
        </w:tc>
        <w:tc>
          <w:tcPr>
            <w:tcW w:w="927" w:type="pct"/>
          </w:tcPr>
          <w:p w14:paraId="496B87F2">
            <w:pPr>
              <w:widowControl w:val="0"/>
              <w:spacing w:line="500" w:lineRule="exact"/>
              <w:jc w:val="center"/>
              <w:rPr>
                <w:rFonts w:ascii="宋体" w:hAnsi="宋体"/>
                <w:color w:val="auto"/>
                <w:sz w:val="24"/>
              </w:rPr>
            </w:pPr>
          </w:p>
        </w:tc>
      </w:tr>
    </w:tbl>
    <w:p w14:paraId="04112A69">
      <w:pPr>
        <w:rPr>
          <w:color w:val="auto"/>
        </w:rPr>
      </w:pPr>
    </w:p>
    <w:p w14:paraId="100347CF">
      <w:pPr>
        <w:rPr>
          <w:color w:val="auto"/>
        </w:rPr>
        <w:sectPr>
          <w:pgSz w:w="11906" w:h="16838"/>
          <w:pgMar w:top="1440" w:right="1800" w:bottom="1440" w:left="1800" w:header="851" w:footer="992" w:gutter="0"/>
          <w:cols w:space="425" w:num="1"/>
          <w:docGrid w:type="lines" w:linePitch="312" w:charSpace="0"/>
        </w:sectPr>
      </w:pPr>
    </w:p>
    <w:p w14:paraId="01520DE4">
      <w:pPr>
        <w:pStyle w:val="2"/>
        <w:rPr>
          <w:color w:val="auto"/>
        </w:rPr>
      </w:pPr>
    </w:p>
    <w:p w14:paraId="2CE52925">
      <w:pPr>
        <w:jc w:val="center"/>
        <w:rPr>
          <w:rFonts w:eastAsia="黑体" w:cs="黑体"/>
          <w:color w:val="auto"/>
          <w:sz w:val="30"/>
          <w:szCs w:val="30"/>
        </w:rPr>
      </w:pPr>
      <w:r>
        <w:rPr>
          <w:rFonts w:hint="eastAsia" w:eastAsia="黑体" w:cs="黑体"/>
          <w:color w:val="auto"/>
          <w:sz w:val="30"/>
          <w:szCs w:val="30"/>
        </w:rPr>
        <w:t>龙泉市竹木产业规上企业（2023年）</w:t>
      </w:r>
    </w:p>
    <w:tbl>
      <w:tblPr>
        <w:tblStyle w:val="21"/>
        <w:tblW w:w="8718"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1189"/>
        <w:gridCol w:w="2905"/>
        <w:gridCol w:w="1045"/>
        <w:gridCol w:w="1047"/>
      </w:tblGrid>
      <w:tr w14:paraId="0F4B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532" w:type="dxa"/>
            <w:shd w:val="clear" w:color="auto" w:fill="auto"/>
            <w:noWrap/>
            <w:vAlign w:val="center"/>
          </w:tcPr>
          <w:p w14:paraId="22C7F0E9">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企业名称</w:t>
            </w:r>
          </w:p>
        </w:tc>
        <w:tc>
          <w:tcPr>
            <w:tcW w:w="1189" w:type="dxa"/>
            <w:shd w:val="clear" w:color="auto" w:fill="auto"/>
            <w:noWrap/>
            <w:vAlign w:val="center"/>
          </w:tcPr>
          <w:p w14:paraId="33C4C3FF">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乡镇</w:t>
            </w:r>
          </w:p>
          <w:p w14:paraId="4344D7F6">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（街道）</w:t>
            </w:r>
          </w:p>
        </w:tc>
        <w:tc>
          <w:tcPr>
            <w:tcW w:w="2905" w:type="dxa"/>
            <w:shd w:val="clear" w:color="auto" w:fill="auto"/>
            <w:noWrap/>
            <w:vAlign w:val="center"/>
          </w:tcPr>
          <w:p w14:paraId="76CAF91C">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主营产品</w:t>
            </w:r>
          </w:p>
        </w:tc>
        <w:tc>
          <w:tcPr>
            <w:tcW w:w="1045" w:type="dxa"/>
            <w:shd w:val="clear" w:color="auto" w:fill="auto"/>
            <w:noWrap/>
            <w:vAlign w:val="center"/>
          </w:tcPr>
          <w:p w14:paraId="3453C4BD">
            <w:pPr>
              <w:jc w:val="center"/>
              <w:textAlignment w:val="center"/>
              <w:rPr>
                <w:color w:val="auto"/>
              </w:rPr>
            </w:pPr>
            <w:r>
              <w:rPr>
                <w:rFonts w:hint="eastAsia" w:asciiTheme="minorEastAsia" w:hAnsiTheme="minorEastAsia" w:eastAsiaTheme="minorEastAsia" w:cstheme="minorEastAsia"/>
                <w:b/>
                <w:bCs/>
                <w:color w:val="auto"/>
                <w:kern w:val="0"/>
                <w:sz w:val="20"/>
                <w:szCs w:val="20"/>
              </w:rPr>
              <w:t>注册资金（元）</w:t>
            </w:r>
          </w:p>
        </w:tc>
        <w:tc>
          <w:tcPr>
            <w:tcW w:w="1047" w:type="dxa"/>
            <w:shd w:val="clear" w:color="auto" w:fill="auto"/>
            <w:noWrap/>
            <w:vAlign w:val="center"/>
          </w:tcPr>
          <w:p w14:paraId="611E6D27">
            <w:pPr>
              <w:jc w:val="center"/>
              <w:textAlignment w:val="center"/>
              <w:rPr>
                <w:rFonts w:asciiTheme="minorEastAsia" w:hAnsiTheme="minorEastAsia" w:eastAsiaTheme="minorEastAsia" w:cstheme="minorEastAsia"/>
                <w:b/>
                <w:bCs/>
                <w:color w:val="auto"/>
                <w:kern w:val="0"/>
                <w:sz w:val="20"/>
                <w:szCs w:val="20"/>
              </w:rPr>
            </w:pPr>
            <w:r>
              <w:rPr>
                <w:rFonts w:hint="eastAsia" w:asciiTheme="minorEastAsia" w:hAnsiTheme="minorEastAsia" w:eastAsiaTheme="minorEastAsia" w:cstheme="minorEastAsia"/>
                <w:b/>
                <w:bCs/>
                <w:color w:val="auto"/>
                <w:kern w:val="0"/>
                <w:sz w:val="20"/>
                <w:szCs w:val="20"/>
              </w:rPr>
              <w:t>产值规模（万元）</w:t>
            </w:r>
          </w:p>
        </w:tc>
      </w:tr>
      <w:tr w14:paraId="621C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5D444034">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浙江虹盛木业有限公司</w:t>
            </w:r>
          </w:p>
        </w:tc>
        <w:tc>
          <w:tcPr>
            <w:tcW w:w="1189" w:type="dxa"/>
            <w:shd w:val="clear" w:color="auto" w:fill="auto"/>
            <w:noWrap/>
            <w:vAlign w:val="center"/>
          </w:tcPr>
          <w:p w14:paraId="506D6E07">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566C980D">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日用木制品制造；软</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木制品制造</w:t>
            </w:r>
          </w:p>
        </w:tc>
        <w:tc>
          <w:tcPr>
            <w:tcW w:w="1045" w:type="dxa"/>
            <w:shd w:val="clear" w:color="auto" w:fill="auto"/>
            <w:noWrap/>
            <w:vAlign w:val="center"/>
          </w:tcPr>
          <w:p w14:paraId="44B00470">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 万</w:t>
            </w:r>
          </w:p>
        </w:tc>
        <w:tc>
          <w:tcPr>
            <w:tcW w:w="1047" w:type="dxa"/>
            <w:shd w:val="clear" w:color="auto" w:fill="auto"/>
            <w:noWrap/>
            <w:vAlign w:val="center"/>
          </w:tcPr>
          <w:p w14:paraId="74A828E1">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27434</w:t>
            </w:r>
          </w:p>
        </w:tc>
      </w:tr>
      <w:tr w14:paraId="0AE0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0C80FB61">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浙江恒祥玩具集团有限公司</w:t>
            </w:r>
          </w:p>
        </w:tc>
        <w:tc>
          <w:tcPr>
            <w:tcW w:w="1189" w:type="dxa"/>
            <w:shd w:val="clear" w:color="auto" w:fill="auto"/>
            <w:noWrap/>
            <w:vAlign w:val="center"/>
          </w:tcPr>
          <w:p w14:paraId="61AA25F7">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0DB9EAED">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竹木制品、玩具制造</w:t>
            </w:r>
          </w:p>
        </w:tc>
        <w:tc>
          <w:tcPr>
            <w:tcW w:w="1045" w:type="dxa"/>
            <w:shd w:val="clear" w:color="auto" w:fill="auto"/>
            <w:noWrap/>
            <w:vAlign w:val="center"/>
          </w:tcPr>
          <w:p w14:paraId="1B4C61D5">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10000 万</w:t>
            </w:r>
          </w:p>
        </w:tc>
        <w:tc>
          <w:tcPr>
            <w:tcW w:w="1047" w:type="dxa"/>
            <w:shd w:val="clear" w:color="auto" w:fill="auto"/>
            <w:noWrap/>
            <w:vAlign w:val="center"/>
          </w:tcPr>
          <w:p w14:paraId="64B631FE">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14259.4</w:t>
            </w:r>
          </w:p>
        </w:tc>
      </w:tr>
      <w:tr w14:paraId="534A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3A445EA3">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浙江巧艺玩具有限公司</w:t>
            </w:r>
          </w:p>
        </w:tc>
        <w:tc>
          <w:tcPr>
            <w:tcW w:w="1189" w:type="dxa"/>
            <w:shd w:val="clear" w:color="auto" w:fill="auto"/>
            <w:noWrap/>
            <w:vAlign w:val="center"/>
          </w:tcPr>
          <w:p w14:paraId="21B3646D">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0AC61C6A">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竹制品制造；木材加</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工</w:t>
            </w:r>
          </w:p>
        </w:tc>
        <w:tc>
          <w:tcPr>
            <w:tcW w:w="1045" w:type="dxa"/>
            <w:shd w:val="clear" w:color="auto" w:fill="auto"/>
            <w:noWrap/>
            <w:vAlign w:val="center"/>
          </w:tcPr>
          <w:p w14:paraId="7C949374">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2000 万</w:t>
            </w:r>
          </w:p>
        </w:tc>
        <w:tc>
          <w:tcPr>
            <w:tcW w:w="1047" w:type="dxa"/>
            <w:shd w:val="clear" w:color="auto" w:fill="auto"/>
            <w:noWrap/>
            <w:vAlign w:val="center"/>
          </w:tcPr>
          <w:p w14:paraId="37429E13">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11101</w:t>
            </w:r>
          </w:p>
        </w:tc>
      </w:tr>
      <w:tr w14:paraId="0C2A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3ADE0C69">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龙泉市赫顶木业有限公司</w:t>
            </w:r>
          </w:p>
        </w:tc>
        <w:tc>
          <w:tcPr>
            <w:tcW w:w="1189" w:type="dxa"/>
            <w:shd w:val="clear" w:color="auto" w:fill="auto"/>
            <w:noWrap/>
            <w:vAlign w:val="center"/>
          </w:tcPr>
          <w:p w14:paraId="3829D19D">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59F158B5">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木制品加工</w:t>
            </w:r>
          </w:p>
        </w:tc>
        <w:tc>
          <w:tcPr>
            <w:tcW w:w="1045" w:type="dxa"/>
            <w:shd w:val="clear" w:color="auto" w:fill="auto"/>
            <w:noWrap/>
            <w:vAlign w:val="center"/>
          </w:tcPr>
          <w:p w14:paraId="279EB54A">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 万</w:t>
            </w:r>
          </w:p>
        </w:tc>
        <w:tc>
          <w:tcPr>
            <w:tcW w:w="1047" w:type="dxa"/>
            <w:shd w:val="clear" w:color="auto" w:fill="auto"/>
            <w:noWrap/>
            <w:vAlign w:val="center"/>
          </w:tcPr>
          <w:p w14:paraId="71757B36">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4763.3</w:t>
            </w:r>
          </w:p>
        </w:tc>
      </w:tr>
      <w:tr w14:paraId="5A2F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0A34D562">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龙泉市忠瑞木制品有限公司</w:t>
            </w:r>
          </w:p>
        </w:tc>
        <w:tc>
          <w:tcPr>
            <w:tcW w:w="1189" w:type="dxa"/>
            <w:shd w:val="clear" w:color="auto" w:fill="auto"/>
            <w:noWrap/>
            <w:vAlign w:val="center"/>
          </w:tcPr>
          <w:p w14:paraId="1A89831C">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57F0B27A">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木制品生产</w:t>
            </w:r>
          </w:p>
        </w:tc>
        <w:tc>
          <w:tcPr>
            <w:tcW w:w="1045" w:type="dxa"/>
            <w:shd w:val="clear" w:color="auto" w:fill="auto"/>
            <w:noWrap/>
            <w:vAlign w:val="center"/>
          </w:tcPr>
          <w:p w14:paraId="16E68A99">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 万</w:t>
            </w:r>
          </w:p>
        </w:tc>
        <w:tc>
          <w:tcPr>
            <w:tcW w:w="1047" w:type="dxa"/>
            <w:shd w:val="clear" w:color="auto" w:fill="auto"/>
            <w:noWrap/>
            <w:vAlign w:val="center"/>
          </w:tcPr>
          <w:p w14:paraId="64819B33">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3390.9</w:t>
            </w:r>
          </w:p>
        </w:tc>
      </w:tr>
      <w:tr w14:paraId="614D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532" w:type="dxa"/>
            <w:shd w:val="clear" w:color="auto" w:fill="auto"/>
            <w:noWrap/>
            <w:vAlign w:val="center"/>
          </w:tcPr>
          <w:p w14:paraId="792CB930">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龙泉市凯祥木制品有限公司</w:t>
            </w:r>
          </w:p>
        </w:tc>
        <w:tc>
          <w:tcPr>
            <w:tcW w:w="1189" w:type="dxa"/>
            <w:shd w:val="clear" w:color="auto" w:fill="auto"/>
            <w:noWrap/>
            <w:vAlign w:val="center"/>
          </w:tcPr>
          <w:p w14:paraId="69050736">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44504AA6">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木制智力玩具、工艺礼品、家具、木制童</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车</w:t>
            </w:r>
          </w:p>
        </w:tc>
        <w:tc>
          <w:tcPr>
            <w:tcW w:w="1045" w:type="dxa"/>
            <w:shd w:val="clear" w:color="auto" w:fill="auto"/>
            <w:noWrap/>
            <w:vAlign w:val="center"/>
          </w:tcPr>
          <w:p w14:paraId="485A5954">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 万</w:t>
            </w:r>
          </w:p>
        </w:tc>
        <w:tc>
          <w:tcPr>
            <w:tcW w:w="1047" w:type="dxa"/>
            <w:shd w:val="clear" w:color="auto" w:fill="auto"/>
            <w:noWrap/>
            <w:vAlign w:val="center"/>
          </w:tcPr>
          <w:p w14:paraId="6FD14BCD">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2490.87</w:t>
            </w:r>
          </w:p>
        </w:tc>
      </w:tr>
      <w:tr w14:paraId="5190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22D54ABC">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龙泉市博泰玩具有限公司</w:t>
            </w:r>
          </w:p>
        </w:tc>
        <w:tc>
          <w:tcPr>
            <w:tcW w:w="1189" w:type="dxa"/>
            <w:shd w:val="clear" w:color="auto" w:fill="auto"/>
            <w:noWrap/>
            <w:vAlign w:val="center"/>
          </w:tcPr>
          <w:p w14:paraId="3B396A5E">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6A00546B">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竹、木制玩具加工</w:t>
            </w:r>
          </w:p>
        </w:tc>
        <w:tc>
          <w:tcPr>
            <w:tcW w:w="1045" w:type="dxa"/>
            <w:shd w:val="clear" w:color="auto" w:fill="auto"/>
            <w:noWrap/>
            <w:vAlign w:val="center"/>
          </w:tcPr>
          <w:p w14:paraId="69358A97">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200 万</w:t>
            </w:r>
          </w:p>
        </w:tc>
        <w:tc>
          <w:tcPr>
            <w:tcW w:w="1047" w:type="dxa"/>
            <w:shd w:val="clear" w:color="auto" w:fill="auto"/>
            <w:noWrap/>
            <w:vAlign w:val="center"/>
          </w:tcPr>
          <w:p w14:paraId="6CC7938C">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2185.7</w:t>
            </w:r>
          </w:p>
        </w:tc>
      </w:tr>
      <w:tr w14:paraId="5DC7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154A1345">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龙泉市恒吉木制品有限公司</w:t>
            </w:r>
          </w:p>
        </w:tc>
        <w:tc>
          <w:tcPr>
            <w:tcW w:w="1189" w:type="dxa"/>
            <w:shd w:val="clear" w:color="auto" w:fill="auto"/>
            <w:noWrap/>
            <w:vAlign w:val="center"/>
          </w:tcPr>
          <w:p w14:paraId="002C2113">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64D94902">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日用木制品制造、玩</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具制造</w:t>
            </w:r>
          </w:p>
        </w:tc>
        <w:tc>
          <w:tcPr>
            <w:tcW w:w="1045" w:type="dxa"/>
            <w:shd w:val="clear" w:color="auto" w:fill="auto"/>
            <w:noWrap/>
            <w:vAlign w:val="center"/>
          </w:tcPr>
          <w:p w14:paraId="3188C883">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300 万</w:t>
            </w:r>
          </w:p>
        </w:tc>
        <w:tc>
          <w:tcPr>
            <w:tcW w:w="1047" w:type="dxa"/>
            <w:shd w:val="clear" w:color="auto" w:fill="auto"/>
            <w:noWrap/>
            <w:vAlign w:val="center"/>
          </w:tcPr>
          <w:p w14:paraId="22251B0F">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2054.4</w:t>
            </w:r>
          </w:p>
        </w:tc>
      </w:tr>
      <w:tr w14:paraId="35F0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6585672A">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龙泉市齐翔工艺品有限公司</w:t>
            </w:r>
          </w:p>
        </w:tc>
        <w:tc>
          <w:tcPr>
            <w:tcW w:w="1189" w:type="dxa"/>
            <w:shd w:val="clear" w:color="auto" w:fill="auto"/>
            <w:noWrap/>
            <w:vAlign w:val="center"/>
          </w:tcPr>
          <w:p w14:paraId="6F800F8F">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安仁镇</w:t>
            </w:r>
          </w:p>
        </w:tc>
        <w:tc>
          <w:tcPr>
            <w:tcW w:w="2905" w:type="dxa"/>
            <w:shd w:val="clear" w:color="auto" w:fill="auto"/>
            <w:noWrap/>
            <w:vAlign w:val="center"/>
          </w:tcPr>
          <w:p w14:paraId="54869411">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工艺品、竹木制品加</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工</w:t>
            </w:r>
          </w:p>
        </w:tc>
        <w:tc>
          <w:tcPr>
            <w:tcW w:w="1045" w:type="dxa"/>
            <w:shd w:val="clear" w:color="auto" w:fill="auto"/>
            <w:noWrap/>
            <w:vAlign w:val="center"/>
          </w:tcPr>
          <w:p w14:paraId="3076BE38">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 万</w:t>
            </w:r>
          </w:p>
        </w:tc>
        <w:tc>
          <w:tcPr>
            <w:tcW w:w="1047" w:type="dxa"/>
            <w:shd w:val="clear" w:color="auto" w:fill="auto"/>
            <w:noWrap/>
            <w:vAlign w:val="center"/>
          </w:tcPr>
          <w:p w14:paraId="5815E72D">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1924.92</w:t>
            </w:r>
          </w:p>
        </w:tc>
      </w:tr>
      <w:tr w14:paraId="2216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5BCBE3DA">
            <w:pPr>
              <w:jc w:val="left"/>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sz w:val="20"/>
                <w:szCs w:val="20"/>
              </w:rPr>
              <w:t>浙江虹盛木业有限公司</w:t>
            </w:r>
          </w:p>
        </w:tc>
        <w:tc>
          <w:tcPr>
            <w:tcW w:w="1189" w:type="dxa"/>
            <w:shd w:val="clear" w:color="auto" w:fill="auto"/>
            <w:noWrap/>
            <w:vAlign w:val="center"/>
          </w:tcPr>
          <w:p w14:paraId="579BA362">
            <w:pPr>
              <w:jc w:val="center"/>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kern w:val="0"/>
                <w:sz w:val="20"/>
                <w:szCs w:val="20"/>
              </w:rPr>
              <w:t>安仁镇</w:t>
            </w:r>
          </w:p>
        </w:tc>
        <w:tc>
          <w:tcPr>
            <w:tcW w:w="2905" w:type="dxa"/>
            <w:shd w:val="clear" w:color="auto" w:fill="auto"/>
            <w:noWrap/>
            <w:vAlign w:val="center"/>
          </w:tcPr>
          <w:p w14:paraId="463EB502">
            <w:pPr>
              <w:jc w:val="left"/>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sz w:val="20"/>
                <w:szCs w:val="20"/>
                <w:shd w:val="clear" w:color="auto" w:fill="FFFFFF"/>
              </w:rPr>
              <w:t>日用木制品制造；软木制品制造</w:t>
            </w:r>
          </w:p>
        </w:tc>
        <w:tc>
          <w:tcPr>
            <w:tcW w:w="1045" w:type="dxa"/>
            <w:shd w:val="clear" w:color="auto" w:fill="auto"/>
            <w:noWrap/>
            <w:vAlign w:val="center"/>
          </w:tcPr>
          <w:p w14:paraId="05C6836C">
            <w:pPr>
              <w:jc w:val="center"/>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kern w:val="0"/>
                <w:sz w:val="20"/>
                <w:szCs w:val="20"/>
              </w:rPr>
              <w:t>1000万</w:t>
            </w:r>
          </w:p>
        </w:tc>
        <w:tc>
          <w:tcPr>
            <w:tcW w:w="1047" w:type="dxa"/>
            <w:shd w:val="clear" w:color="auto" w:fill="auto"/>
            <w:noWrap/>
            <w:vAlign w:val="center"/>
          </w:tcPr>
          <w:p w14:paraId="7C7F8267">
            <w:pPr>
              <w:jc w:val="center"/>
              <w:textAlignment w:val="center"/>
              <w:rPr>
                <w:rFonts w:asciiTheme="minorEastAsia" w:hAnsiTheme="minorEastAsia" w:eastAsiaTheme="minorEastAsia" w:cstheme="minorEastAsia"/>
                <w:color w:val="auto"/>
                <w:kern w:val="0"/>
                <w:sz w:val="20"/>
                <w:szCs w:val="20"/>
                <w:lang w:bidi="ar"/>
              </w:rPr>
            </w:pPr>
          </w:p>
        </w:tc>
      </w:tr>
      <w:tr w14:paraId="5350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69167300">
            <w:pPr>
              <w:jc w:val="left"/>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sz w:val="20"/>
                <w:szCs w:val="20"/>
              </w:rPr>
              <w:t>浙江巧艺玩具有限公司</w:t>
            </w:r>
          </w:p>
        </w:tc>
        <w:tc>
          <w:tcPr>
            <w:tcW w:w="1189" w:type="dxa"/>
            <w:shd w:val="clear" w:color="auto" w:fill="auto"/>
            <w:noWrap/>
            <w:vAlign w:val="center"/>
          </w:tcPr>
          <w:p w14:paraId="1D4DA615">
            <w:pPr>
              <w:jc w:val="center"/>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kern w:val="0"/>
                <w:sz w:val="20"/>
                <w:szCs w:val="20"/>
              </w:rPr>
              <w:t>安仁镇</w:t>
            </w:r>
          </w:p>
        </w:tc>
        <w:tc>
          <w:tcPr>
            <w:tcW w:w="2905" w:type="dxa"/>
            <w:shd w:val="clear" w:color="auto" w:fill="auto"/>
            <w:noWrap/>
            <w:vAlign w:val="center"/>
          </w:tcPr>
          <w:p w14:paraId="40EDC52A">
            <w:pPr>
              <w:jc w:val="left"/>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sz w:val="20"/>
                <w:szCs w:val="20"/>
                <w:shd w:val="clear" w:color="auto" w:fill="FFFFFF"/>
              </w:rPr>
              <w:t>竹制品制造；木材加工</w:t>
            </w:r>
          </w:p>
        </w:tc>
        <w:tc>
          <w:tcPr>
            <w:tcW w:w="1045" w:type="dxa"/>
            <w:shd w:val="clear" w:color="auto" w:fill="auto"/>
            <w:noWrap/>
            <w:vAlign w:val="center"/>
          </w:tcPr>
          <w:p w14:paraId="7F2B9251">
            <w:pPr>
              <w:jc w:val="center"/>
              <w:textAlignment w:val="center"/>
              <w:rPr>
                <w:rFonts w:asciiTheme="minorEastAsia" w:hAnsiTheme="minorEastAsia" w:eastAsiaTheme="minorEastAsia" w:cstheme="minorEastAsia"/>
                <w:color w:val="auto"/>
                <w:kern w:val="0"/>
                <w:sz w:val="20"/>
                <w:szCs w:val="20"/>
                <w:lang w:bidi="ar"/>
              </w:rPr>
            </w:pPr>
            <w:r>
              <w:rPr>
                <w:rFonts w:hint="eastAsia" w:asciiTheme="minorEastAsia" w:hAnsiTheme="minorEastAsia" w:eastAsiaTheme="minorEastAsia" w:cstheme="minorEastAsia"/>
                <w:color w:val="auto"/>
                <w:kern w:val="0"/>
                <w:sz w:val="20"/>
                <w:szCs w:val="20"/>
              </w:rPr>
              <w:t>2000万</w:t>
            </w:r>
          </w:p>
        </w:tc>
        <w:tc>
          <w:tcPr>
            <w:tcW w:w="1047" w:type="dxa"/>
            <w:shd w:val="clear" w:color="auto" w:fill="auto"/>
            <w:noWrap/>
            <w:vAlign w:val="center"/>
          </w:tcPr>
          <w:p w14:paraId="74B6A6FE">
            <w:pPr>
              <w:jc w:val="center"/>
              <w:textAlignment w:val="center"/>
              <w:rPr>
                <w:rFonts w:asciiTheme="minorEastAsia" w:hAnsiTheme="minorEastAsia" w:eastAsiaTheme="minorEastAsia" w:cstheme="minorEastAsia"/>
                <w:color w:val="auto"/>
                <w:kern w:val="0"/>
                <w:sz w:val="20"/>
                <w:szCs w:val="20"/>
                <w:lang w:bidi="ar"/>
              </w:rPr>
            </w:pPr>
          </w:p>
        </w:tc>
      </w:tr>
      <w:tr w14:paraId="5AB0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4023F68C">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浙江千束家居用品有限公司</w:t>
            </w:r>
          </w:p>
        </w:tc>
        <w:tc>
          <w:tcPr>
            <w:tcW w:w="1189" w:type="dxa"/>
            <w:shd w:val="clear" w:color="auto" w:fill="auto"/>
            <w:noWrap/>
            <w:vAlign w:val="center"/>
          </w:tcPr>
          <w:p w14:paraId="757E46F4">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八都镇</w:t>
            </w:r>
          </w:p>
        </w:tc>
        <w:tc>
          <w:tcPr>
            <w:tcW w:w="2905" w:type="dxa"/>
            <w:shd w:val="clear" w:color="auto" w:fill="auto"/>
            <w:noWrap/>
            <w:vAlign w:val="center"/>
          </w:tcPr>
          <w:p w14:paraId="5715F3F4">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竹制品制造</w:t>
            </w:r>
          </w:p>
        </w:tc>
        <w:tc>
          <w:tcPr>
            <w:tcW w:w="1045" w:type="dxa"/>
            <w:shd w:val="clear" w:color="auto" w:fill="auto"/>
            <w:noWrap/>
            <w:vAlign w:val="center"/>
          </w:tcPr>
          <w:p w14:paraId="0FB5A25C">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5000 万</w:t>
            </w:r>
          </w:p>
        </w:tc>
        <w:tc>
          <w:tcPr>
            <w:tcW w:w="1047" w:type="dxa"/>
            <w:shd w:val="clear" w:color="auto" w:fill="auto"/>
            <w:noWrap/>
            <w:vAlign w:val="center"/>
          </w:tcPr>
          <w:p w14:paraId="58A0734C">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32121.1</w:t>
            </w:r>
          </w:p>
        </w:tc>
      </w:tr>
      <w:tr w14:paraId="7084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19C93E2A">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龙泉市众伟竹木有限公司</w:t>
            </w:r>
          </w:p>
        </w:tc>
        <w:tc>
          <w:tcPr>
            <w:tcW w:w="1189" w:type="dxa"/>
            <w:shd w:val="clear" w:color="auto" w:fill="auto"/>
            <w:noWrap/>
            <w:vAlign w:val="center"/>
          </w:tcPr>
          <w:p w14:paraId="614DF284">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八都镇</w:t>
            </w:r>
          </w:p>
        </w:tc>
        <w:tc>
          <w:tcPr>
            <w:tcW w:w="2905" w:type="dxa"/>
            <w:shd w:val="clear" w:color="auto" w:fill="auto"/>
            <w:noWrap/>
            <w:vAlign w:val="center"/>
          </w:tcPr>
          <w:p w14:paraId="5D051D5F">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竹木制品加工、制作</w:t>
            </w:r>
          </w:p>
        </w:tc>
        <w:tc>
          <w:tcPr>
            <w:tcW w:w="1045" w:type="dxa"/>
            <w:shd w:val="clear" w:color="auto" w:fill="auto"/>
            <w:noWrap/>
            <w:vAlign w:val="center"/>
          </w:tcPr>
          <w:p w14:paraId="22EBD9B8">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55 万</w:t>
            </w:r>
          </w:p>
        </w:tc>
        <w:tc>
          <w:tcPr>
            <w:tcW w:w="1047" w:type="dxa"/>
            <w:shd w:val="clear" w:color="auto" w:fill="auto"/>
            <w:noWrap/>
            <w:vAlign w:val="center"/>
          </w:tcPr>
          <w:p w14:paraId="25C2875C">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7511</w:t>
            </w:r>
          </w:p>
        </w:tc>
      </w:tr>
      <w:tr w14:paraId="3337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37D20D32">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浙江利源竹木有限责任公司</w:t>
            </w:r>
          </w:p>
        </w:tc>
        <w:tc>
          <w:tcPr>
            <w:tcW w:w="1189" w:type="dxa"/>
            <w:shd w:val="clear" w:color="auto" w:fill="auto"/>
            <w:noWrap/>
            <w:vAlign w:val="center"/>
          </w:tcPr>
          <w:p w14:paraId="5AAF05D7">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八都镇</w:t>
            </w:r>
          </w:p>
        </w:tc>
        <w:tc>
          <w:tcPr>
            <w:tcW w:w="2905" w:type="dxa"/>
            <w:shd w:val="clear" w:color="auto" w:fill="auto"/>
            <w:noWrap/>
            <w:vAlign w:val="center"/>
          </w:tcPr>
          <w:p w14:paraId="4D32DEFF">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51E9E3BF">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518 万</w:t>
            </w:r>
          </w:p>
        </w:tc>
        <w:tc>
          <w:tcPr>
            <w:tcW w:w="1047" w:type="dxa"/>
            <w:shd w:val="clear" w:color="auto" w:fill="auto"/>
            <w:noWrap/>
            <w:vAlign w:val="center"/>
          </w:tcPr>
          <w:p w14:paraId="3979950C">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3518.4</w:t>
            </w:r>
          </w:p>
        </w:tc>
      </w:tr>
      <w:tr w14:paraId="4140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42C7A43D">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龙泉市绿宝木业有限公司</w:t>
            </w:r>
          </w:p>
        </w:tc>
        <w:tc>
          <w:tcPr>
            <w:tcW w:w="1189" w:type="dxa"/>
            <w:shd w:val="clear" w:color="auto" w:fill="auto"/>
            <w:noWrap/>
            <w:vAlign w:val="center"/>
          </w:tcPr>
          <w:p w14:paraId="298F6F11">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八都镇</w:t>
            </w:r>
          </w:p>
        </w:tc>
        <w:tc>
          <w:tcPr>
            <w:tcW w:w="2905" w:type="dxa"/>
            <w:shd w:val="clear" w:color="auto" w:fill="auto"/>
            <w:noWrap/>
            <w:vAlign w:val="center"/>
          </w:tcPr>
          <w:p w14:paraId="17E6B0A2">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4CCBD729">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6E20025E">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1790.7</w:t>
            </w:r>
          </w:p>
        </w:tc>
      </w:tr>
      <w:tr w14:paraId="07B4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0A190D5D">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龙泉市众伟竹木有限公司</w:t>
            </w:r>
          </w:p>
        </w:tc>
        <w:tc>
          <w:tcPr>
            <w:tcW w:w="1189" w:type="dxa"/>
            <w:shd w:val="clear" w:color="auto" w:fill="auto"/>
            <w:noWrap/>
            <w:vAlign w:val="center"/>
          </w:tcPr>
          <w:p w14:paraId="0F271623">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rPr>
              <w:t>八都镇</w:t>
            </w:r>
          </w:p>
        </w:tc>
        <w:tc>
          <w:tcPr>
            <w:tcW w:w="2905" w:type="dxa"/>
            <w:shd w:val="clear" w:color="auto" w:fill="auto"/>
            <w:noWrap/>
            <w:vAlign w:val="center"/>
          </w:tcPr>
          <w:p w14:paraId="1C526ADC">
            <w:pPr>
              <w:jc w:val="left"/>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shd w:val="clear" w:color="auto" w:fill="FFFFFF"/>
              </w:rPr>
              <w:t>竹木制品加工、制作</w:t>
            </w:r>
          </w:p>
        </w:tc>
        <w:tc>
          <w:tcPr>
            <w:tcW w:w="1045" w:type="dxa"/>
            <w:shd w:val="clear" w:color="auto" w:fill="auto"/>
            <w:noWrap/>
            <w:vAlign w:val="center"/>
          </w:tcPr>
          <w:p w14:paraId="3820C97C">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55万</w:t>
            </w:r>
          </w:p>
        </w:tc>
        <w:tc>
          <w:tcPr>
            <w:tcW w:w="1047" w:type="dxa"/>
            <w:shd w:val="clear" w:color="auto" w:fill="auto"/>
            <w:noWrap/>
            <w:vAlign w:val="center"/>
          </w:tcPr>
          <w:p w14:paraId="0714953A">
            <w:pPr>
              <w:jc w:val="center"/>
              <w:textAlignment w:val="center"/>
              <w:rPr>
                <w:rFonts w:asciiTheme="minorEastAsia" w:hAnsiTheme="minorEastAsia" w:eastAsiaTheme="minorEastAsia" w:cstheme="minorEastAsia"/>
                <w:color w:val="auto"/>
                <w:kern w:val="0"/>
                <w:sz w:val="20"/>
                <w:szCs w:val="20"/>
              </w:rPr>
            </w:pPr>
          </w:p>
        </w:tc>
      </w:tr>
      <w:tr w14:paraId="17EA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29BBDC76">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龙泉市东惠工艺制品有限公司</w:t>
            </w:r>
          </w:p>
        </w:tc>
        <w:tc>
          <w:tcPr>
            <w:tcW w:w="1189" w:type="dxa"/>
            <w:shd w:val="clear" w:color="auto" w:fill="auto"/>
            <w:noWrap/>
            <w:vAlign w:val="center"/>
          </w:tcPr>
          <w:p w14:paraId="1DB9CF7B">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查田镇</w:t>
            </w:r>
          </w:p>
        </w:tc>
        <w:tc>
          <w:tcPr>
            <w:tcW w:w="2905" w:type="dxa"/>
            <w:shd w:val="clear" w:color="auto" w:fill="auto"/>
            <w:noWrap/>
            <w:vAlign w:val="center"/>
          </w:tcPr>
          <w:p w14:paraId="3E9399A3">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工艺制品、竹木制品</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加工</w:t>
            </w:r>
          </w:p>
        </w:tc>
        <w:tc>
          <w:tcPr>
            <w:tcW w:w="1045" w:type="dxa"/>
            <w:shd w:val="clear" w:color="auto" w:fill="auto"/>
            <w:noWrap/>
            <w:vAlign w:val="center"/>
          </w:tcPr>
          <w:p w14:paraId="6F1373FC">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300 万</w:t>
            </w:r>
          </w:p>
        </w:tc>
        <w:tc>
          <w:tcPr>
            <w:tcW w:w="1047" w:type="dxa"/>
            <w:shd w:val="clear" w:color="auto" w:fill="auto"/>
            <w:noWrap/>
            <w:vAlign w:val="center"/>
          </w:tcPr>
          <w:p w14:paraId="6002FFB9">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8813.9</w:t>
            </w:r>
          </w:p>
        </w:tc>
      </w:tr>
      <w:tr w14:paraId="4231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78DA0831">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浙江兴华休闲用品有限公司</w:t>
            </w:r>
          </w:p>
        </w:tc>
        <w:tc>
          <w:tcPr>
            <w:tcW w:w="1189" w:type="dxa"/>
            <w:shd w:val="clear" w:color="auto" w:fill="auto"/>
            <w:noWrap/>
            <w:vAlign w:val="center"/>
          </w:tcPr>
          <w:p w14:paraId="071BBE7F">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查田镇</w:t>
            </w:r>
          </w:p>
        </w:tc>
        <w:tc>
          <w:tcPr>
            <w:tcW w:w="2905" w:type="dxa"/>
            <w:shd w:val="clear" w:color="auto" w:fill="auto"/>
            <w:noWrap/>
            <w:vAlign w:val="center"/>
          </w:tcPr>
          <w:p w14:paraId="619F9026">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工艺美术品及礼仪</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用品制造</w:t>
            </w:r>
          </w:p>
        </w:tc>
        <w:tc>
          <w:tcPr>
            <w:tcW w:w="1045" w:type="dxa"/>
            <w:shd w:val="clear" w:color="auto" w:fill="auto"/>
            <w:noWrap/>
            <w:vAlign w:val="center"/>
          </w:tcPr>
          <w:p w14:paraId="0C44E7DF">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420 万</w:t>
            </w:r>
          </w:p>
        </w:tc>
        <w:tc>
          <w:tcPr>
            <w:tcW w:w="1047" w:type="dxa"/>
            <w:shd w:val="clear" w:color="auto" w:fill="auto"/>
            <w:noWrap/>
            <w:vAlign w:val="center"/>
          </w:tcPr>
          <w:p w14:paraId="0634D787">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3333.4</w:t>
            </w:r>
          </w:p>
        </w:tc>
      </w:tr>
      <w:tr w14:paraId="7320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00E0F57A">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龙泉市东惠工艺制品有限公司</w:t>
            </w:r>
          </w:p>
        </w:tc>
        <w:tc>
          <w:tcPr>
            <w:tcW w:w="1189" w:type="dxa"/>
            <w:shd w:val="clear" w:color="auto" w:fill="auto"/>
            <w:noWrap/>
            <w:vAlign w:val="center"/>
          </w:tcPr>
          <w:p w14:paraId="6D6BB881">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rPr>
              <w:t>查田镇</w:t>
            </w:r>
          </w:p>
        </w:tc>
        <w:tc>
          <w:tcPr>
            <w:tcW w:w="2905" w:type="dxa"/>
            <w:shd w:val="clear" w:color="auto" w:fill="auto"/>
            <w:noWrap/>
            <w:vAlign w:val="center"/>
          </w:tcPr>
          <w:p w14:paraId="3CF10306">
            <w:pPr>
              <w:jc w:val="left"/>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shd w:val="clear" w:color="auto" w:fill="FFFFFF"/>
              </w:rPr>
              <w:t>工艺制品、竹木制品加工</w:t>
            </w:r>
          </w:p>
        </w:tc>
        <w:tc>
          <w:tcPr>
            <w:tcW w:w="1045" w:type="dxa"/>
            <w:shd w:val="clear" w:color="auto" w:fill="auto"/>
            <w:noWrap/>
            <w:vAlign w:val="center"/>
          </w:tcPr>
          <w:p w14:paraId="2B2CBF44">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300万</w:t>
            </w:r>
          </w:p>
        </w:tc>
        <w:tc>
          <w:tcPr>
            <w:tcW w:w="1047" w:type="dxa"/>
            <w:shd w:val="clear" w:color="auto" w:fill="auto"/>
            <w:noWrap/>
            <w:vAlign w:val="center"/>
          </w:tcPr>
          <w:p w14:paraId="2B1F6453">
            <w:pPr>
              <w:jc w:val="center"/>
              <w:textAlignment w:val="center"/>
              <w:rPr>
                <w:rFonts w:asciiTheme="minorEastAsia" w:hAnsiTheme="minorEastAsia" w:eastAsiaTheme="minorEastAsia" w:cstheme="minorEastAsia"/>
                <w:color w:val="auto"/>
                <w:kern w:val="0"/>
                <w:sz w:val="20"/>
                <w:szCs w:val="20"/>
              </w:rPr>
            </w:pPr>
          </w:p>
        </w:tc>
      </w:tr>
      <w:tr w14:paraId="4E62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29963BE6">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浙江凯森板业有限责任公司</w:t>
            </w:r>
          </w:p>
        </w:tc>
        <w:tc>
          <w:tcPr>
            <w:tcW w:w="1189" w:type="dxa"/>
            <w:shd w:val="clear" w:color="auto" w:fill="auto"/>
            <w:noWrap/>
            <w:vAlign w:val="center"/>
          </w:tcPr>
          <w:p w14:paraId="3A241D56">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255FFF71">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胶合板及其材料的</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生产</w:t>
            </w:r>
          </w:p>
        </w:tc>
        <w:tc>
          <w:tcPr>
            <w:tcW w:w="1045" w:type="dxa"/>
            <w:shd w:val="clear" w:color="auto" w:fill="auto"/>
            <w:noWrap/>
            <w:vAlign w:val="center"/>
          </w:tcPr>
          <w:p w14:paraId="181AE2FF">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3750 万</w:t>
            </w:r>
          </w:p>
        </w:tc>
        <w:tc>
          <w:tcPr>
            <w:tcW w:w="1047" w:type="dxa"/>
            <w:shd w:val="clear" w:color="auto" w:fill="auto"/>
            <w:noWrap/>
            <w:vAlign w:val="center"/>
          </w:tcPr>
          <w:p w14:paraId="700439E1">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8751.04</w:t>
            </w:r>
          </w:p>
        </w:tc>
      </w:tr>
      <w:tr w14:paraId="15E4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2532" w:type="dxa"/>
            <w:shd w:val="clear" w:color="auto" w:fill="auto"/>
            <w:noWrap/>
            <w:vAlign w:val="center"/>
          </w:tcPr>
          <w:p w14:paraId="1CDD43BD">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龙泉鸿泰植物纤维科技有限公司</w:t>
            </w:r>
          </w:p>
        </w:tc>
        <w:tc>
          <w:tcPr>
            <w:tcW w:w="1189" w:type="dxa"/>
            <w:shd w:val="clear" w:color="auto" w:fill="auto"/>
            <w:noWrap/>
            <w:vAlign w:val="center"/>
          </w:tcPr>
          <w:p w14:paraId="32D7B9F8">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75626951">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植物纤维科技研发；植物纤维玩具胚、木粉、竹粉、竹粉花盘、木塑玩具胚、木塑工艺品、木屑颗粒、竹木制品生产</w:t>
            </w:r>
          </w:p>
        </w:tc>
        <w:tc>
          <w:tcPr>
            <w:tcW w:w="1045" w:type="dxa"/>
            <w:shd w:val="clear" w:color="auto" w:fill="auto"/>
            <w:noWrap/>
            <w:vAlign w:val="center"/>
          </w:tcPr>
          <w:p w14:paraId="7D2A16D2">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 万</w:t>
            </w:r>
          </w:p>
        </w:tc>
        <w:tc>
          <w:tcPr>
            <w:tcW w:w="1047" w:type="dxa"/>
            <w:shd w:val="clear" w:color="auto" w:fill="auto"/>
            <w:noWrap/>
            <w:vAlign w:val="center"/>
          </w:tcPr>
          <w:p w14:paraId="27CD9EA1">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8459</w:t>
            </w:r>
          </w:p>
        </w:tc>
      </w:tr>
      <w:tr w14:paraId="25B4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532" w:type="dxa"/>
            <w:shd w:val="clear" w:color="auto" w:fill="auto"/>
            <w:noWrap/>
            <w:vAlign w:val="center"/>
          </w:tcPr>
          <w:p w14:paraId="45280D4D">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浙江亿奇木业有限公司</w:t>
            </w:r>
          </w:p>
        </w:tc>
        <w:tc>
          <w:tcPr>
            <w:tcW w:w="1189" w:type="dxa"/>
            <w:shd w:val="clear" w:color="auto" w:fill="auto"/>
            <w:noWrap/>
            <w:vAlign w:val="center"/>
          </w:tcPr>
          <w:p w14:paraId="31753886">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25F7E290">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软木制品制造；竹制品制造；藤制品制造；</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家具制造</w:t>
            </w:r>
          </w:p>
        </w:tc>
        <w:tc>
          <w:tcPr>
            <w:tcW w:w="1045" w:type="dxa"/>
            <w:shd w:val="clear" w:color="auto" w:fill="auto"/>
            <w:noWrap/>
            <w:vAlign w:val="center"/>
          </w:tcPr>
          <w:p w14:paraId="10415C94">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 万</w:t>
            </w:r>
          </w:p>
        </w:tc>
        <w:tc>
          <w:tcPr>
            <w:tcW w:w="1047" w:type="dxa"/>
            <w:shd w:val="clear" w:color="auto" w:fill="auto"/>
            <w:noWrap/>
            <w:vAlign w:val="center"/>
          </w:tcPr>
          <w:p w14:paraId="5B578AD8">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5762.41</w:t>
            </w:r>
          </w:p>
        </w:tc>
      </w:tr>
      <w:tr w14:paraId="7695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35097729">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浙江森亚板业有限公司</w:t>
            </w:r>
          </w:p>
        </w:tc>
        <w:tc>
          <w:tcPr>
            <w:tcW w:w="1189" w:type="dxa"/>
            <w:shd w:val="clear" w:color="auto" w:fill="auto"/>
            <w:noWrap/>
            <w:vAlign w:val="center"/>
          </w:tcPr>
          <w:p w14:paraId="585C8EFE">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688D6A8D">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2BA37642">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 万</w:t>
            </w:r>
          </w:p>
        </w:tc>
        <w:tc>
          <w:tcPr>
            <w:tcW w:w="1047" w:type="dxa"/>
            <w:shd w:val="clear" w:color="auto" w:fill="auto"/>
            <w:noWrap/>
            <w:vAlign w:val="center"/>
          </w:tcPr>
          <w:p w14:paraId="5FCE4894">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4331</w:t>
            </w:r>
          </w:p>
        </w:tc>
      </w:tr>
      <w:tr w14:paraId="16CA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16FC551C">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浙江东龙工贸有限公司</w:t>
            </w:r>
          </w:p>
        </w:tc>
        <w:tc>
          <w:tcPr>
            <w:tcW w:w="1189" w:type="dxa"/>
            <w:shd w:val="clear" w:color="auto" w:fill="auto"/>
            <w:noWrap/>
            <w:vAlign w:val="center"/>
          </w:tcPr>
          <w:p w14:paraId="0782304C">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5A8EBC8E">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51A20448">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2000 万</w:t>
            </w:r>
          </w:p>
        </w:tc>
        <w:tc>
          <w:tcPr>
            <w:tcW w:w="1047" w:type="dxa"/>
            <w:shd w:val="clear" w:color="auto" w:fill="auto"/>
            <w:noWrap/>
            <w:vAlign w:val="center"/>
          </w:tcPr>
          <w:p w14:paraId="0F3F2D1A">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4210.3</w:t>
            </w:r>
          </w:p>
        </w:tc>
      </w:tr>
      <w:tr w14:paraId="2E03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3AFCF898">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浙江百茂板业有限公司</w:t>
            </w:r>
          </w:p>
        </w:tc>
        <w:tc>
          <w:tcPr>
            <w:tcW w:w="1189" w:type="dxa"/>
            <w:shd w:val="clear" w:color="auto" w:fill="auto"/>
            <w:noWrap/>
            <w:vAlign w:val="center"/>
          </w:tcPr>
          <w:p w14:paraId="4A0D3F37">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5DAF9FF6">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加工、销售：竹木制</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品</w:t>
            </w:r>
          </w:p>
        </w:tc>
        <w:tc>
          <w:tcPr>
            <w:tcW w:w="1045" w:type="dxa"/>
            <w:shd w:val="clear" w:color="auto" w:fill="auto"/>
            <w:noWrap/>
            <w:vAlign w:val="center"/>
          </w:tcPr>
          <w:p w14:paraId="26B6170A">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1058 万</w:t>
            </w:r>
          </w:p>
        </w:tc>
        <w:tc>
          <w:tcPr>
            <w:tcW w:w="1047" w:type="dxa"/>
            <w:shd w:val="clear" w:color="auto" w:fill="auto"/>
            <w:noWrap/>
            <w:vAlign w:val="center"/>
          </w:tcPr>
          <w:p w14:paraId="54704867">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3960.8</w:t>
            </w:r>
          </w:p>
        </w:tc>
      </w:tr>
      <w:tr w14:paraId="2758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030440C0">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龙泉市亿龙竹木开发有限公司</w:t>
            </w:r>
          </w:p>
        </w:tc>
        <w:tc>
          <w:tcPr>
            <w:tcW w:w="1189" w:type="dxa"/>
            <w:shd w:val="clear" w:color="auto" w:fill="auto"/>
            <w:noWrap/>
            <w:vAlign w:val="center"/>
          </w:tcPr>
          <w:p w14:paraId="4A78E12C">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0D31BCF4">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竹木制品、生物质颗</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粒</w:t>
            </w:r>
          </w:p>
        </w:tc>
        <w:tc>
          <w:tcPr>
            <w:tcW w:w="1045" w:type="dxa"/>
            <w:shd w:val="clear" w:color="auto" w:fill="auto"/>
            <w:noWrap/>
            <w:vAlign w:val="center"/>
          </w:tcPr>
          <w:p w14:paraId="5371DEB7">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860 万</w:t>
            </w:r>
          </w:p>
        </w:tc>
        <w:tc>
          <w:tcPr>
            <w:tcW w:w="1047" w:type="dxa"/>
            <w:shd w:val="clear" w:color="auto" w:fill="auto"/>
            <w:noWrap/>
            <w:vAlign w:val="center"/>
          </w:tcPr>
          <w:p w14:paraId="67010715">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3911.5</w:t>
            </w:r>
          </w:p>
        </w:tc>
      </w:tr>
      <w:tr w14:paraId="3471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5C05D785">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浙江泰丰竹木有限公司</w:t>
            </w:r>
          </w:p>
        </w:tc>
        <w:tc>
          <w:tcPr>
            <w:tcW w:w="1189" w:type="dxa"/>
            <w:shd w:val="clear" w:color="auto" w:fill="auto"/>
            <w:noWrap/>
            <w:vAlign w:val="center"/>
          </w:tcPr>
          <w:p w14:paraId="162469B7">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31D29312">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w:t>
            </w:r>
          </w:p>
        </w:tc>
        <w:tc>
          <w:tcPr>
            <w:tcW w:w="1045" w:type="dxa"/>
            <w:shd w:val="clear" w:color="auto" w:fill="auto"/>
            <w:noWrap/>
            <w:vAlign w:val="center"/>
          </w:tcPr>
          <w:p w14:paraId="141C1705">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3C229EFA">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3509.3</w:t>
            </w:r>
          </w:p>
        </w:tc>
      </w:tr>
      <w:tr w14:paraId="4862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2A59C9FC">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龙泉市创惠家居用品有限公司</w:t>
            </w:r>
          </w:p>
        </w:tc>
        <w:tc>
          <w:tcPr>
            <w:tcW w:w="1189" w:type="dxa"/>
            <w:shd w:val="clear" w:color="auto" w:fill="auto"/>
            <w:noWrap/>
            <w:vAlign w:val="center"/>
          </w:tcPr>
          <w:p w14:paraId="10326BE6">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3283F7F8">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竹木家具、木质玩具</w:t>
            </w:r>
          </w:p>
        </w:tc>
        <w:tc>
          <w:tcPr>
            <w:tcW w:w="1045" w:type="dxa"/>
            <w:shd w:val="clear" w:color="auto" w:fill="auto"/>
            <w:noWrap/>
            <w:vAlign w:val="center"/>
          </w:tcPr>
          <w:p w14:paraId="07EFD619">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660 万</w:t>
            </w:r>
          </w:p>
        </w:tc>
        <w:tc>
          <w:tcPr>
            <w:tcW w:w="1047" w:type="dxa"/>
            <w:shd w:val="clear" w:color="auto" w:fill="auto"/>
            <w:noWrap/>
            <w:vAlign w:val="center"/>
          </w:tcPr>
          <w:p w14:paraId="485BC870">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2982.92</w:t>
            </w:r>
          </w:p>
        </w:tc>
      </w:tr>
      <w:tr w14:paraId="76A6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15900711">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浙江君怡家居有限公司</w:t>
            </w:r>
          </w:p>
        </w:tc>
        <w:tc>
          <w:tcPr>
            <w:tcW w:w="1189" w:type="dxa"/>
            <w:shd w:val="clear" w:color="auto" w:fill="auto"/>
            <w:noWrap/>
            <w:vAlign w:val="center"/>
          </w:tcPr>
          <w:p w14:paraId="7ECE09C4">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3966143A">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家居制品、户外休闲</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用品</w:t>
            </w:r>
          </w:p>
        </w:tc>
        <w:tc>
          <w:tcPr>
            <w:tcW w:w="1045" w:type="dxa"/>
            <w:shd w:val="clear" w:color="auto" w:fill="auto"/>
            <w:noWrap/>
            <w:vAlign w:val="center"/>
          </w:tcPr>
          <w:p w14:paraId="5A22724D">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300 万</w:t>
            </w:r>
          </w:p>
        </w:tc>
        <w:tc>
          <w:tcPr>
            <w:tcW w:w="1047" w:type="dxa"/>
            <w:shd w:val="clear" w:color="auto" w:fill="auto"/>
            <w:noWrap/>
            <w:vAlign w:val="center"/>
          </w:tcPr>
          <w:p w14:paraId="4FF8E58E">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2901.3</w:t>
            </w:r>
          </w:p>
        </w:tc>
      </w:tr>
      <w:tr w14:paraId="3956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323D08F0">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浙江格铭工艺品有限公司</w:t>
            </w:r>
          </w:p>
        </w:tc>
        <w:tc>
          <w:tcPr>
            <w:tcW w:w="1189" w:type="dxa"/>
            <w:shd w:val="clear" w:color="auto" w:fill="auto"/>
            <w:noWrap/>
            <w:vAlign w:val="center"/>
          </w:tcPr>
          <w:p w14:paraId="6D28161F">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729B81FC">
            <w:pPr>
              <w:jc w:val="left"/>
              <w:textAlignment w:val="top"/>
              <w:rPr>
                <w:rStyle w:val="46"/>
                <w:rFonts w:hint="default" w:asciiTheme="minorEastAsia" w:hAnsiTheme="minorEastAsia" w:eastAsiaTheme="minorEastAsia" w:cstheme="minorEastAsia"/>
                <w:color w:val="auto"/>
                <w:lang w:bidi="ar"/>
              </w:rPr>
            </w:pPr>
            <w:r>
              <w:rPr>
                <w:rStyle w:val="46"/>
                <w:rFonts w:hint="default" w:asciiTheme="minorEastAsia" w:hAnsiTheme="minorEastAsia" w:eastAsiaTheme="minorEastAsia" w:cstheme="minorEastAsia"/>
                <w:color w:val="auto"/>
                <w:lang w:bidi="ar"/>
              </w:rPr>
              <w:t>竹木制品加工，工艺</w:t>
            </w:r>
            <w:r>
              <w:rPr>
                <w:rStyle w:val="46"/>
                <w:rFonts w:hint="default"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品、家具、玩具设计</w:t>
            </w:r>
          </w:p>
        </w:tc>
        <w:tc>
          <w:tcPr>
            <w:tcW w:w="1045" w:type="dxa"/>
            <w:shd w:val="clear" w:color="auto" w:fill="auto"/>
            <w:noWrap/>
            <w:vAlign w:val="center"/>
          </w:tcPr>
          <w:p w14:paraId="24224461">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3147A610">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2811.6</w:t>
            </w:r>
          </w:p>
        </w:tc>
      </w:tr>
      <w:tr w14:paraId="1884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0756382F">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龙泉市嘉文木业有限公司</w:t>
            </w:r>
          </w:p>
        </w:tc>
        <w:tc>
          <w:tcPr>
            <w:tcW w:w="1189" w:type="dxa"/>
            <w:shd w:val="clear" w:color="auto" w:fill="auto"/>
            <w:noWrap/>
            <w:vAlign w:val="center"/>
          </w:tcPr>
          <w:p w14:paraId="3D62D015">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01990D6B">
            <w:pPr>
              <w:jc w:val="left"/>
              <w:textAlignment w:val="top"/>
              <w:rPr>
                <w:rStyle w:val="46"/>
                <w:rFonts w:hint="default" w:asciiTheme="minorEastAsia" w:hAnsiTheme="minorEastAsia" w:eastAsiaTheme="minorEastAsia" w:cstheme="minorEastAsia"/>
                <w:color w:val="auto"/>
                <w:lang w:bidi="ar"/>
              </w:rPr>
            </w:pPr>
            <w:r>
              <w:rPr>
                <w:rStyle w:val="46"/>
                <w:rFonts w:hint="default" w:asciiTheme="minorEastAsia" w:hAnsiTheme="minorEastAsia" w:eastAsiaTheme="minorEastAsia" w:cstheme="minorEastAsia"/>
                <w:color w:val="auto"/>
                <w:lang w:bidi="ar"/>
              </w:rPr>
              <w:t>加工、销售竹木制品</w:t>
            </w:r>
          </w:p>
        </w:tc>
        <w:tc>
          <w:tcPr>
            <w:tcW w:w="1045" w:type="dxa"/>
            <w:shd w:val="clear" w:color="auto" w:fill="auto"/>
            <w:noWrap/>
            <w:vAlign w:val="center"/>
          </w:tcPr>
          <w:p w14:paraId="1327C89D">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1000 万</w:t>
            </w:r>
          </w:p>
        </w:tc>
        <w:tc>
          <w:tcPr>
            <w:tcW w:w="1047" w:type="dxa"/>
            <w:shd w:val="clear" w:color="auto" w:fill="auto"/>
            <w:noWrap/>
            <w:vAlign w:val="center"/>
          </w:tcPr>
          <w:p w14:paraId="0CE1A011">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2759.8</w:t>
            </w:r>
          </w:p>
        </w:tc>
      </w:tr>
      <w:tr w14:paraId="3111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7C4B3F1E">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浙江庄信木业有限公司</w:t>
            </w:r>
          </w:p>
        </w:tc>
        <w:tc>
          <w:tcPr>
            <w:tcW w:w="1189" w:type="dxa"/>
            <w:shd w:val="clear" w:color="auto" w:fill="auto"/>
            <w:noWrap/>
            <w:vAlign w:val="center"/>
          </w:tcPr>
          <w:p w14:paraId="2E238BDF">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1E245745">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竹木制品加工</w:t>
            </w:r>
          </w:p>
        </w:tc>
        <w:tc>
          <w:tcPr>
            <w:tcW w:w="1045" w:type="dxa"/>
            <w:shd w:val="clear" w:color="auto" w:fill="auto"/>
            <w:noWrap/>
            <w:vAlign w:val="center"/>
          </w:tcPr>
          <w:p w14:paraId="769DA96F">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6F9F8E3A">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2260.89</w:t>
            </w:r>
          </w:p>
        </w:tc>
      </w:tr>
      <w:tr w14:paraId="7800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532" w:type="dxa"/>
            <w:shd w:val="clear" w:color="auto" w:fill="auto"/>
            <w:noWrap/>
            <w:vAlign w:val="center"/>
          </w:tcPr>
          <w:p w14:paraId="062150CE">
            <w:pPr>
              <w:jc w:val="left"/>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浙江玖玖木业有限公司</w:t>
            </w:r>
          </w:p>
        </w:tc>
        <w:tc>
          <w:tcPr>
            <w:tcW w:w="1189" w:type="dxa"/>
            <w:shd w:val="clear" w:color="auto" w:fill="auto"/>
            <w:noWrap/>
            <w:vAlign w:val="center"/>
          </w:tcPr>
          <w:p w14:paraId="03ADB111">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461D2446">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木制家具、金属家具</w:t>
            </w:r>
          </w:p>
        </w:tc>
        <w:tc>
          <w:tcPr>
            <w:tcW w:w="1045" w:type="dxa"/>
            <w:shd w:val="clear" w:color="auto" w:fill="auto"/>
            <w:noWrap/>
            <w:vAlign w:val="center"/>
          </w:tcPr>
          <w:p w14:paraId="5E118D95">
            <w:pPr>
              <w:jc w:val="center"/>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1310 万</w:t>
            </w:r>
          </w:p>
        </w:tc>
        <w:tc>
          <w:tcPr>
            <w:tcW w:w="1047" w:type="dxa"/>
            <w:shd w:val="clear" w:color="auto" w:fill="auto"/>
            <w:noWrap/>
            <w:vAlign w:val="center"/>
          </w:tcPr>
          <w:p w14:paraId="531A1BE6">
            <w:pPr>
              <w:jc w:val="center"/>
              <w:textAlignment w:val="top"/>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1956.3</w:t>
            </w:r>
          </w:p>
        </w:tc>
      </w:tr>
      <w:tr w14:paraId="2E8C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20BBBCA2">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龙泉市瑞丰竹木有限公司</w:t>
            </w:r>
          </w:p>
        </w:tc>
        <w:tc>
          <w:tcPr>
            <w:tcW w:w="1189" w:type="dxa"/>
            <w:shd w:val="clear" w:color="auto" w:fill="auto"/>
            <w:noWrap/>
            <w:vAlign w:val="center"/>
          </w:tcPr>
          <w:p w14:paraId="4A04790C">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14AC2FE6">
            <w:pPr>
              <w:jc w:val="left"/>
              <w:textAlignment w:val="top"/>
              <w:rPr>
                <w:rFonts w:asciiTheme="minorEastAsia" w:hAnsiTheme="minorEastAsia" w:eastAsiaTheme="minorEastAsia" w:cstheme="minorEastAsia"/>
                <w:color w:val="auto"/>
                <w:kern w:val="0"/>
                <w:sz w:val="20"/>
                <w:szCs w:val="20"/>
              </w:rPr>
            </w:pPr>
            <w:r>
              <w:rPr>
                <w:rStyle w:val="46"/>
                <w:rFonts w:hint="default" w:asciiTheme="minorEastAsia" w:hAnsiTheme="minorEastAsia" w:eastAsiaTheme="minorEastAsia" w:cstheme="minorEastAsia"/>
                <w:color w:val="auto"/>
                <w:lang w:bidi="ar"/>
              </w:rPr>
              <w:t>竹木制品、家具、厨</w:t>
            </w:r>
            <w:r>
              <w:rPr>
                <w:rStyle w:val="47"/>
                <w:rFonts w:hint="eastAsia" w:asciiTheme="minorEastAsia" w:hAnsiTheme="minorEastAsia" w:eastAsiaTheme="minorEastAsia" w:cstheme="minorEastAsia"/>
                <w:color w:val="auto"/>
                <w:lang w:bidi="ar"/>
              </w:rPr>
              <w:br w:type="textWrapping"/>
            </w:r>
            <w:r>
              <w:rPr>
                <w:rStyle w:val="46"/>
                <w:rFonts w:hint="default" w:asciiTheme="minorEastAsia" w:hAnsiTheme="minorEastAsia" w:eastAsiaTheme="minorEastAsia" w:cstheme="minorEastAsia"/>
                <w:color w:val="auto"/>
                <w:lang w:bidi="ar"/>
              </w:rPr>
              <w:t>房用品加工、销售</w:t>
            </w:r>
          </w:p>
        </w:tc>
        <w:tc>
          <w:tcPr>
            <w:tcW w:w="1045" w:type="dxa"/>
            <w:shd w:val="clear" w:color="auto" w:fill="auto"/>
            <w:noWrap/>
            <w:vAlign w:val="center"/>
          </w:tcPr>
          <w:p w14:paraId="005CD222">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200 万</w:t>
            </w:r>
          </w:p>
        </w:tc>
        <w:tc>
          <w:tcPr>
            <w:tcW w:w="1047" w:type="dxa"/>
            <w:shd w:val="clear" w:color="auto" w:fill="auto"/>
            <w:noWrap/>
            <w:vAlign w:val="center"/>
          </w:tcPr>
          <w:p w14:paraId="55D0A1C1">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1922.9</w:t>
            </w:r>
          </w:p>
        </w:tc>
      </w:tr>
      <w:tr w14:paraId="6EA2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32" w:type="dxa"/>
            <w:shd w:val="clear" w:color="auto" w:fill="auto"/>
            <w:noWrap/>
            <w:vAlign w:val="center"/>
          </w:tcPr>
          <w:p w14:paraId="1D7369C5">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浙江森然工贸有限公司</w:t>
            </w:r>
          </w:p>
        </w:tc>
        <w:tc>
          <w:tcPr>
            <w:tcW w:w="1189" w:type="dxa"/>
            <w:shd w:val="clear" w:color="auto" w:fill="auto"/>
            <w:noWrap/>
            <w:vAlign w:val="center"/>
          </w:tcPr>
          <w:p w14:paraId="0D29664A">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开发区</w:t>
            </w:r>
          </w:p>
        </w:tc>
        <w:tc>
          <w:tcPr>
            <w:tcW w:w="2905" w:type="dxa"/>
            <w:shd w:val="clear" w:color="auto" w:fill="auto"/>
            <w:noWrap/>
            <w:vAlign w:val="center"/>
          </w:tcPr>
          <w:p w14:paraId="76DDFA1C">
            <w:pPr>
              <w:jc w:val="left"/>
              <w:textAlignment w:val="top"/>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木制品、瓷器制品、</w:t>
            </w:r>
            <w:r>
              <w:rPr>
                <w:rFonts w:hint="eastAsia" w:asciiTheme="minorEastAsia" w:hAnsiTheme="minorEastAsia" w:eastAsiaTheme="minorEastAsia" w:cstheme="minorEastAsia"/>
                <w:color w:val="auto"/>
                <w:kern w:val="0"/>
                <w:sz w:val="20"/>
                <w:szCs w:val="20"/>
                <w:lang w:bidi="ar"/>
              </w:rPr>
              <w:br w:type="textWrapping"/>
            </w:r>
            <w:r>
              <w:rPr>
                <w:rFonts w:hint="eastAsia" w:asciiTheme="minorEastAsia" w:hAnsiTheme="minorEastAsia" w:eastAsiaTheme="minorEastAsia" w:cstheme="minorEastAsia"/>
                <w:color w:val="auto"/>
                <w:kern w:val="0"/>
                <w:sz w:val="20"/>
                <w:szCs w:val="20"/>
                <w:lang w:bidi="ar"/>
              </w:rPr>
              <w:t>纸箱原辅材料加工</w:t>
            </w:r>
          </w:p>
        </w:tc>
        <w:tc>
          <w:tcPr>
            <w:tcW w:w="1045" w:type="dxa"/>
            <w:shd w:val="clear" w:color="auto" w:fill="auto"/>
            <w:noWrap/>
            <w:vAlign w:val="center"/>
          </w:tcPr>
          <w:p w14:paraId="6FD89E66">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bidi="ar"/>
              </w:rPr>
              <w:t>500 万</w:t>
            </w:r>
          </w:p>
        </w:tc>
        <w:tc>
          <w:tcPr>
            <w:tcW w:w="1047" w:type="dxa"/>
            <w:shd w:val="clear" w:color="auto" w:fill="auto"/>
            <w:noWrap/>
            <w:vAlign w:val="center"/>
          </w:tcPr>
          <w:p w14:paraId="5B8F2C16">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lang w:bidi="ar"/>
              </w:rPr>
              <w:t>1895.42</w:t>
            </w:r>
          </w:p>
        </w:tc>
      </w:tr>
      <w:tr w14:paraId="2A63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2532" w:type="dxa"/>
            <w:shd w:val="clear" w:color="auto" w:fill="auto"/>
            <w:noWrap/>
            <w:vAlign w:val="center"/>
          </w:tcPr>
          <w:p w14:paraId="1B716B64">
            <w:pPr>
              <w:jc w:val="left"/>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rPr>
              <w:t>龙泉鸿泰植物纤维科技有限公司</w:t>
            </w:r>
          </w:p>
        </w:tc>
        <w:tc>
          <w:tcPr>
            <w:tcW w:w="1189" w:type="dxa"/>
            <w:shd w:val="clear" w:color="auto" w:fill="auto"/>
            <w:noWrap/>
            <w:vAlign w:val="center"/>
          </w:tcPr>
          <w:p w14:paraId="3EC673DB">
            <w:pPr>
              <w:jc w:val="center"/>
              <w:textAlignment w:val="center"/>
              <w:rPr>
                <w:rFonts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kern w:val="0"/>
                <w:sz w:val="20"/>
                <w:szCs w:val="20"/>
              </w:rPr>
              <w:t>开发区</w:t>
            </w:r>
          </w:p>
        </w:tc>
        <w:tc>
          <w:tcPr>
            <w:tcW w:w="2905" w:type="dxa"/>
            <w:shd w:val="clear" w:color="auto" w:fill="auto"/>
            <w:noWrap/>
            <w:vAlign w:val="center"/>
          </w:tcPr>
          <w:p w14:paraId="5CD0D392">
            <w:pPr>
              <w:jc w:val="left"/>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sz w:val="20"/>
                <w:szCs w:val="20"/>
                <w:shd w:val="clear" w:color="auto" w:fill="FFFFFF"/>
              </w:rPr>
              <w:t>植物纤维科技研发；植物纤维玩具胚、木粉、竹粉、竹粉花盘、木塑玩具胚、木塑工艺品、木屑颗粒、竹木制品生产</w:t>
            </w:r>
          </w:p>
        </w:tc>
        <w:tc>
          <w:tcPr>
            <w:tcW w:w="1045" w:type="dxa"/>
            <w:shd w:val="clear" w:color="auto" w:fill="auto"/>
            <w:noWrap/>
            <w:vAlign w:val="center"/>
          </w:tcPr>
          <w:p w14:paraId="1B65F937">
            <w:pPr>
              <w:jc w:val="center"/>
              <w:textAlignment w:val="center"/>
              <w:rPr>
                <w:rFonts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50万</w:t>
            </w:r>
          </w:p>
        </w:tc>
        <w:tc>
          <w:tcPr>
            <w:tcW w:w="1047" w:type="dxa"/>
            <w:shd w:val="clear" w:color="auto" w:fill="auto"/>
            <w:noWrap/>
            <w:vAlign w:val="center"/>
          </w:tcPr>
          <w:p w14:paraId="0A251BFC">
            <w:pPr>
              <w:jc w:val="center"/>
              <w:textAlignment w:val="center"/>
              <w:rPr>
                <w:rFonts w:asciiTheme="minorEastAsia" w:hAnsiTheme="minorEastAsia" w:eastAsiaTheme="minorEastAsia" w:cstheme="minorEastAsia"/>
                <w:color w:val="auto"/>
                <w:kern w:val="0"/>
                <w:sz w:val="20"/>
                <w:szCs w:val="20"/>
              </w:rPr>
            </w:pPr>
          </w:p>
        </w:tc>
      </w:tr>
    </w:tbl>
    <w:p w14:paraId="1C143FAC">
      <w:pPr>
        <w:pStyle w:val="7"/>
        <w:rPr>
          <w:color w:val="auto"/>
        </w:rPr>
      </w:pPr>
    </w:p>
    <w:p w14:paraId="18634CFE">
      <w:pPr>
        <w:rPr>
          <w:color w:val="auto"/>
        </w:rPr>
      </w:pPr>
    </w:p>
    <w:p w14:paraId="33373D74">
      <w:pPr>
        <w:pStyle w:val="2"/>
        <w:rPr>
          <w:color w:val="auto"/>
        </w:rPr>
        <w:sectPr>
          <w:pgSz w:w="11906" w:h="16838"/>
          <w:pgMar w:top="1440" w:right="1800" w:bottom="1440" w:left="1800" w:header="851" w:footer="992" w:gutter="0"/>
          <w:cols w:space="425" w:num="1"/>
          <w:docGrid w:type="lines" w:linePitch="312" w:charSpace="0"/>
        </w:sectPr>
      </w:pPr>
    </w:p>
    <w:p w14:paraId="60E053B1">
      <w:pPr>
        <w:pStyle w:val="2"/>
        <w:rPr>
          <w:color w:val="auto"/>
        </w:rPr>
      </w:pPr>
    </w:p>
    <w:p w14:paraId="6529CD53">
      <w:pPr>
        <w:jc w:val="center"/>
        <w:rPr>
          <w:rFonts w:eastAsia="黑体" w:cs="黑体"/>
          <w:color w:val="auto"/>
          <w:sz w:val="30"/>
          <w:szCs w:val="30"/>
        </w:rPr>
      </w:pPr>
      <w:r>
        <w:rPr>
          <w:rFonts w:hint="eastAsia" w:eastAsia="黑体" w:cs="黑体"/>
          <w:color w:val="auto"/>
          <w:sz w:val="30"/>
          <w:szCs w:val="30"/>
          <w:lang w:eastAsia="zh-CN"/>
        </w:rPr>
        <w:t>2024-2028</w:t>
      </w:r>
      <w:r>
        <w:rPr>
          <w:rFonts w:hint="eastAsia" w:eastAsia="黑体" w:cs="黑体"/>
          <w:color w:val="auto"/>
          <w:sz w:val="30"/>
          <w:szCs w:val="30"/>
        </w:rPr>
        <w:t>年龙泉市竹林道路网建设规划汇总表</w:t>
      </w:r>
    </w:p>
    <w:p w14:paraId="2B7AA381">
      <w:pPr>
        <w:jc w:val="right"/>
        <w:rPr>
          <w:rFonts w:eastAsia="黑体" w:cs="黑体"/>
          <w:color w:val="auto"/>
          <w:sz w:val="30"/>
          <w:szCs w:val="30"/>
        </w:rPr>
      </w:pPr>
      <w:r>
        <w:rPr>
          <w:rFonts w:hint="eastAsia" w:eastAsia="黑体" w:cs="黑体"/>
          <w:color w:val="auto"/>
          <w:sz w:val="30"/>
          <w:szCs w:val="30"/>
        </w:rPr>
        <w:t xml:space="preserve"> 米、立方米、万元、亩</w:t>
      </w:r>
    </w:p>
    <w:tbl>
      <w:tblPr>
        <w:tblStyle w:val="21"/>
        <w:tblW w:w="13797" w:type="dxa"/>
        <w:tblInd w:w="93" w:type="dxa"/>
        <w:tblLayout w:type="autofit"/>
        <w:tblCellMar>
          <w:top w:w="0" w:type="dxa"/>
          <w:left w:w="108" w:type="dxa"/>
          <w:bottom w:w="0" w:type="dxa"/>
          <w:right w:w="108" w:type="dxa"/>
        </w:tblCellMar>
      </w:tblPr>
      <w:tblGrid>
        <w:gridCol w:w="594"/>
        <w:gridCol w:w="880"/>
        <w:gridCol w:w="550"/>
        <w:gridCol w:w="549"/>
        <w:gridCol w:w="900"/>
        <w:gridCol w:w="1164"/>
        <w:gridCol w:w="1164"/>
        <w:gridCol w:w="905"/>
        <w:gridCol w:w="1164"/>
        <w:gridCol w:w="1164"/>
        <w:gridCol w:w="1164"/>
        <w:gridCol w:w="920"/>
        <w:gridCol w:w="905"/>
        <w:gridCol w:w="927"/>
        <w:gridCol w:w="1131"/>
      </w:tblGrid>
      <w:tr w14:paraId="3C2773F5">
        <w:tblPrEx>
          <w:tblCellMar>
            <w:top w:w="0" w:type="dxa"/>
            <w:left w:w="108" w:type="dxa"/>
            <w:bottom w:w="0" w:type="dxa"/>
            <w:right w:w="108" w:type="dxa"/>
          </w:tblCellMar>
        </w:tblPrEx>
        <w:trPr>
          <w:trHeight w:val="468" w:hRule="atLeast"/>
        </w:trPr>
        <w:tc>
          <w:tcPr>
            <w:tcW w:w="698" w:type="dxa"/>
            <w:vMerge w:val="restart"/>
            <w:tcBorders>
              <w:top w:val="single" w:color="auto" w:sz="4" w:space="0"/>
              <w:left w:val="single" w:color="auto" w:sz="4" w:space="0"/>
              <w:bottom w:val="single" w:color="auto" w:sz="4" w:space="0"/>
              <w:right w:val="single" w:color="auto" w:sz="4" w:space="0"/>
            </w:tcBorders>
            <w:noWrap/>
            <w:vAlign w:val="center"/>
          </w:tcPr>
          <w:p w14:paraId="27E77856">
            <w:pPr>
              <w:jc w:val="center"/>
              <w:textAlignment w:val="center"/>
              <w:rPr>
                <w:rFonts w:ascii="宋体" w:hAnsi="宋体" w:cs="宋体"/>
                <w:b/>
                <w:bCs/>
                <w:color w:val="auto"/>
                <w:sz w:val="24"/>
              </w:rPr>
            </w:pPr>
            <w:r>
              <w:rPr>
                <w:rFonts w:hint="eastAsia" w:ascii="宋体" w:hAnsi="宋体" w:cs="宋体"/>
                <w:b/>
                <w:bCs/>
                <w:color w:val="auto"/>
                <w:kern w:val="0"/>
                <w:sz w:val="24"/>
              </w:rPr>
              <w:t>序号</w:t>
            </w:r>
          </w:p>
        </w:tc>
        <w:tc>
          <w:tcPr>
            <w:tcW w:w="1064" w:type="dxa"/>
            <w:vMerge w:val="restart"/>
            <w:tcBorders>
              <w:top w:val="single" w:color="auto" w:sz="4" w:space="0"/>
              <w:left w:val="single" w:color="auto" w:sz="4" w:space="0"/>
              <w:bottom w:val="single" w:color="auto" w:sz="4" w:space="0"/>
              <w:right w:val="single" w:color="auto" w:sz="4" w:space="0"/>
            </w:tcBorders>
            <w:noWrap/>
            <w:vAlign w:val="center"/>
          </w:tcPr>
          <w:p w14:paraId="0981A0C7">
            <w:pPr>
              <w:jc w:val="center"/>
              <w:textAlignment w:val="center"/>
              <w:rPr>
                <w:rFonts w:ascii="宋体" w:hAnsi="宋体" w:cs="宋体"/>
                <w:b/>
                <w:bCs/>
                <w:color w:val="auto"/>
                <w:sz w:val="24"/>
              </w:rPr>
            </w:pPr>
            <w:r>
              <w:rPr>
                <w:rFonts w:hint="eastAsia" w:ascii="宋体" w:hAnsi="宋体" w:cs="宋体"/>
                <w:b/>
                <w:bCs/>
                <w:color w:val="auto"/>
                <w:kern w:val="0"/>
                <w:sz w:val="24"/>
              </w:rPr>
              <w:t>乡镇/街道</w:t>
            </w:r>
          </w:p>
        </w:tc>
        <w:tc>
          <w:tcPr>
            <w:tcW w:w="2372" w:type="dxa"/>
            <w:gridSpan w:val="3"/>
            <w:vMerge w:val="restart"/>
            <w:tcBorders>
              <w:top w:val="single" w:color="auto" w:sz="4" w:space="0"/>
              <w:left w:val="single" w:color="auto" w:sz="4" w:space="0"/>
              <w:bottom w:val="single" w:color="auto" w:sz="4" w:space="0"/>
              <w:right w:val="single" w:color="auto" w:sz="4" w:space="0"/>
            </w:tcBorders>
            <w:noWrap/>
            <w:vAlign w:val="center"/>
          </w:tcPr>
          <w:p w14:paraId="51EB0FE8">
            <w:pPr>
              <w:jc w:val="center"/>
              <w:textAlignment w:val="center"/>
              <w:rPr>
                <w:rFonts w:ascii="宋体" w:hAnsi="宋体" w:cs="宋体"/>
                <w:b/>
                <w:bCs/>
                <w:color w:val="auto"/>
                <w:sz w:val="24"/>
              </w:rPr>
            </w:pPr>
            <w:r>
              <w:rPr>
                <w:rFonts w:hint="eastAsia" w:ascii="宋体" w:hAnsi="宋体" w:cs="宋体"/>
                <w:b/>
                <w:bCs/>
                <w:color w:val="auto"/>
                <w:kern w:val="0"/>
                <w:sz w:val="24"/>
              </w:rPr>
              <w:t>林道数量（条）</w:t>
            </w:r>
          </w:p>
        </w:tc>
        <w:tc>
          <w:tcPr>
            <w:tcW w:w="2499" w:type="dxa"/>
            <w:gridSpan w:val="3"/>
            <w:vMerge w:val="restart"/>
            <w:tcBorders>
              <w:top w:val="single" w:color="auto" w:sz="4" w:space="0"/>
              <w:left w:val="single" w:color="auto" w:sz="4" w:space="0"/>
              <w:bottom w:val="single" w:color="auto" w:sz="4" w:space="0"/>
              <w:right w:val="single" w:color="auto" w:sz="4" w:space="0"/>
            </w:tcBorders>
            <w:noWrap/>
            <w:vAlign w:val="center"/>
          </w:tcPr>
          <w:p w14:paraId="6E4E17F9">
            <w:pPr>
              <w:jc w:val="center"/>
              <w:textAlignment w:val="center"/>
              <w:rPr>
                <w:rFonts w:ascii="宋体" w:hAnsi="宋体" w:cs="宋体"/>
                <w:b/>
                <w:bCs/>
                <w:color w:val="auto"/>
                <w:sz w:val="24"/>
              </w:rPr>
            </w:pPr>
            <w:r>
              <w:rPr>
                <w:rFonts w:hint="eastAsia" w:ascii="宋体" w:hAnsi="宋体" w:cs="宋体"/>
                <w:b/>
                <w:bCs/>
                <w:color w:val="auto"/>
                <w:kern w:val="0"/>
                <w:sz w:val="24"/>
              </w:rPr>
              <w:t>规划长度（千米）</w:t>
            </w:r>
          </w:p>
        </w:tc>
        <w:tc>
          <w:tcPr>
            <w:tcW w:w="2738" w:type="dxa"/>
            <w:gridSpan w:val="3"/>
            <w:vMerge w:val="restart"/>
            <w:tcBorders>
              <w:top w:val="single" w:color="auto" w:sz="4" w:space="0"/>
              <w:left w:val="single" w:color="auto" w:sz="4" w:space="0"/>
              <w:bottom w:val="single" w:color="auto" w:sz="4" w:space="0"/>
              <w:right w:val="single" w:color="auto" w:sz="4" w:space="0"/>
            </w:tcBorders>
            <w:noWrap/>
            <w:vAlign w:val="center"/>
          </w:tcPr>
          <w:p w14:paraId="634FD896">
            <w:pPr>
              <w:jc w:val="center"/>
              <w:textAlignment w:val="center"/>
              <w:rPr>
                <w:rFonts w:ascii="宋体" w:hAnsi="宋体" w:cs="宋体"/>
                <w:b/>
                <w:bCs/>
                <w:color w:val="auto"/>
                <w:sz w:val="24"/>
              </w:rPr>
            </w:pPr>
            <w:r>
              <w:rPr>
                <w:rFonts w:hint="eastAsia" w:ascii="宋体" w:hAnsi="宋体" w:cs="宋体"/>
                <w:b/>
                <w:bCs/>
                <w:color w:val="auto"/>
                <w:kern w:val="0"/>
                <w:sz w:val="24"/>
              </w:rPr>
              <w:t>工程量（立方米）</w:t>
            </w:r>
          </w:p>
        </w:tc>
        <w:tc>
          <w:tcPr>
            <w:tcW w:w="3042" w:type="dxa"/>
            <w:gridSpan w:val="3"/>
            <w:vMerge w:val="restart"/>
            <w:tcBorders>
              <w:top w:val="single" w:color="auto" w:sz="4" w:space="0"/>
              <w:left w:val="single" w:color="auto" w:sz="4" w:space="0"/>
              <w:bottom w:val="single" w:color="auto" w:sz="4" w:space="0"/>
              <w:right w:val="single" w:color="auto" w:sz="4" w:space="0"/>
            </w:tcBorders>
            <w:noWrap/>
            <w:vAlign w:val="center"/>
          </w:tcPr>
          <w:p w14:paraId="52A68BDD">
            <w:pPr>
              <w:jc w:val="center"/>
              <w:textAlignment w:val="center"/>
              <w:rPr>
                <w:rFonts w:ascii="宋体" w:hAnsi="宋体" w:cs="宋体"/>
                <w:b/>
                <w:bCs/>
                <w:color w:val="auto"/>
                <w:sz w:val="24"/>
              </w:rPr>
            </w:pPr>
            <w:r>
              <w:rPr>
                <w:rFonts w:hint="eastAsia" w:ascii="宋体" w:hAnsi="宋体" w:cs="宋体"/>
                <w:b/>
                <w:bCs/>
                <w:color w:val="auto"/>
                <w:kern w:val="0"/>
                <w:sz w:val="24"/>
              </w:rPr>
              <w:t>投资金额（万元）</w:t>
            </w:r>
          </w:p>
        </w:tc>
        <w:tc>
          <w:tcPr>
            <w:tcW w:w="1384" w:type="dxa"/>
            <w:vMerge w:val="restart"/>
            <w:tcBorders>
              <w:top w:val="single" w:color="auto" w:sz="4" w:space="0"/>
              <w:left w:val="single" w:color="auto" w:sz="4" w:space="0"/>
              <w:bottom w:val="single" w:color="auto" w:sz="4" w:space="0"/>
              <w:right w:val="single" w:color="auto" w:sz="4" w:space="0"/>
            </w:tcBorders>
            <w:vAlign w:val="center"/>
          </w:tcPr>
          <w:p w14:paraId="09C3A9D3">
            <w:pPr>
              <w:jc w:val="center"/>
              <w:textAlignment w:val="center"/>
              <w:rPr>
                <w:rFonts w:ascii="宋体" w:hAnsi="宋体" w:cs="宋体"/>
                <w:b/>
                <w:bCs/>
                <w:color w:val="auto"/>
                <w:sz w:val="24"/>
              </w:rPr>
            </w:pPr>
            <w:r>
              <w:rPr>
                <w:rFonts w:hint="eastAsia" w:ascii="宋体" w:hAnsi="宋体" w:cs="宋体"/>
                <w:b/>
                <w:bCs/>
                <w:color w:val="auto"/>
                <w:kern w:val="0"/>
                <w:sz w:val="24"/>
              </w:rPr>
              <w:t>受益竹林面积（亩）</w:t>
            </w:r>
          </w:p>
        </w:tc>
      </w:tr>
      <w:tr w14:paraId="5229F5CA">
        <w:tblPrEx>
          <w:tblCellMar>
            <w:top w:w="0" w:type="dxa"/>
            <w:left w:w="108" w:type="dxa"/>
            <w:bottom w:w="0" w:type="dxa"/>
            <w:right w:w="108" w:type="dxa"/>
          </w:tblCellMar>
        </w:tblPrEx>
        <w:trPr>
          <w:trHeight w:val="468" w:hRule="atLeast"/>
        </w:trPr>
        <w:tc>
          <w:tcPr>
            <w:tcW w:w="698" w:type="dxa"/>
            <w:vMerge w:val="continue"/>
            <w:tcBorders>
              <w:top w:val="single" w:color="auto" w:sz="4" w:space="0"/>
              <w:left w:val="single" w:color="auto" w:sz="4" w:space="0"/>
              <w:bottom w:val="single" w:color="auto" w:sz="4" w:space="0"/>
              <w:right w:val="single" w:color="auto" w:sz="4" w:space="0"/>
            </w:tcBorders>
            <w:noWrap/>
            <w:vAlign w:val="center"/>
          </w:tcPr>
          <w:p w14:paraId="48F685B4">
            <w:pPr>
              <w:jc w:val="center"/>
              <w:rPr>
                <w:rFonts w:ascii="宋体" w:hAnsi="宋体" w:cs="宋体"/>
                <w:b/>
                <w:bCs/>
                <w:color w:val="auto"/>
                <w:sz w:val="24"/>
              </w:rPr>
            </w:pPr>
          </w:p>
        </w:tc>
        <w:tc>
          <w:tcPr>
            <w:tcW w:w="1064" w:type="dxa"/>
            <w:vMerge w:val="continue"/>
            <w:tcBorders>
              <w:top w:val="single" w:color="auto" w:sz="4" w:space="0"/>
              <w:left w:val="single" w:color="auto" w:sz="4" w:space="0"/>
              <w:bottom w:val="single" w:color="auto" w:sz="4" w:space="0"/>
              <w:right w:val="single" w:color="auto" w:sz="4" w:space="0"/>
            </w:tcBorders>
            <w:noWrap/>
            <w:vAlign w:val="center"/>
          </w:tcPr>
          <w:p w14:paraId="7DB0E3C3">
            <w:pPr>
              <w:jc w:val="center"/>
              <w:rPr>
                <w:rFonts w:ascii="宋体" w:hAnsi="宋体" w:cs="宋体"/>
                <w:b/>
                <w:bCs/>
                <w:color w:val="auto"/>
                <w:sz w:val="24"/>
              </w:rPr>
            </w:pPr>
          </w:p>
        </w:tc>
        <w:tc>
          <w:tcPr>
            <w:tcW w:w="2372" w:type="dxa"/>
            <w:gridSpan w:val="3"/>
            <w:vMerge w:val="continue"/>
            <w:tcBorders>
              <w:top w:val="single" w:color="auto" w:sz="4" w:space="0"/>
              <w:left w:val="single" w:color="auto" w:sz="4" w:space="0"/>
              <w:bottom w:val="single" w:color="auto" w:sz="4" w:space="0"/>
              <w:right w:val="single" w:color="auto" w:sz="4" w:space="0"/>
            </w:tcBorders>
            <w:noWrap/>
            <w:vAlign w:val="center"/>
          </w:tcPr>
          <w:p w14:paraId="25AEF189">
            <w:pPr>
              <w:jc w:val="center"/>
              <w:rPr>
                <w:rFonts w:ascii="宋体" w:hAnsi="宋体" w:cs="宋体"/>
                <w:b/>
                <w:bCs/>
                <w:color w:val="auto"/>
                <w:sz w:val="24"/>
              </w:rPr>
            </w:pPr>
          </w:p>
        </w:tc>
        <w:tc>
          <w:tcPr>
            <w:tcW w:w="2499" w:type="dxa"/>
            <w:gridSpan w:val="3"/>
            <w:vMerge w:val="continue"/>
            <w:tcBorders>
              <w:top w:val="single" w:color="auto" w:sz="4" w:space="0"/>
              <w:left w:val="single" w:color="auto" w:sz="4" w:space="0"/>
              <w:bottom w:val="single" w:color="auto" w:sz="4" w:space="0"/>
              <w:right w:val="single" w:color="auto" w:sz="4" w:space="0"/>
            </w:tcBorders>
            <w:noWrap/>
            <w:vAlign w:val="center"/>
          </w:tcPr>
          <w:p w14:paraId="57E1FD56">
            <w:pPr>
              <w:jc w:val="center"/>
              <w:rPr>
                <w:rFonts w:ascii="宋体" w:hAnsi="宋体" w:cs="宋体"/>
                <w:b/>
                <w:bCs/>
                <w:color w:val="auto"/>
                <w:sz w:val="24"/>
              </w:rPr>
            </w:pPr>
          </w:p>
        </w:tc>
        <w:tc>
          <w:tcPr>
            <w:tcW w:w="2738" w:type="dxa"/>
            <w:gridSpan w:val="3"/>
            <w:vMerge w:val="continue"/>
            <w:tcBorders>
              <w:top w:val="single" w:color="auto" w:sz="4" w:space="0"/>
              <w:left w:val="single" w:color="auto" w:sz="4" w:space="0"/>
              <w:bottom w:val="single" w:color="auto" w:sz="4" w:space="0"/>
              <w:right w:val="single" w:color="auto" w:sz="4" w:space="0"/>
            </w:tcBorders>
            <w:noWrap/>
            <w:vAlign w:val="center"/>
          </w:tcPr>
          <w:p w14:paraId="2693A225">
            <w:pPr>
              <w:jc w:val="center"/>
              <w:rPr>
                <w:rFonts w:ascii="宋体" w:hAnsi="宋体" w:cs="宋体"/>
                <w:b/>
                <w:bCs/>
                <w:color w:val="auto"/>
                <w:sz w:val="24"/>
              </w:rPr>
            </w:pPr>
          </w:p>
        </w:tc>
        <w:tc>
          <w:tcPr>
            <w:tcW w:w="3042" w:type="dxa"/>
            <w:gridSpan w:val="3"/>
            <w:vMerge w:val="continue"/>
            <w:tcBorders>
              <w:top w:val="single" w:color="auto" w:sz="4" w:space="0"/>
              <w:left w:val="single" w:color="auto" w:sz="4" w:space="0"/>
              <w:bottom w:val="single" w:color="auto" w:sz="4" w:space="0"/>
              <w:right w:val="single" w:color="auto" w:sz="4" w:space="0"/>
            </w:tcBorders>
            <w:noWrap/>
            <w:vAlign w:val="center"/>
          </w:tcPr>
          <w:p w14:paraId="3F85A49B">
            <w:pPr>
              <w:jc w:val="center"/>
              <w:rPr>
                <w:rFonts w:ascii="宋体" w:hAnsi="宋体" w:cs="宋体"/>
                <w:b/>
                <w:bCs/>
                <w:color w:val="auto"/>
                <w:sz w:val="24"/>
              </w:rPr>
            </w:pPr>
          </w:p>
        </w:tc>
        <w:tc>
          <w:tcPr>
            <w:tcW w:w="1384" w:type="dxa"/>
            <w:vMerge w:val="continue"/>
            <w:tcBorders>
              <w:top w:val="single" w:color="auto" w:sz="4" w:space="0"/>
              <w:left w:val="single" w:color="auto" w:sz="4" w:space="0"/>
              <w:bottom w:val="single" w:color="auto" w:sz="4" w:space="0"/>
              <w:right w:val="single" w:color="auto" w:sz="4" w:space="0"/>
            </w:tcBorders>
            <w:vAlign w:val="center"/>
          </w:tcPr>
          <w:p w14:paraId="3D83B1C9">
            <w:pPr>
              <w:jc w:val="center"/>
              <w:rPr>
                <w:rFonts w:ascii="宋体" w:hAnsi="宋体" w:cs="宋体"/>
                <w:b/>
                <w:bCs/>
                <w:color w:val="auto"/>
                <w:sz w:val="24"/>
              </w:rPr>
            </w:pPr>
          </w:p>
        </w:tc>
      </w:tr>
      <w:tr w14:paraId="569BE24B">
        <w:tblPrEx>
          <w:tblCellMar>
            <w:top w:w="0" w:type="dxa"/>
            <w:left w:w="108" w:type="dxa"/>
            <w:bottom w:w="0" w:type="dxa"/>
            <w:right w:w="108" w:type="dxa"/>
          </w:tblCellMar>
        </w:tblPrEx>
        <w:trPr>
          <w:trHeight w:val="424" w:hRule="atLeast"/>
        </w:trPr>
        <w:tc>
          <w:tcPr>
            <w:tcW w:w="698" w:type="dxa"/>
            <w:vMerge w:val="continue"/>
            <w:tcBorders>
              <w:top w:val="single" w:color="auto" w:sz="4" w:space="0"/>
              <w:left w:val="single" w:color="auto" w:sz="4" w:space="0"/>
              <w:bottom w:val="single" w:color="auto" w:sz="4" w:space="0"/>
              <w:right w:val="single" w:color="auto" w:sz="4" w:space="0"/>
            </w:tcBorders>
            <w:noWrap/>
            <w:vAlign w:val="center"/>
          </w:tcPr>
          <w:p w14:paraId="3C81F163">
            <w:pPr>
              <w:jc w:val="center"/>
              <w:rPr>
                <w:rFonts w:ascii="宋体" w:hAnsi="宋体" w:cs="宋体"/>
                <w:b/>
                <w:bCs/>
                <w:color w:val="auto"/>
                <w:sz w:val="24"/>
              </w:rPr>
            </w:pPr>
          </w:p>
        </w:tc>
        <w:tc>
          <w:tcPr>
            <w:tcW w:w="1064" w:type="dxa"/>
            <w:vMerge w:val="continue"/>
            <w:tcBorders>
              <w:top w:val="single" w:color="auto" w:sz="4" w:space="0"/>
              <w:left w:val="single" w:color="auto" w:sz="4" w:space="0"/>
              <w:bottom w:val="single" w:color="auto" w:sz="4" w:space="0"/>
              <w:right w:val="single" w:color="auto" w:sz="4" w:space="0"/>
            </w:tcBorders>
            <w:noWrap/>
            <w:vAlign w:val="center"/>
          </w:tcPr>
          <w:p w14:paraId="1566C15F">
            <w:pPr>
              <w:jc w:val="center"/>
              <w:rPr>
                <w:rFonts w:ascii="宋体" w:hAnsi="宋体" w:cs="宋体"/>
                <w:b/>
                <w:bCs/>
                <w:color w:val="auto"/>
                <w:sz w:val="24"/>
              </w:rPr>
            </w:pPr>
          </w:p>
        </w:tc>
        <w:tc>
          <w:tcPr>
            <w:tcW w:w="642" w:type="dxa"/>
            <w:vMerge w:val="restart"/>
            <w:tcBorders>
              <w:top w:val="nil"/>
              <w:left w:val="single" w:color="auto" w:sz="4" w:space="0"/>
              <w:bottom w:val="single" w:color="auto" w:sz="4" w:space="0"/>
              <w:right w:val="single" w:color="auto" w:sz="4" w:space="0"/>
            </w:tcBorders>
            <w:noWrap/>
            <w:vAlign w:val="center"/>
          </w:tcPr>
          <w:p w14:paraId="7403F0DF">
            <w:pPr>
              <w:jc w:val="center"/>
              <w:textAlignment w:val="center"/>
              <w:rPr>
                <w:rFonts w:ascii="宋体" w:hAnsi="宋体" w:cs="宋体"/>
                <w:b/>
                <w:bCs/>
                <w:color w:val="auto"/>
                <w:sz w:val="24"/>
              </w:rPr>
            </w:pPr>
            <w:r>
              <w:rPr>
                <w:rFonts w:hint="eastAsia" w:ascii="宋体" w:hAnsi="宋体" w:cs="宋体"/>
                <w:b/>
                <w:bCs/>
                <w:color w:val="auto"/>
                <w:kern w:val="0"/>
                <w:sz w:val="24"/>
              </w:rPr>
              <w:t>小计</w:t>
            </w:r>
          </w:p>
        </w:tc>
        <w:tc>
          <w:tcPr>
            <w:tcW w:w="1730" w:type="dxa"/>
            <w:gridSpan w:val="2"/>
            <w:tcBorders>
              <w:top w:val="single" w:color="auto" w:sz="4" w:space="0"/>
              <w:left w:val="nil"/>
              <w:bottom w:val="single" w:color="auto" w:sz="4" w:space="0"/>
              <w:right w:val="single" w:color="auto" w:sz="4" w:space="0"/>
            </w:tcBorders>
            <w:noWrap/>
            <w:vAlign w:val="center"/>
          </w:tcPr>
          <w:p w14:paraId="7C91322F">
            <w:pPr>
              <w:jc w:val="center"/>
              <w:textAlignment w:val="center"/>
              <w:rPr>
                <w:rFonts w:ascii="宋体" w:hAnsi="宋体" w:cs="宋体"/>
                <w:color w:val="auto"/>
                <w:sz w:val="22"/>
                <w:szCs w:val="22"/>
              </w:rPr>
            </w:pPr>
            <w:r>
              <w:rPr>
                <w:rFonts w:hint="eastAsia" w:ascii="宋体" w:hAnsi="宋体" w:cs="宋体"/>
                <w:color w:val="auto"/>
                <w:kern w:val="0"/>
                <w:sz w:val="22"/>
                <w:szCs w:val="22"/>
              </w:rPr>
              <w:t>其中</w:t>
            </w:r>
          </w:p>
        </w:tc>
        <w:tc>
          <w:tcPr>
            <w:tcW w:w="764" w:type="dxa"/>
            <w:vMerge w:val="restart"/>
            <w:tcBorders>
              <w:top w:val="nil"/>
              <w:left w:val="single" w:color="auto" w:sz="4" w:space="0"/>
              <w:bottom w:val="single" w:color="auto" w:sz="4" w:space="0"/>
              <w:right w:val="single" w:color="auto" w:sz="4" w:space="0"/>
            </w:tcBorders>
            <w:noWrap/>
            <w:vAlign w:val="center"/>
          </w:tcPr>
          <w:p w14:paraId="71E0B50D">
            <w:pPr>
              <w:jc w:val="center"/>
              <w:textAlignment w:val="center"/>
              <w:rPr>
                <w:rFonts w:ascii="宋体" w:hAnsi="宋体" w:cs="宋体"/>
                <w:b/>
                <w:bCs/>
                <w:color w:val="auto"/>
                <w:sz w:val="24"/>
              </w:rPr>
            </w:pPr>
            <w:r>
              <w:rPr>
                <w:rFonts w:hint="eastAsia" w:ascii="宋体" w:hAnsi="宋体" w:cs="宋体"/>
                <w:b/>
                <w:bCs/>
                <w:color w:val="auto"/>
                <w:kern w:val="0"/>
                <w:sz w:val="24"/>
              </w:rPr>
              <w:t>小计</w:t>
            </w:r>
          </w:p>
        </w:tc>
        <w:tc>
          <w:tcPr>
            <w:tcW w:w="1735" w:type="dxa"/>
            <w:gridSpan w:val="2"/>
            <w:tcBorders>
              <w:top w:val="single" w:color="auto" w:sz="4" w:space="0"/>
              <w:left w:val="nil"/>
              <w:bottom w:val="single" w:color="auto" w:sz="4" w:space="0"/>
              <w:right w:val="single" w:color="auto" w:sz="4" w:space="0"/>
            </w:tcBorders>
            <w:noWrap/>
            <w:vAlign w:val="center"/>
          </w:tcPr>
          <w:p w14:paraId="0BF19B4B">
            <w:pPr>
              <w:jc w:val="center"/>
              <w:textAlignment w:val="center"/>
              <w:rPr>
                <w:rFonts w:ascii="宋体" w:hAnsi="宋体" w:cs="宋体"/>
                <w:color w:val="auto"/>
                <w:sz w:val="22"/>
                <w:szCs w:val="22"/>
              </w:rPr>
            </w:pPr>
            <w:r>
              <w:rPr>
                <w:rFonts w:hint="eastAsia" w:ascii="宋体" w:hAnsi="宋体" w:cs="宋体"/>
                <w:color w:val="auto"/>
                <w:kern w:val="0"/>
                <w:sz w:val="22"/>
                <w:szCs w:val="22"/>
              </w:rPr>
              <w:t>其中</w:t>
            </w:r>
          </w:p>
        </w:tc>
        <w:tc>
          <w:tcPr>
            <w:tcW w:w="878" w:type="dxa"/>
            <w:vMerge w:val="restart"/>
            <w:tcBorders>
              <w:top w:val="nil"/>
              <w:left w:val="single" w:color="auto" w:sz="4" w:space="0"/>
              <w:bottom w:val="single" w:color="auto" w:sz="4" w:space="0"/>
              <w:right w:val="single" w:color="auto" w:sz="4" w:space="0"/>
            </w:tcBorders>
            <w:noWrap/>
            <w:vAlign w:val="center"/>
          </w:tcPr>
          <w:p w14:paraId="04F14111">
            <w:pPr>
              <w:jc w:val="center"/>
              <w:textAlignment w:val="center"/>
              <w:rPr>
                <w:rFonts w:ascii="宋体" w:hAnsi="宋体" w:cs="宋体"/>
                <w:b/>
                <w:bCs/>
                <w:color w:val="auto"/>
                <w:sz w:val="24"/>
              </w:rPr>
            </w:pPr>
            <w:r>
              <w:rPr>
                <w:rFonts w:hint="eastAsia" w:ascii="宋体" w:hAnsi="宋体" w:cs="宋体"/>
                <w:b/>
                <w:bCs/>
                <w:color w:val="auto"/>
                <w:kern w:val="0"/>
                <w:sz w:val="24"/>
              </w:rPr>
              <w:t>小计</w:t>
            </w:r>
          </w:p>
        </w:tc>
        <w:tc>
          <w:tcPr>
            <w:tcW w:w="1860" w:type="dxa"/>
            <w:gridSpan w:val="2"/>
            <w:tcBorders>
              <w:top w:val="single" w:color="auto" w:sz="4" w:space="0"/>
              <w:left w:val="nil"/>
              <w:bottom w:val="single" w:color="auto" w:sz="4" w:space="0"/>
              <w:right w:val="single" w:color="auto" w:sz="4" w:space="0"/>
            </w:tcBorders>
            <w:noWrap/>
            <w:vAlign w:val="center"/>
          </w:tcPr>
          <w:p w14:paraId="6867B3D3">
            <w:pPr>
              <w:jc w:val="center"/>
              <w:textAlignment w:val="center"/>
              <w:rPr>
                <w:rFonts w:ascii="宋体" w:hAnsi="宋体" w:cs="宋体"/>
                <w:color w:val="auto"/>
                <w:sz w:val="22"/>
                <w:szCs w:val="22"/>
              </w:rPr>
            </w:pPr>
            <w:r>
              <w:rPr>
                <w:rFonts w:hint="eastAsia" w:ascii="宋体" w:hAnsi="宋体" w:cs="宋体"/>
                <w:color w:val="auto"/>
                <w:kern w:val="0"/>
                <w:sz w:val="22"/>
                <w:szCs w:val="22"/>
              </w:rPr>
              <w:t>其中</w:t>
            </w:r>
          </w:p>
        </w:tc>
        <w:tc>
          <w:tcPr>
            <w:tcW w:w="1115" w:type="dxa"/>
            <w:vMerge w:val="restart"/>
            <w:tcBorders>
              <w:top w:val="nil"/>
              <w:left w:val="single" w:color="auto" w:sz="4" w:space="0"/>
              <w:bottom w:val="single" w:color="auto" w:sz="4" w:space="0"/>
              <w:right w:val="single" w:color="auto" w:sz="4" w:space="0"/>
            </w:tcBorders>
            <w:noWrap/>
            <w:vAlign w:val="center"/>
          </w:tcPr>
          <w:p w14:paraId="2823F579">
            <w:pPr>
              <w:jc w:val="center"/>
              <w:textAlignment w:val="center"/>
              <w:rPr>
                <w:rFonts w:ascii="宋体" w:hAnsi="宋体" w:cs="宋体"/>
                <w:b/>
                <w:bCs/>
                <w:color w:val="auto"/>
                <w:sz w:val="24"/>
              </w:rPr>
            </w:pPr>
            <w:r>
              <w:rPr>
                <w:rFonts w:hint="eastAsia" w:ascii="宋体" w:hAnsi="宋体" w:cs="宋体"/>
                <w:b/>
                <w:bCs/>
                <w:color w:val="auto"/>
                <w:kern w:val="0"/>
                <w:sz w:val="24"/>
              </w:rPr>
              <w:t>小计</w:t>
            </w:r>
          </w:p>
        </w:tc>
        <w:tc>
          <w:tcPr>
            <w:tcW w:w="1927" w:type="dxa"/>
            <w:gridSpan w:val="2"/>
            <w:tcBorders>
              <w:top w:val="single" w:color="auto" w:sz="4" w:space="0"/>
              <w:left w:val="nil"/>
              <w:bottom w:val="single" w:color="auto" w:sz="4" w:space="0"/>
              <w:right w:val="single" w:color="auto" w:sz="4" w:space="0"/>
            </w:tcBorders>
            <w:noWrap/>
            <w:vAlign w:val="center"/>
          </w:tcPr>
          <w:p w14:paraId="4D270716">
            <w:pPr>
              <w:jc w:val="center"/>
              <w:textAlignment w:val="center"/>
              <w:rPr>
                <w:rFonts w:ascii="宋体" w:hAnsi="宋体" w:cs="宋体"/>
                <w:color w:val="auto"/>
                <w:sz w:val="22"/>
                <w:szCs w:val="22"/>
              </w:rPr>
            </w:pPr>
            <w:r>
              <w:rPr>
                <w:rFonts w:hint="eastAsia" w:ascii="宋体" w:hAnsi="宋体" w:cs="宋体"/>
                <w:color w:val="auto"/>
                <w:kern w:val="0"/>
                <w:sz w:val="22"/>
                <w:szCs w:val="22"/>
              </w:rPr>
              <w:t>其中</w:t>
            </w:r>
          </w:p>
        </w:tc>
        <w:tc>
          <w:tcPr>
            <w:tcW w:w="1384" w:type="dxa"/>
            <w:vMerge w:val="continue"/>
            <w:tcBorders>
              <w:top w:val="single" w:color="auto" w:sz="4" w:space="0"/>
              <w:left w:val="single" w:color="auto" w:sz="4" w:space="0"/>
              <w:bottom w:val="single" w:color="auto" w:sz="4" w:space="0"/>
              <w:right w:val="single" w:color="auto" w:sz="4" w:space="0"/>
            </w:tcBorders>
            <w:vAlign w:val="center"/>
          </w:tcPr>
          <w:p w14:paraId="69FE7DB1">
            <w:pPr>
              <w:jc w:val="center"/>
              <w:rPr>
                <w:rFonts w:ascii="宋体" w:hAnsi="宋体" w:cs="宋体"/>
                <w:b/>
                <w:bCs/>
                <w:color w:val="auto"/>
                <w:sz w:val="24"/>
              </w:rPr>
            </w:pPr>
          </w:p>
        </w:tc>
      </w:tr>
      <w:tr w14:paraId="18B1A1B7">
        <w:tblPrEx>
          <w:tblCellMar>
            <w:top w:w="0" w:type="dxa"/>
            <w:left w:w="108" w:type="dxa"/>
            <w:bottom w:w="0" w:type="dxa"/>
            <w:right w:w="108" w:type="dxa"/>
          </w:tblCellMar>
        </w:tblPrEx>
        <w:trPr>
          <w:trHeight w:val="424" w:hRule="atLeast"/>
        </w:trPr>
        <w:tc>
          <w:tcPr>
            <w:tcW w:w="698" w:type="dxa"/>
            <w:vMerge w:val="continue"/>
            <w:tcBorders>
              <w:top w:val="single" w:color="auto" w:sz="4" w:space="0"/>
              <w:left w:val="single" w:color="auto" w:sz="4" w:space="0"/>
              <w:bottom w:val="single" w:color="auto" w:sz="4" w:space="0"/>
              <w:right w:val="single" w:color="auto" w:sz="4" w:space="0"/>
            </w:tcBorders>
            <w:noWrap/>
            <w:vAlign w:val="center"/>
          </w:tcPr>
          <w:p w14:paraId="37F29C6D">
            <w:pPr>
              <w:jc w:val="center"/>
              <w:rPr>
                <w:rFonts w:ascii="宋体" w:hAnsi="宋体" w:cs="宋体"/>
                <w:b/>
                <w:bCs/>
                <w:color w:val="auto"/>
                <w:sz w:val="24"/>
              </w:rPr>
            </w:pPr>
          </w:p>
        </w:tc>
        <w:tc>
          <w:tcPr>
            <w:tcW w:w="1064" w:type="dxa"/>
            <w:vMerge w:val="continue"/>
            <w:tcBorders>
              <w:top w:val="single" w:color="auto" w:sz="4" w:space="0"/>
              <w:left w:val="single" w:color="auto" w:sz="4" w:space="0"/>
              <w:bottom w:val="single" w:color="auto" w:sz="4" w:space="0"/>
              <w:right w:val="single" w:color="auto" w:sz="4" w:space="0"/>
            </w:tcBorders>
            <w:noWrap/>
            <w:vAlign w:val="center"/>
          </w:tcPr>
          <w:p w14:paraId="1AA9A917">
            <w:pPr>
              <w:jc w:val="center"/>
              <w:rPr>
                <w:rFonts w:ascii="宋体" w:hAnsi="宋体" w:cs="宋体"/>
                <w:b/>
                <w:bCs/>
                <w:color w:val="auto"/>
                <w:sz w:val="24"/>
              </w:rPr>
            </w:pPr>
          </w:p>
        </w:tc>
        <w:tc>
          <w:tcPr>
            <w:tcW w:w="642" w:type="dxa"/>
            <w:vMerge w:val="continue"/>
            <w:tcBorders>
              <w:top w:val="nil"/>
              <w:left w:val="single" w:color="auto" w:sz="4" w:space="0"/>
              <w:bottom w:val="single" w:color="auto" w:sz="4" w:space="0"/>
              <w:right w:val="single" w:color="auto" w:sz="4" w:space="0"/>
            </w:tcBorders>
            <w:noWrap/>
            <w:vAlign w:val="center"/>
          </w:tcPr>
          <w:p w14:paraId="1EB2F496">
            <w:pPr>
              <w:jc w:val="center"/>
              <w:rPr>
                <w:rFonts w:ascii="宋体" w:hAnsi="宋体" w:cs="宋体"/>
                <w:b/>
                <w:bCs/>
                <w:color w:val="auto"/>
                <w:sz w:val="24"/>
              </w:rPr>
            </w:pPr>
          </w:p>
        </w:tc>
        <w:tc>
          <w:tcPr>
            <w:tcW w:w="641" w:type="dxa"/>
            <w:tcBorders>
              <w:top w:val="nil"/>
              <w:left w:val="nil"/>
              <w:bottom w:val="single" w:color="auto" w:sz="4" w:space="0"/>
              <w:right w:val="single" w:color="auto" w:sz="4" w:space="0"/>
            </w:tcBorders>
            <w:noWrap/>
            <w:vAlign w:val="center"/>
          </w:tcPr>
          <w:p w14:paraId="16E4055C">
            <w:pPr>
              <w:jc w:val="center"/>
              <w:textAlignment w:val="center"/>
              <w:rPr>
                <w:rFonts w:ascii="宋体" w:hAnsi="宋体" w:cs="宋体"/>
                <w:b/>
                <w:bCs/>
                <w:color w:val="auto"/>
                <w:sz w:val="24"/>
              </w:rPr>
            </w:pPr>
            <w:r>
              <w:rPr>
                <w:rFonts w:hint="eastAsia" w:ascii="宋体" w:hAnsi="宋体" w:cs="宋体"/>
                <w:b/>
                <w:bCs/>
                <w:color w:val="auto"/>
                <w:kern w:val="0"/>
                <w:sz w:val="24"/>
              </w:rPr>
              <w:t>新建</w:t>
            </w:r>
          </w:p>
        </w:tc>
        <w:tc>
          <w:tcPr>
            <w:tcW w:w="1089" w:type="dxa"/>
            <w:tcBorders>
              <w:top w:val="nil"/>
              <w:left w:val="nil"/>
              <w:bottom w:val="single" w:color="auto" w:sz="4" w:space="0"/>
              <w:right w:val="single" w:color="auto" w:sz="4" w:space="0"/>
            </w:tcBorders>
            <w:noWrap/>
            <w:vAlign w:val="center"/>
          </w:tcPr>
          <w:p w14:paraId="474E6939">
            <w:pPr>
              <w:jc w:val="center"/>
              <w:textAlignment w:val="center"/>
              <w:rPr>
                <w:rFonts w:ascii="宋体" w:hAnsi="宋体" w:cs="宋体"/>
                <w:b/>
                <w:bCs/>
                <w:color w:val="auto"/>
                <w:sz w:val="24"/>
              </w:rPr>
            </w:pPr>
            <w:r>
              <w:rPr>
                <w:rFonts w:hint="eastAsia" w:ascii="宋体" w:hAnsi="宋体" w:cs="宋体"/>
                <w:b/>
                <w:bCs/>
                <w:color w:val="auto"/>
                <w:kern w:val="0"/>
                <w:sz w:val="24"/>
              </w:rPr>
              <w:t>改建硬化</w:t>
            </w:r>
          </w:p>
        </w:tc>
        <w:tc>
          <w:tcPr>
            <w:tcW w:w="764" w:type="dxa"/>
            <w:vMerge w:val="continue"/>
            <w:tcBorders>
              <w:top w:val="nil"/>
              <w:left w:val="single" w:color="auto" w:sz="4" w:space="0"/>
              <w:bottom w:val="single" w:color="auto" w:sz="4" w:space="0"/>
              <w:right w:val="single" w:color="auto" w:sz="4" w:space="0"/>
            </w:tcBorders>
            <w:noWrap/>
            <w:vAlign w:val="center"/>
          </w:tcPr>
          <w:p w14:paraId="75F78C85">
            <w:pPr>
              <w:jc w:val="center"/>
              <w:rPr>
                <w:rFonts w:ascii="宋体" w:hAnsi="宋体" w:cs="宋体"/>
                <w:b/>
                <w:bCs/>
                <w:color w:val="auto"/>
                <w:sz w:val="24"/>
              </w:rPr>
            </w:pPr>
          </w:p>
        </w:tc>
        <w:tc>
          <w:tcPr>
            <w:tcW w:w="706" w:type="dxa"/>
            <w:tcBorders>
              <w:top w:val="nil"/>
              <w:left w:val="nil"/>
              <w:bottom w:val="single" w:color="auto" w:sz="4" w:space="0"/>
              <w:right w:val="single" w:color="auto" w:sz="4" w:space="0"/>
            </w:tcBorders>
            <w:noWrap/>
            <w:vAlign w:val="center"/>
          </w:tcPr>
          <w:p w14:paraId="6F7C3E8D">
            <w:pPr>
              <w:jc w:val="center"/>
              <w:textAlignment w:val="center"/>
              <w:rPr>
                <w:rFonts w:ascii="宋体" w:hAnsi="宋体" w:cs="宋体"/>
                <w:b/>
                <w:bCs/>
                <w:color w:val="auto"/>
                <w:sz w:val="24"/>
              </w:rPr>
            </w:pPr>
            <w:r>
              <w:rPr>
                <w:rFonts w:hint="eastAsia" w:ascii="宋体" w:hAnsi="宋体" w:cs="宋体"/>
                <w:b/>
                <w:bCs/>
                <w:color w:val="auto"/>
                <w:kern w:val="0"/>
                <w:sz w:val="24"/>
              </w:rPr>
              <w:t>新建</w:t>
            </w:r>
          </w:p>
        </w:tc>
        <w:tc>
          <w:tcPr>
            <w:tcW w:w="1029" w:type="dxa"/>
            <w:tcBorders>
              <w:top w:val="nil"/>
              <w:left w:val="nil"/>
              <w:bottom w:val="single" w:color="auto" w:sz="4" w:space="0"/>
              <w:right w:val="single" w:color="auto" w:sz="4" w:space="0"/>
            </w:tcBorders>
            <w:noWrap/>
            <w:vAlign w:val="center"/>
          </w:tcPr>
          <w:p w14:paraId="2F97B37C">
            <w:pPr>
              <w:jc w:val="center"/>
              <w:textAlignment w:val="center"/>
              <w:rPr>
                <w:rFonts w:ascii="宋体" w:hAnsi="宋体" w:cs="宋体"/>
                <w:b/>
                <w:bCs/>
                <w:color w:val="auto"/>
                <w:sz w:val="24"/>
              </w:rPr>
            </w:pPr>
            <w:r>
              <w:rPr>
                <w:rFonts w:hint="eastAsia" w:ascii="宋体" w:hAnsi="宋体" w:cs="宋体"/>
                <w:b/>
                <w:bCs/>
                <w:color w:val="auto"/>
                <w:kern w:val="0"/>
                <w:sz w:val="24"/>
              </w:rPr>
              <w:t>改建硬化</w:t>
            </w:r>
          </w:p>
        </w:tc>
        <w:tc>
          <w:tcPr>
            <w:tcW w:w="878" w:type="dxa"/>
            <w:vMerge w:val="continue"/>
            <w:tcBorders>
              <w:top w:val="nil"/>
              <w:left w:val="single" w:color="auto" w:sz="4" w:space="0"/>
              <w:bottom w:val="single" w:color="auto" w:sz="4" w:space="0"/>
              <w:right w:val="single" w:color="auto" w:sz="4" w:space="0"/>
            </w:tcBorders>
            <w:noWrap/>
            <w:vAlign w:val="center"/>
          </w:tcPr>
          <w:p w14:paraId="66214302">
            <w:pPr>
              <w:jc w:val="center"/>
              <w:rPr>
                <w:rFonts w:ascii="宋体" w:hAnsi="宋体" w:cs="宋体"/>
                <w:b/>
                <w:bCs/>
                <w:color w:val="auto"/>
                <w:sz w:val="24"/>
              </w:rPr>
            </w:pPr>
          </w:p>
        </w:tc>
        <w:tc>
          <w:tcPr>
            <w:tcW w:w="878" w:type="dxa"/>
            <w:tcBorders>
              <w:top w:val="nil"/>
              <w:left w:val="nil"/>
              <w:bottom w:val="single" w:color="auto" w:sz="4" w:space="0"/>
              <w:right w:val="single" w:color="auto" w:sz="4" w:space="0"/>
            </w:tcBorders>
            <w:noWrap/>
            <w:vAlign w:val="center"/>
          </w:tcPr>
          <w:p w14:paraId="29EC7CF1">
            <w:pPr>
              <w:jc w:val="center"/>
              <w:textAlignment w:val="center"/>
              <w:rPr>
                <w:rFonts w:ascii="宋体" w:hAnsi="宋体" w:cs="宋体"/>
                <w:b/>
                <w:bCs/>
                <w:color w:val="auto"/>
                <w:sz w:val="24"/>
              </w:rPr>
            </w:pPr>
            <w:r>
              <w:rPr>
                <w:rFonts w:hint="eastAsia" w:ascii="宋体" w:hAnsi="宋体" w:cs="宋体"/>
                <w:b/>
                <w:bCs/>
                <w:color w:val="auto"/>
                <w:kern w:val="0"/>
                <w:sz w:val="24"/>
              </w:rPr>
              <w:t>新建</w:t>
            </w:r>
          </w:p>
        </w:tc>
        <w:tc>
          <w:tcPr>
            <w:tcW w:w="982" w:type="dxa"/>
            <w:tcBorders>
              <w:top w:val="nil"/>
              <w:left w:val="nil"/>
              <w:bottom w:val="single" w:color="auto" w:sz="4" w:space="0"/>
              <w:right w:val="single" w:color="auto" w:sz="4" w:space="0"/>
            </w:tcBorders>
            <w:noWrap/>
            <w:vAlign w:val="center"/>
          </w:tcPr>
          <w:p w14:paraId="7F024DF5">
            <w:pPr>
              <w:jc w:val="center"/>
              <w:textAlignment w:val="center"/>
              <w:rPr>
                <w:rFonts w:ascii="宋体" w:hAnsi="宋体" w:cs="宋体"/>
                <w:b/>
                <w:bCs/>
                <w:color w:val="auto"/>
                <w:sz w:val="24"/>
              </w:rPr>
            </w:pPr>
            <w:r>
              <w:rPr>
                <w:rFonts w:hint="eastAsia" w:ascii="宋体" w:hAnsi="宋体" w:cs="宋体"/>
                <w:b/>
                <w:bCs/>
                <w:color w:val="auto"/>
                <w:kern w:val="0"/>
                <w:sz w:val="24"/>
              </w:rPr>
              <w:t>改建硬化</w:t>
            </w:r>
          </w:p>
        </w:tc>
        <w:tc>
          <w:tcPr>
            <w:tcW w:w="1115" w:type="dxa"/>
            <w:vMerge w:val="continue"/>
            <w:tcBorders>
              <w:top w:val="nil"/>
              <w:left w:val="single" w:color="auto" w:sz="4" w:space="0"/>
              <w:bottom w:val="single" w:color="auto" w:sz="4" w:space="0"/>
              <w:right w:val="single" w:color="auto" w:sz="4" w:space="0"/>
            </w:tcBorders>
            <w:noWrap/>
            <w:vAlign w:val="center"/>
          </w:tcPr>
          <w:p w14:paraId="4940C91A">
            <w:pPr>
              <w:jc w:val="center"/>
              <w:rPr>
                <w:rFonts w:ascii="宋体" w:hAnsi="宋体" w:cs="宋体"/>
                <w:b/>
                <w:bCs/>
                <w:color w:val="auto"/>
                <w:sz w:val="24"/>
              </w:rPr>
            </w:pPr>
          </w:p>
        </w:tc>
        <w:tc>
          <w:tcPr>
            <w:tcW w:w="803" w:type="dxa"/>
            <w:tcBorders>
              <w:top w:val="nil"/>
              <w:left w:val="nil"/>
              <w:bottom w:val="single" w:color="auto" w:sz="4" w:space="0"/>
              <w:right w:val="single" w:color="auto" w:sz="4" w:space="0"/>
            </w:tcBorders>
            <w:noWrap/>
            <w:vAlign w:val="center"/>
          </w:tcPr>
          <w:p w14:paraId="05E3837F">
            <w:pPr>
              <w:jc w:val="center"/>
              <w:textAlignment w:val="center"/>
              <w:rPr>
                <w:rFonts w:ascii="宋体" w:hAnsi="宋体" w:cs="宋体"/>
                <w:b/>
                <w:bCs/>
                <w:color w:val="auto"/>
                <w:sz w:val="24"/>
              </w:rPr>
            </w:pPr>
            <w:r>
              <w:rPr>
                <w:rFonts w:hint="eastAsia" w:ascii="宋体" w:hAnsi="宋体" w:cs="宋体"/>
                <w:b/>
                <w:bCs/>
                <w:color w:val="auto"/>
                <w:kern w:val="0"/>
                <w:sz w:val="24"/>
              </w:rPr>
              <w:t>新建</w:t>
            </w:r>
          </w:p>
        </w:tc>
        <w:tc>
          <w:tcPr>
            <w:tcW w:w="1124" w:type="dxa"/>
            <w:tcBorders>
              <w:top w:val="nil"/>
              <w:left w:val="nil"/>
              <w:bottom w:val="single" w:color="auto" w:sz="4" w:space="0"/>
              <w:right w:val="single" w:color="auto" w:sz="4" w:space="0"/>
            </w:tcBorders>
            <w:noWrap/>
            <w:vAlign w:val="center"/>
          </w:tcPr>
          <w:p w14:paraId="5EA53674">
            <w:pPr>
              <w:jc w:val="center"/>
              <w:textAlignment w:val="center"/>
              <w:rPr>
                <w:rFonts w:ascii="宋体" w:hAnsi="宋体" w:cs="宋体"/>
                <w:b/>
                <w:bCs/>
                <w:color w:val="auto"/>
                <w:sz w:val="24"/>
              </w:rPr>
            </w:pPr>
            <w:r>
              <w:rPr>
                <w:rFonts w:hint="eastAsia" w:ascii="宋体" w:hAnsi="宋体" w:cs="宋体"/>
                <w:b/>
                <w:bCs/>
                <w:color w:val="auto"/>
                <w:kern w:val="0"/>
                <w:sz w:val="24"/>
              </w:rPr>
              <w:t>改建硬化</w:t>
            </w:r>
          </w:p>
        </w:tc>
        <w:tc>
          <w:tcPr>
            <w:tcW w:w="1384" w:type="dxa"/>
            <w:vMerge w:val="continue"/>
            <w:tcBorders>
              <w:top w:val="single" w:color="auto" w:sz="4" w:space="0"/>
              <w:left w:val="single" w:color="auto" w:sz="4" w:space="0"/>
              <w:bottom w:val="single" w:color="auto" w:sz="4" w:space="0"/>
              <w:right w:val="single" w:color="auto" w:sz="4" w:space="0"/>
            </w:tcBorders>
            <w:vAlign w:val="center"/>
          </w:tcPr>
          <w:p w14:paraId="2E2516BA">
            <w:pPr>
              <w:jc w:val="center"/>
              <w:rPr>
                <w:rFonts w:ascii="宋体" w:hAnsi="宋体" w:cs="宋体"/>
                <w:b/>
                <w:bCs/>
                <w:color w:val="auto"/>
                <w:sz w:val="24"/>
              </w:rPr>
            </w:pPr>
          </w:p>
        </w:tc>
      </w:tr>
      <w:tr w14:paraId="193649E3">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1BAAFC05">
            <w:pPr>
              <w:jc w:val="center"/>
              <w:textAlignment w:val="center"/>
              <w:rPr>
                <w:rFonts w:ascii="宋体" w:hAnsi="宋体" w:cs="宋体"/>
                <w:color w:val="auto"/>
                <w:sz w:val="24"/>
              </w:rPr>
            </w:pPr>
            <w:r>
              <w:rPr>
                <w:rFonts w:hint="eastAsia" w:ascii="宋体" w:hAnsi="宋体" w:cs="宋体"/>
                <w:color w:val="auto"/>
                <w:kern w:val="0"/>
                <w:sz w:val="24"/>
              </w:rPr>
              <w:t>1</w:t>
            </w:r>
          </w:p>
        </w:tc>
        <w:tc>
          <w:tcPr>
            <w:tcW w:w="1064" w:type="dxa"/>
            <w:tcBorders>
              <w:top w:val="nil"/>
              <w:left w:val="nil"/>
              <w:bottom w:val="single" w:color="auto" w:sz="4" w:space="0"/>
              <w:right w:val="single" w:color="auto" w:sz="4" w:space="0"/>
            </w:tcBorders>
            <w:noWrap/>
            <w:vAlign w:val="center"/>
          </w:tcPr>
          <w:p w14:paraId="5302CB88">
            <w:pPr>
              <w:jc w:val="center"/>
              <w:textAlignment w:val="center"/>
              <w:rPr>
                <w:rFonts w:ascii="宋体" w:hAnsi="宋体" w:cs="宋体"/>
                <w:color w:val="auto"/>
                <w:sz w:val="24"/>
              </w:rPr>
            </w:pPr>
            <w:r>
              <w:rPr>
                <w:rFonts w:hint="eastAsia" w:ascii="宋体" w:hAnsi="宋体" w:cs="宋体"/>
                <w:color w:val="auto"/>
                <w:kern w:val="0"/>
                <w:sz w:val="24"/>
              </w:rPr>
              <w:t>龙渊街道</w:t>
            </w:r>
          </w:p>
        </w:tc>
        <w:tc>
          <w:tcPr>
            <w:tcW w:w="642" w:type="dxa"/>
            <w:tcBorders>
              <w:top w:val="nil"/>
              <w:left w:val="nil"/>
              <w:bottom w:val="single" w:color="auto" w:sz="4" w:space="0"/>
              <w:right w:val="single" w:color="auto" w:sz="4" w:space="0"/>
            </w:tcBorders>
            <w:noWrap/>
            <w:vAlign w:val="center"/>
          </w:tcPr>
          <w:p w14:paraId="19F639A5">
            <w:pPr>
              <w:jc w:val="center"/>
              <w:textAlignment w:val="center"/>
              <w:rPr>
                <w:rFonts w:ascii="宋体" w:hAnsi="宋体" w:cs="宋体"/>
                <w:color w:val="auto"/>
                <w:sz w:val="24"/>
              </w:rPr>
            </w:pPr>
            <w:r>
              <w:rPr>
                <w:rFonts w:hint="eastAsia" w:ascii="宋体" w:hAnsi="宋体" w:cs="宋体"/>
                <w:color w:val="auto"/>
                <w:kern w:val="0"/>
                <w:sz w:val="22"/>
                <w:szCs w:val="22"/>
              </w:rPr>
              <w:t>11</w:t>
            </w:r>
          </w:p>
        </w:tc>
        <w:tc>
          <w:tcPr>
            <w:tcW w:w="641" w:type="dxa"/>
            <w:tcBorders>
              <w:top w:val="nil"/>
              <w:left w:val="nil"/>
              <w:bottom w:val="single" w:color="auto" w:sz="4" w:space="0"/>
              <w:right w:val="single" w:color="auto" w:sz="4" w:space="0"/>
            </w:tcBorders>
            <w:noWrap/>
            <w:vAlign w:val="center"/>
          </w:tcPr>
          <w:p w14:paraId="7BEB5D03">
            <w:pPr>
              <w:jc w:val="center"/>
              <w:textAlignment w:val="center"/>
              <w:rPr>
                <w:rFonts w:ascii="宋体" w:hAnsi="宋体" w:cs="宋体"/>
                <w:color w:val="auto"/>
                <w:sz w:val="24"/>
              </w:rPr>
            </w:pPr>
            <w:r>
              <w:rPr>
                <w:rFonts w:hint="eastAsia" w:ascii="宋体" w:hAnsi="宋体" w:cs="宋体"/>
                <w:color w:val="auto"/>
                <w:kern w:val="0"/>
                <w:sz w:val="22"/>
                <w:szCs w:val="22"/>
              </w:rPr>
              <w:t>9</w:t>
            </w:r>
          </w:p>
        </w:tc>
        <w:tc>
          <w:tcPr>
            <w:tcW w:w="1089" w:type="dxa"/>
            <w:tcBorders>
              <w:top w:val="nil"/>
              <w:left w:val="nil"/>
              <w:bottom w:val="single" w:color="auto" w:sz="4" w:space="0"/>
              <w:right w:val="single" w:color="auto" w:sz="4" w:space="0"/>
            </w:tcBorders>
            <w:noWrap/>
            <w:vAlign w:val="center"/>
          </w:tcPr>
          <w:p w14:paraId="1BBB485B">
            <w:pPr>
              <w:jc w:val="center"/>
              <w:textAlignment w:val="center"/>
              <w:rPr>
                <w:rFonts w:ascii="宋体" w:hAnsi="宋体" w:cs="宋体"/>
                <w:color w:val="auto"/>
                <w:sz w:val="24"/>
              </w:rPr>
            </w:pPr>
            <w:r>
              <w:rPr>
                <w:rFonts w:hint="eastAsia" w:ascii="宋体" w:hAnsi="宋体" w:cs="宋体"/>
                <w:color w:val="auto"/>
                <w:kern w:val="0"/>
                <w:sz w:val="22"/>
                <w:szCs w:val="22"/>
              </w:rPr>
              <w:t>2</w:t>
            </w:r>
          </w:p>
        </w:tc>
        <w:tc>
          <w:tcPr>
            <w:tcW w:w="764" w:type="dxa"/>
            <w:tcBorders>
              <w:top w:val="nil"/>
              <w:left w:val="nil"/>
              <w:bottom w:val="single" w:color="auto" w:sz="4" w:space="0"/>
              <w:right w:val="single" w:color="auto" w:sz="4" w:space="0"/>
            </w:tcBorders>
            <w:noWrap/>
            <w:vAlign w:val="center"/>
          </w:tcPr>
          <w:p w14:paraId="16A61031">
            <w:pPr>
              <w:jc w:val="center"/>
              <w:textAlignment w:val="center"/>
              <w:rPr>
                <w:rFonts w:ascii="宋体" w:hAnsi="宋体" w:cs="宋体"/>
                <w:color w:val="auto"/>
                <w:sz w:val="24"/>
              </w:rPr>
            </w:pPr>
            <w:r>
              <w:rPr>
                <w:rFonts w:hint="eastAsia" w:ascii="宋体" w:hAnsi="宋体" w:cs="宋体"/>
                <w:color w:val="auto"/>
                <w:kern w:val="0"/>
                <w:sz w:val="22"/>
                <w:szCs w:val="22"/>
              </w:rPr>
              <w:t>16676.6232</w:t>
            </w:r>
          </w:p>
        </w:tc>
        <w:tc>
          <w:tcPr>
            <w:tcW w:w="706" w:type="dxa"/>
            <w:tcBorders>
              <w:top w:val="nil"/>
              <w:left w:val="nil"/>
              <w:bottom w:val="single" w:color="auto" w:sz="4" w:space="0"/>
              <w:right w:val="single" w:color="auto" w:sz="4" w:space="0"/>
            </w:tcBorders>
            <w:noWrap/>
            <w:vAlign w:val="center"/>
          </w:tcPr>
          <w:p w14:paraId="06870749">
            <w:pPr>
              <w:jc w:val="center"/>
              <w:textAlignment w:val="center"/>
              <w:rPr>
                <w:rFonts w:ascii="宋体" w:hAnsi="宋体" w:cs="宋体"/>
                <w:color w:val="auto"/>
                <w:sz w:val="24"/>
              </w:rPr>
            </w:pPr>
            <w:r>
              <w:rPr>
                <w:rFonts w:hint="eastAsia" w:ascii="宋体" w:hAnsi="宋体" w:cs="宋体"/>
                <w:color w:val="auto"/>
                <w:kern w:val="0"/>
                <w:sz w:val="22"/>
                <w:szCs w:val="22"/>
              </w:rPr>
              <w:t>13399.9232</w:t>
            </w:r>
          </w:p>
        </w:tc>
        <w:tc>
          <w:tcPr>
            <w:tcW w:w="1029" w:type="dxa"/>
            <w:tcBorders>
              <w:top w:val="nil"/>
              <w:left w:val="nil"/>
              <w:bottom w:val="single" w:color="auto" w:sz="4" w:space="0"/>
              <w:right w:val="single" w:color="auto" w:sz="4" w:space="0"/>
            </w:tcBorders>
            <w:noWrap/>
            <w:vAlign w:val="center"/>
          </w:tcPr>
          <w:p w14:paraId="5BF2DAEB">
            <w:pPr>
              <w:jc w:val="center"/>
              <w:textAlignment w:val="center"/>
              <w:rPr>
                <w:rFonts w:ascii="宋体" w:hAnsi="宋体" w:cs="宋体"/>
                <w:color w:val="auto"/>
                <w:sz w:val="24"/>
              </w:rPr>
            </w:pPr>
            <w:r>
              <w:rPr>
                <w:rFonts w:hint="eastAsia" w:ascii="宋体" w:hAnsi="宋体" w:cs="宋体"/>
                <w:color w:val="auto"/>
                <w:kern w:val="0"/>
                <w:sz w:val="22"/>
                <w:szCs w:val="22"/>
              </w:rPr>
              <w:t>3276.7</w:t>
            </w:r>
          </w:p>
        </w:tc>
        <w:tc>
          <w:tcPr>
            <w:tcW w:w="878" w:type="dxa"/>
            <w:tcBorders>
              <w:top w:val="nil"/>
              <w:left w:val="nil"/>
              <w:bottom w:val="single" w:color="auto" w:sz="4" w:space="0"/>
              <w:right w:val="single" w:color="auto" w:sz="4" w:space="0"/>
            </w:tcBorders>
            <w:noWrap/>
            <w:vAlign w:val="center"/>
          </w:tcPr>
          <w:p w14:paraId="55718BEC">
            <w:pPr>
              <w:jc w:val="center"/>
              <w:textAlignment w:val="center"/>
              <w:rPr>
                <w:rFonts w:ascii="宋体" w:hAnsi="宋体" w:cs="宋体"/>
                <w:color w:val="auto"/>
                <w:sz w:val="24"/>
              </w:rPr>
            </w:pPr>
            <w:r>
              <w:rPr>
                <w:rFonts w:hint="eastAsia" w:ascii="宋体" w:hAnsi="宋体" w:cs="宋体"/>
                <w:color w:val="auto"/>
                <w:kern w:val="0"/>
                <w:sz w:val="22"/>
                <w:szCs w:val="22"/>
              </w:rPr>
              <w:t>93389.091</w:t>
            </w:r>
          </w:p>
        </w:tc>
        <w:tc>
          <w:tcPr>
            <w:tcW w:w="878" w:type="dxa"/>
            <w:tcBorders>
              <w:top w:val="nil"/>
              <w:left w:val="nil"/>
              <w:bottom w:val="single" w:color="auto" w:sz="4" w:space="0"/>
              <w:right w:val="single" w:color="auto" w:sz="4" w:space="0"/>
            </w:tcBorders>
            <w:noWrap/>
            <w:vAlign w:val="center"/>
          </w:tcPr>
          <w:p w14:paraId="4E69D768">
            <w:pPr>
              <w:jc w:val="center"/>
              <w:textAlignment w:val="center"/>
              <w:rPr>
                <w:rFonts w:ascii="宋体" w:hAnsi="宋体" w:cs="宋体"/>
                <w:color w:val="auto"/>
                <w:sz w:val="24"/>
              </w:rPr>
            </w:pPr>
            <w:r>
              <w:rPr>
                <w:rFonts w:hint="eastAsia" w:ascii="宋体" w:hAnsi="宋体" w:cs="宋体"/>
                <w:color w:val="auto"/>
                <w:kern w:val="0"/>
                <w:sz w:val="22"/>
                <w:szCs w:val="22"/>
              </w:rPr>
              <w:t>75039.572</w:t>
            </w:r>
          </w:p>
        </w:tc>
        <w:tc>
          <w:tcPr>
            <w:tcW w:w="982" w:type="dxa"/>
            <w:tcBorders>
              <w:top w:val="nil"/>
              <w:left w:val="nil"/>
              <w:bottom w:val="single" w:color="auto" w:sz="4" w:space="0"/>
              <w:right w:val="single" w:color="auto" w:sz="4" w:space="0"/>
            </w:tcBorders>
            <w:noWrap/>
            <w:vAlign w:val="center"/>
          </w:tcPr>
          <w:p w14:paraId="496B5E76">
            <w:pPr>
              <w:jc w:val="center"/>
              <w:textAlignment w:val="center"/>
              <w:rPr>
                <w:rFonts w:ascii="宋体" w:hAnsi="宋体" w:cs="宋体"/>
                <w:color w:val="auto"/>
                <w:sz w:val="24"/>
              </w:rPr>
            </w:pPr>
            <w:r>
              <w:rPr>
                <w:rFonts w:hint="eastAsia" w:ascii="宋体" w:hAnsi="宋体" w:cs="宋体"/>
                <w:color w:val="auto"/>
                <w:kern w:val="0"/>
                <w:sz w:val="22"/>
                <w:szCs w:val="22"/>
              </w:rPr>
              <w:t>18349.519</w:t>
            </w:r>
          </w:p>
        </w:tc>
        <w:tc>
          <w:tcPr>
            <w:tcW w:w="1115" w:type="dxa"/>
            <w:tcBorders>
              <w:top w:val="nil"/>
              <w:left w:val="nil"/>
              <w:bottom w:val="single" w:color="auto" w:sz="4" w:space="0"/>
              <w:right w:val="single" w:color="auto" w:sz="4" w:space="0"/>
            </w:tcBorders>
            <w:noWrap/>
            <w:vAlign w:val="center"/>
          </w:tcPr>
          <w:p w14:paraId="4068499E">
            <w:pPr>
              <w:jc w:val="center"/>
              <w:textAlignment w:val="center"/>
              <w:rPr>
                <w:rFonts w:ascii="宋体" w:hAnsi="宋体" w:cs="宋体"/>
                <w:color w:val="auto"/>
                <w:sz w:val="24"/>
              </w:rPr>
            </w:pPr>
            <w:r>
              <w:rPr>
                <w:rFonts w:hint="eastAsia" w:ascii="宋体" w:hAnsi="宋体" w:cs="宋体"/>
                <w:color w:val="auto"/>
                <w:kern w:val="0"/>
                <w:sz w:val="22"/>
                <w:szCs w:val="22"/>
              </w:rPr>
              <w:t>149.5</w:t>
            </w:r>
          </w:p>
        </w:tc>
        <w:tc>
          <w:tcPr>
            <w:tcW w:w="803" w:type="dxa"/>
            <w:tcBorders>
              <w:top w:val="nil"/>
              <w:left w:val="nil"/>
              <w:bottom w:val="single" w:color="auto" w:sz="4" w:space="0"/>
              <w:right w:val="single" w:color="auto" w:sz="4" w:space="0"/>
            </w:tcBorders>
            <w:noWrap/>
            <w:vAlign w:val="center"/>
          </w:tcPr>
          <w:p w14:paraId="19CDA02D">
            <w:pPr>
              <w:jc w:val="center"/>
              <w:textAlignment w:val="center"/>
              <w:rPr>
                <w:rFonts w:ascii="宋体" w:hAnsi="宋体" w:cs="宋体"/>
                <w:color w:val="auto"/>
                <w:sz w:val="24"/>
              </w:rPr>
            </w:pPr>
            <w:r>
              <w:rPr>
                <w:rFonts w:hint="eastAsia" w:ascii="宋体" w:hAnsi="宋体" w:cs="宋体"/>
                <w:color w:val="auto"/>
                <w:kern w:val="0"/>
                <w:sz w:val="22"/>
                <w:szCs w:val="22"/>
              </w:rPr>
              <w:t>67</w:t>
            </w:r>
          </w:p>
        </w:tc>
        <w:tc>
          <w:tcPr>
            <w:tcW w:w="1124" w:type="dxa"/>
            <w:tcBorders>
              <w:top w:val="nil"/>
              <w:left w:val="nil"/>
              <w:bottom w:val="single" w:color="auto" w:sz="4" w:space="0"/>
              <w:right w:val="single" w:color="auto" w:sz="4" w:space="0"/>
            </w:tcBorders>
            <w:noWrap/>
            <w:vAlign w:val="center"/>
          </w:tcPr>
          <w:p w14:paraId="5F1375C0">
            <w:pPr>
              <w:jc w:val="center"/>
              <w:textAlignment w:val="center"/>
              <w:rPr>
                <w:rFonts w:ascii="宋体" w:hAnsi="宋体" w:cs="宋体"/>
                <w:color w:val="auto"/>
                <w:sz w:val="24"/>
              </w:rPr>
            </w:pPr>
            <w:r>
              <w:rPr>
                <w:rFonts w:hint="eastAsia" w:ascii="宋体" w:hAnsi="宋体" w:cs="宋体"/>
                <w:color w:val="auto"/>
                <w:kern w:val="0"/>
                <w:sz w:val="22"/>
                <w:szCs w:val="22"/>
              </w:rPr>
              <w:t>82.5</w:t>
            </w:r>
          </w:p>
        </w:tc>
        <w:tc>
          <w:tcPr>
            <w:tcW w:w="1384" w:type="dxa"/>
            <w:tcBorders>
              <w:top w:val="nil"/>
              <w:left w:val="nil"/>
              <w:bottom w:val="single" w:color="auto" w:sz="4" w:space="0"/>
              <w:right w:val="single" w:color="auto" w:sz="4" w:space="0"/>
            </w:tcBorders>
            <w:noWrap/>
            <w:vAlign w:val="center"/>
          </w:tcPr>
          <w:p w14:paraId="1993EB03">
            <w:pPr>
              <w:jc w:val="center"/>
              <w:textAlignment w:val="center"/>
              <w:rPr>
                <w:rFonts w:ascii="宋体" w:hAnsi="宋体" w:cs="宋体"/>
                <w:color w:val="auto"/>
                <w:sz w:val="24"/>
              </w:rPr>
            </w:pPr>
            <w:r>
              <w:rPr>
                <w:rFonts w:hint="eastAsia" w:ascii="宋体" w:hAnsi="宋体" w:cs="宋体"/>
                <w:color w:val="auto"/>
                <w:kern w:val="0"/>
                <w:sz w:val="22"/>
                <w:szCs w:val="22"/>
              </w:rPr>
              <w:t>3110</w:t>
            </w:r>
          </w:p>
        </w:tc>
      </w:tr>
      <w:tr w14:paraId="56CF31C9">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0B2E3ADA">
            <w:pPr>
              <w:jc w:val="center"/>
              <w:textAlignment w:val="center"/>
              <w:rPr>
                <w:rFonts w:ascii="宋体" w:hAnsi="宋体" w:cs="宋体"/>
                <w:color w:val="auto"/>
                <w:sz w:val="24"/>
              </w:rPr>
            </w:pPr>
            <w:r>
              <w:rPr>
                <w:rFonts w:hint="eastAsia" w:ascii="宋体" w:hAnsi="宋体" w:cs="宋体"/>
                <w:color w:val="auto"/>
                <w:kern w:val="0"/>
                <w:sz w:val="24"/>
              </w:rPr>
              <w:t>2</w:t>
            </w:r>
          </w:p>
        </w:tc>
        <w:tc>
          <w:tcPr>
            <w:tcW w:w="1064" w:type="dxa"/>
            <w:tcBorders>
              <w:top w:val="nil"/>
              <w:left w:val="nil"/>
              <w:bottom w:val="single" w:color="auto" w:sz="4" w:space="0"/>
              <w:right w:val="single" w:color="auto" w:sz="4" w:space="0"/>
            </w:tcBorders>
            <w:noWrap/>
            <w:vAlign w:val="center"/>
          </w:tcPr>
          <w:p w14:paraId="0F69B58A">
            <w:pPr>
              <w:jc w:val="center"/>
              <w:textAlignment w:val="center"/>
              <w:rPr>
                <w:rFonts w:ascii="宋体" w:hAnsi="宋体" w:cs="宋体"/>
                <w:color w:val="auto"/>
                <w:sz w:val="24"/>
              </w:rPr>
            </w:pPr>
            <w:r>
              <w:rPr>
                <w:rFonts w:hint="eastAsia" w:ascii="宋体" w:hAnsi="宋体" w:cs="宋体"/>
                <w:color w:val="auto"/>
                <w:kern w:val="0"/>
                <w:sz w:val="24"/>
              </w:rPr>
              <w:t>西街街道</w:t>
            </w:r>
          </w:p>
        </w:tc>
        <w:tc>
          <w:tcPr>
            <w:tcW w:w="642" w:type="dxa"/>
            <w:tcBorders>
              <w:top w:val="nil"/>
              <w:left w:val="nil"/>
              <w:bottom w:val="single" w:color="auto" w:sz="4" w:space="0"/>
              <w:right w:val="single" w:color="auto" w:sz="4" w:space="0"/>
            </w:tcBorders>
            <w:noWrap/>
            <w:vAlign w:val="center"/>
          </w:tcPr>
          <w:p w14:paraId="6FD8E384">
            <w:pPr>
              <w:jc w:val="center"/>
              <w:textAlignment w:val="center"/>
              <w:rPr>
                <w:rFonts w:ascii="宋体" w:hAnsi="宋体" w:cs="宋体"/>
                <w:color w:val="auto"/>
                <w:sz w:val="24"/>
              </w:rPr>
            </w:pPr>
            <w:r>
              <w:rPr>
                <w:rFonts w:hint="eastAsia" w:ascii="宋体" w:hAnsi="宋体" w:cs="宋体"/>
                <w:color w:val="auto"/>
                <w:kern w:val="0"/>
                <w:sz w:val="22"/>
                <w:szCs w:val="22"/>
              </w:rPr>
              <w:t>23</w:t>
            </w:r>
          </w:p>
        </w:tc>
        <w:tc>
          <w:tcPr>
            <w:tcW w:w="641" w:type="dxa"/>
            <w:tcBorders>
              <w:top w:val="nil"/>
              <w:left w:val="nil"/>
              <w:bottom w:val="single" w:color="auto" w:sz="4" w:space="0"/>
              <w:right w:val="single" w:color="auto" w:sz="4" w:space="0"/>
            </w:tcBorders>
            <w:noWrap/>
            <w:vAlign w:val="center"/>
          </w:tcPr>
          <w:p w14:paraId="02614F84">
            <w:pPr>
              <w:jc w:val="center"/>
              <w:textAlignment w:val="center"/>
              <w:rPr>
                <w:rFonts w:ascii="宋体" w:hAnsi="宋体" w:cs="宋体"/>
                <w:color w:val="auto"/>
                <w:sz w:val="24"/>
              </w:rPr>
            </w:pPr>
            <w:r>
              <w:rPr>
                <w:rFonts w:hint="eastAsia" w:ascii="宋体" w:hAnsi="宋体" w:cs="宋体"/>
                <w:color w:val="auto"/>
                <w:kern w:val="0"/>
                <w:sz w:val="22"/>
                <w:szCs w:val="22"/>
              </w:rPr>
              <w:t>18</w:t>
            </w:r>
          </w:p>
        </w:tc>
        <w:tc>
          <w:tcPr>
            <w:tcW w:w="1089" w:type="dxa"/>
            <w:tcBorders>
              <w:top w:val="nil"/>
              <w:left w:val="nil"/>
              <w:bottom w:val="single" w:color="auto" w:sz="4" w:space="0"/>
              <w:right w:val="single" w:color="auto" w:sz="4" w:space="0"/>
            </w:tcBorders>
            <w:noWrap/>
            <w:vAlign w:val="center"/>
          </w:tcPr>
          <w:p w14:paraId="5E4FF786">
            <w:pPr>
              <w:jc w:val="center"/>
              <w:textAlignment w:val="center"/>
              <w:rPr>
                <w:rFonts w:ascii="宋体" w:hAnsi="宋体" w:cs="宋体"/>
                <w:color w:val="auto"/>
                <w:sz w:val="24"/>
              </w:rPr>
            </w:pPr>
            <w:r>
              <w:rPr>
                <w:rFonts w:hint="eastAsia" w:ascii="宋体" w:hAnsi="宋体" w:cs="宋体"/>
                <w:color w:val="auto"/>
                <w:kern w:val="0"/>
                <w:sz w:val="22"/>
                <w:szCs w:val="22"/>
              </w:rPr>
              <w:t>5</w:t>
            </w:r>
          </w:p>
        </w:tc>
        <w:tc>
          <w:tcPr>
            <w:tcW w:w="764" w:type="dxa"/>
            <w:tcBorders>
              <w:top w:val="nil"/>
              <w:left w:val="nil"/>
              <w:bottom w:val="single" w:color="auto" w:sz="4" w:space="0"/>
              <w:right w:val="single" w:color="auto" w:sz="4" w:space="0"/>
            </w:tcBorders>
            <w:noWrap/>
            <w:vAlign w:val="center"/>
          </w:tcPr>
          <w:p w14:paraId="2A74D9D4">
            <w:pPr>
              <w:jc w:val="center"/>
              <w:textAlignment w:val="center"/>
              <w:rPr>
                <w:rFonts w:ascii="宋体" w:hAnsi="宋体" w:cs="宋体"/>
                <w:color w:val="auto"/>
                <w:sz w:val="24"/>
              </w:rPr>
            </w:pPr>
            <w:r>
              <w:rPr>
                <w:rFonts w:hint="eastAsia" w:ascii="宋体" w:hAnsi="宋体" w:cs="宋体"/>
                <w:color w:val="auto"/>
                <w:kern w:val="0"/>
                <w:sz w:val="22"/>
                <w:szCs w:val="22"/>
              </w:rPr>
              <w:t>27782</w:t>
            </w:r>
          </w:p>
        </w:tc>
        <w:tc>
          <w:tcPr>
            <w:tcW w:w="706" w:type="dxa"/>
            <w:tcBorders>
              <w:top w:val="nil"/>
              <w:left w:val="nil"/>
              <w:bottom w:val="single" w:color="auto" w:sz="4" w:space="0"/>
              <w:right w:val="single" w:color="auto" w:sz="4" w:space="0"/>
            </w:tcBorders>
            <w:noWrap/>
            <w:vAlign w:val="center"/>
          </w:tcPr>
          <w:p w14:paraId="0EDD0894">
            <w:pPr>
              <w:jc w:val="center"/>
              <w:textAlignment w:val="center"/>
              <w:rPr>
                <w:rFonts w:ascii="宋体" w:hAnsi="宋体" w:cs="宋体"/>
                <w:color w:val="auto"/>
                <w:sz w:val="22"/>
                <w:szCs w:val="22"/>
              </w:rPr>
            </w:pPr>
            <w:r>
              <w:rPr>
                <w:rFonts w:hint="eastAsia" w:ascii="宋体" w:hAnsi="宋体" w:cs="宋体"/>
                <w:color w:val="auto"/>
                <w:kern w:val="0"/>
                <w:sz w:val="22"/>
                <w:szCs w:val="22"/>
              </w:rPr>
              <w:t>18177</w:t>
            </w:r>
          </w:p>
        </w:tc>
        <w:tc>
          <w:tcPr>
            <w:tcW w:w="1029" w:type="dxa"/>
            <w:tcBorders>
              <w:top w:val="nil"/>
              <w:left w:val="nil"/>
              <w:bottom w:val="single" w:color="auto" w:sz="4" w:space="0"/>
              <w:right w:val="single" w:color="auto" w:sz="4" w:space="0"/>
            </w:tcBorders>
            <w:noWrap/>
            <w:vAlign w:val="center"/>
          </w:tcPr>
          <w:p w14:paraId="7964A0A1">
            <w:pPr>
              <w:jc w:val="center"/>
              <w:textAlignment w:val="center"/>
              <w:rPr>
                <w:rFonts w:ascii="宋体" w:hAnsi="宋体" w:cs="宋体"/>
                <w:color w:val="auto"/>
                <w:sz w:val="22"/>
                <w:szCs w:val="22"/>
              </w:rPr>
            </w:pPr>
            <w:r>
              <w:rPr>
                <w:rFonts w:hint="eastAsia" w:ascii="宋体" w:hAnsi="宋体" w:cs="宋体"/>
                <w:color w:val="auto"/>
                <w:kern w:val="0"/>
                <w:sz w:val="22"/>
                <w:szCs w:val="22"/>
              </w:rPr>
              <w:t>9605</w:t>
            </w:r>
          </w:p>
        </w:tc>
        <w:tc>
          <w:tcPr>
            <w:tcW w:w="878" w:type="dxa"/>
            <w:tcBorders>
              <w:top w:val="nil"/>
              <w:left w:val="nil"/>
              <w:bottom w:val="single" w:color="auto" w:sz="4" w:space="0"/>
              <w:right w:val="single" w:color="auto" w:sz="4" w:space="0"/>
            </w:tcBorders>
            <w:noWrap/>
            <w:vAlign w:val="center"/>
          </w:tcPr>
          <w:p w14:paraId="6C741F17">
            <w:pPr>
              <w:jc w:val="center"/>
              <w:textAlignment w:val="center"/>
              <w:rPr>
                <w:rFonts w:ascii="宋体" w:hAnsi="宋体" w:cs="宋体"/>
                <w:color w:val="auto"/>
                <w:sz w:val="24"/>
              </w:rPr>
            </w:pPr>
            <w:r>
              <w:rPr>
                <w:rFonts w:hint="eastAsia" w:ascii="宋体" w:hAnsi="宋体" w:cs="宋体"/>
                <w:color w:val="auto"/>
                <w:kern w:val="0"/>
                <w:sz w:val="22"/>
                <w:szCs w:val="22"/>
              </w:rPr>
              <w:t>155579</w:t>
            </w:r>
          </w:p>
        </w:tc>
        <w:tc>
          <w:tcPr>
            <w:tcW w:w="878" w:type="dxa"/>
            <w:tcBorders>
              <w:top w:val="nil"/>
              <w:left w:val="nil"/>
              <w:bottom w:val="single" w:color="auto" w:sz="4" w:space="0"/>
              <w:right w:val="single" w:color="auto" w:sz="4" w:space="0"/>
            </w:tcBorders>
            <w:noWrap/>
            <w:vAlign w:val="center"/>
          </w:tcPr>
          <w:p w14:paraId="46544EBD">
            <w:pPr>
              <w:jc w:val="center"/>
              <w:textAlignment w:val="center"/>
              <w:rPr>
                <w:rFonts w:ascii="宋体" w:hAnsi="宋体" w:cs="宋体"/>
                <w:color w:val="auto"/>
                <w:sz w:val="22"/>
                <w:szCs w:val="22"/>
              </w:rPr>
            </w:pPr>
            <w:r>
              <w:rPr>
                <w:rFonts w:hint="eastAsia" w:ascii="宋体" w:hAnsi="宋体" w:cs="宋体"/>
                <w:color w:val="auto"/>
                <w:kern w:val="0"/>
                <w:sz w:val="22"/>
                <w:szCs w:val="22"/>
              </w:rPr>
              <w:t>101791</w:t>
            </w:r>
          </w:p>
        </w:tc>
        <w:tc>
          <w:tcPr>
            <w:tcW w:w="982" w:type="dxa"/>
            <w:tcBorders>
              <w:top w:val="nil"/>
              <w:left w:val="nil"/>
              <w:bottom w:val="single" w:color="auto" w:sz="4" w:space="0"/>
              <w:right w:val="single" w:color="auto" w:sz="4" w:space="0"/>
            </w:tcBorders>
            <w:noWrap/>
            <w:vAlign w:val="center"/>
          </w:tcPr>
          <w:p w14:paraId="26CB3F1D">
            <w:pPr>
              <w:jc w:val="center"/>
              <w:textAlignment w:val="center"/>
              <w:rPr>
                <w:rFonts w:ascii="宋体" w:hAnsi="宋体" w:cs="宋体"/>
                <w:color w:val="auto"/>
                <w:sz w:val="22"/>
                <w:szCs w:val="22"/>
              </w:rPr>
            </w:pPr>
            <w:r>
              <w:rPr>
                <w:rFonts w:hint="eastAsia" w:ascii="宋体" w:hAnsi="宋体" w:cs="宋体"/>
                <w:color w:val="auto"/>
                <w:kern w:val="0"/>
                <w:sz w:val="22"/>
                <w:szCs w:val="22"/>
              </w:rPr>
              <w:t>53788</w:t>
            </w:r>
          </w:p>
        </w:tc>
        <w:tc>
          <w:tcPr>
            <w:tcW w:w="1115" w:type="dxa"/>
            <w:tcBorders>
              <w:top w:val="nil"/>
              <w:left w:val="nil"/>
              <w:bottom w:val="single" w:color="auto" w:sz="4" w:space="0"/>
              <w:right w:val="single" w:color="auto" w:sz="4" w:space="0"/>
            </w:tcBorders>
            <w:noWrap/>
            <w:vAlign w:val="center"/>
          </w:tcPr>
          <w:p w14:paraId="307D97F0">
            <w:pPr>
              <w:jc w:val="center"/>
              <w:textAlignment w:val="center"/>
              <w:rPr>
                <w:rFonts w:ascii="宋体" w:hAnsi="宋体" w:cs="宋体"/>
                <w:color w:val="auto"/>
                <w:sz w:val="24"/>
              </w:rPr>
            </w:pPr>
            <w:r>
              <w:rPr>
                <w:rFonts w:hint="eastAsia" w:ascii="宋体" w:hAnsi="宋体" w:cs="宋体"/>
                <w:color w:val="auto"/>
                <w:kern w:val="0"/>
                <w:sz w:val="22"/>
                <w:szCs w:val="22"/>
              </w:rPr>
              <w:t>138.97</w:t>
            </w:r>
          </w:p>
        </w:tc>
        <w:tc>
          <w:tcPr>
            <w:tcW w:w="803" w:type="dxa"/>
            <w:tcBorders>
              <w:top w:val="nil"/>
              <w:left w:val="nil"/>
              <w:bottom w:val="single" w:color="auto" w:sz="4" w:space="0"/>
              <w:right w:val="single" w:color="auto" w:sz="4" w:space="0"/>
            </w:tcBorders>
            <w:noWrap/>
            <w:vAlign w:val="center"/>
          </w:tcPr>
          <w:p w14:paraId="396044BD">
            <w:pPr>
              <w:jc w:val="center"/>
              <w:textAlignment w:val="center"/>
              <w:rPr>
                <w:rFonts w:ascii="宋体" w:hAnsi="宋体" w:cs="宋体"/>
                <w:color w:val="auto"/>
                <w:sz w:val="22"/>
                <w:szCs w:val="22"/>
              </w:rPr>
            </w:pPr>
            <w:r>
              <w:rPr>
                <w:rFonts w:hint="eastAsia" w:ascii="宋体" w:hAnsi="宋体" w:cs="宋体"/>
                <w:color w:val="auto"/>
                <w:kern w:val="0"/>
                <w:sz w:val="22"/>
                <w:szCs w:val="22"/>
              </w:rPr>
              <w:t>90.93</w:t>
            </w:r>
          </w:p>
        </w:tc>
        <w:tc>
          <w:tcPr>
            <w:tcW w:w="1124" w:type="dxa"/>
            <w:tcBorders>
              <w:top w:val="nil"/>
              <w:left w:val="nil"/>
              <w:bottom w:val="single" w:color="auto" w:sz="4" w:space="0"/>
              <w:right w:val="single" w:color="auto" w:sz="4" w:space="0"/>
            </w:tcBorders>
            <w:noWrap/>
            <w:vAlign w:val="center"/>
          </w:tcPr>
          <w:p w14:paraId="76BA3334">
            <w:pPr>
              <w:jc w:val="center"/>
              <w:textAlignment w:val="center"/>
              <w:rPr>
                <w:rFonts w:ascii="宋体" w:hAnsi="宋体" w:cs="宋体"/>
                <w:color w:val="auto"/>
                <w:sz w:val="22"/>
                <w:szCs w:val="22"/>
              </w:rPr>
            </w:pPr>
            <w:r>
              <w:rPr>
                <w:rFonts w:hint="eastAsia" w:ascii="宋体" w:hAnsi="宋体" w:cs="宋体"/>
                <w:color w:val="auto"/>
                <w:kern w:val="0"/>
                <w:sz w:val="22"/>
                <w:szCs w:val="22"/>
              </w:rPr>
              <w:t>48.04</w:t>
            </w:r>
          </w:p>
        </w:tc>
        <w:tc>
          <w:tcPr>
            <w:tcW w:w="1384" w:type="dxa"/>
            <w:tcBorders>
              <w:top w:val="nil"/>
              <w:left w:val="nil"/>
              <w:bottom w:val="single" w:color="auto" w:sz="4" w:space="0"/>
              <w:right w:val="single" w:color="auto" w:sz="4" w:space="0"/>
            </w:tcBorders>
            <w:noWrap/>
            <w:vAlign w:val="center"/>
          </w:tcPr>
          <w:p w14:paraId="1C26BF59">
            <w:pPr>
              <w:jc w:val="center"/>
              <w:textAlignment w:val="center"/>
              <w:rPr>
                <w:rFonts w:ascii="宋体" w:hAnsi="宋体" w:cs="宋体"/>
                <w:color w:val="auto"/>
                <w:sz w:val="24"/>
              </w:rPr>
            </w:pPr>
            <w:r>
              <w:rPr>
                <w:rFonts w:hint="eastAsia" w:ascii="宋体" w:hAnsi="宋体" w:cs="宋体"/>
                <w:color w:val="auto"/>
                <w:kern w:val="0"/>
                <w:sz w:val="22"/>
                <w:szCs w:val="22"/>
              </w:rPr>
              <w:t>4772</w:t>
            </w:r>
          </w:p>
        </w:tc>
      </w:tr>
      <w:tr w14:paraId="18034D5E">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1B3FC2F4">
            <w:pPr>
              <w:jc w:val="center"/>
              <w:textAlignment w:val="center"/>
              <w:rPr>
                <w:rFonts w:ascii="宋体" w:hAnsi="宋体" w:cs="宋体"/>
                <w:color w:val="auto"/>
                <w:sz w:val="24"/>
              </w:rPr>
            </w:pPr>
            <w:r>
              <w:rPr>
                <w:rFonts w:hint="eastAsia" w:ascii="宋体" w:hAnsi="宋体" w:cs="宋体"/>
                <w:color w:val="auto"/>
                <w:kern w:val="0"/>
                <w:sz w:val="24"/>
              </w:rPr>
              <w:t>3</w:t>
            </w:r>
          </w:p>
        </w:tc>
        <w:tc>
          <w:tcPr>
            <w:tcW w:w="1064" w:type="dxa"/>
            <w:tcBorders>
              <w:top w:val="nil"/>
              <w:left w:val="nil"/>
              <w:bottom w:val="single" w:color="auto" w:sz="4" w:space="0"/>
              <w:right w:val="single" w:color="auto" w:sz="4" w:space="0"/>
            </w:tcBorders>
            <w:noWrap/>
            <w:vAlign w:val="center"/>
          </w:tcPr>
          <w:p w14:paraId="6A411542">
            <w:pPr>
              <w:jc w:val="center"/>
              <w:textAlignment w:val="center"/>
              <w:rPr>
                <w:rFonts w:ascii="宋体" w:hAnsi="宋体" w:cs="宋体"/>
                <w:color w:val="auto"/>
                <w:sz w:val="24"/>
              </w:rPr>
            </w:pPr>
            <w:r>
              <w:rPr>
                <w:rFonts w:hint="eastAsia" w:ascii="宋体" w:hAnsi="宋体" w:cs="宋体"/>
                <w:color w:val="auto"/>
                <w:kern w:val="0"/>
                <w:sz w:val="24"/>
              </w:rPr>
              <w:t>塔石街道</w:t>
            </w:r>
          </w:p>
        </w:tc>
        <w:tc>
          <w:tcPr>
            <w:tcW w:w="642" w:type="dxa"/>
            <w:tcBorders>
              <w:top w:val="nil"/>
              <w:left w:val="nil"/>
              <w:bottom w:val="single" w:color="auto" w:sz="4" w:space="0"/>
              <w:right w:val="single" w:color="auto" w:sz="4" w:space="0"/>
            </w:tcBorders>
            <w:noWrap/>
            <w:vAlign w:val="center"/>
          </w:tcPr>
          <w:p w14:paraId="1897828B">
            <w:pPr>
              <w:jc w:val="center"/>
              <w:textAlignment w:val="center"/>
              <w:rPr>
                <w:rFonts w:ascii="宋体" w:hAnsi="宋体" w:cs="宋体"/>
                <w:color w:val="auto"/>
                <w:sz w:val="24"/>
              </w:rPr>
            </w:pPr>
            <w:r>
              <w:rPr>
                <w:rFonts w:hint="eastAsia" w:ascii="宋体" w:hAnsi="宋体" w:cs="宋体"/>
                <w:color w:val="auto"/>
                <w:kern w:val="0"/>
                <w:sz w:val="22"/>
                <w:szCs w:val="22"/>
              </w:rPr>
              <w:t>27</w:t>
            </w:r>
          </w:p>
        </w:tc>
        <w:tc>
          <w:tcPr>
            <w:tcW w:w="641" w:type="dxa"/>
            <w:tcBorders>
              <w:top w:val="nil"/>
              <w:left w:val="nil"/>
              <w:bottom w:val="single" w:color="auto" w:sz="4" w:space="0"/>
              <w:right w:val="single" w:color="auto" w:sz="4" w:space="0"/>
            </w:tcBorders>
            <w:noWrap/>
            <w:vAlign w:val="center"/>
          </w:tcPr>
          <w:p w14:paraId="7F11147D">
            <w:pPr>
              <w:jc w:val="center"/>
              <w:textAlignment w:val="center"/>
              <w:rPr>
                <w:rFonts w:ascii="宋体" w:hAnsi="宋体" w:cs="宋体"/>
                <w:color w:val="auto"/>
                <w:sz w:val="24"/>
              </w:rPr>
            </w:pPr>
            <w:r>
              <w:rPr>
                <w:rFonts w:hint="eastAsia" w:ascii="宋体" w:hAnsi="宋体" w:cs="宋体"/>
                <w:color w:val="auto"/>
                <w:kern w:val="0"/>
                <w:sz w:val="22"/>
                <w:szCs w:val="22"/>
              </w:rPr>
              <w:t>24</w:t>
            </w:r>
          </w:p>
        </w:tc>
        <w:tc>
          <w:tcPr>
            <w:tcW w:w="1089" w:type="dxa"/>
            <w:tcBorders>
              <w:top w:val="nil"/>
              <w:left w:val="nil"/>
              <w:bottom w:val="single" w:color="auto" w:sz="4" w:space="0"/>
              <w:right w:val="single" w:color="auto" w:sz="4" w:space="0"/>
            </w:tcBorders>
            <w:noWrap/>
            <w:vAlign w:val="center"/>
          </w:tcPr>
          <w:p w14:paraId="58C3279A">
            <w:pPr>
              <w:jc w:val="center"/>
              <w:textAlignment w:val="center"/>
              <w:rPr>
                <w:rFonts w:ascii="宋体" w:hAnsi="宋体" w:cs="宋体"/>
                <w:color w:val="auto"/>
                <w:sz w:val="24"/>
              </w:rPr>
            </w:pPr>
            <w:r>
              <w:rPr>
                <w:rFonts w:hint="eastAsia" w:ascii="宋体" w:hAnsi="宋体" w:cs="宋体"/>
                <w:color w:val="auto"/>
                <w:kern w:val="0"/>
                <w:sz w:val="22"/>
                <w:szCs w:val="22"/>
              </w:rPr>
              <w:t>3</w:t>
            </w:r>
          </w:p>
        </w:tc>
        <w:tc>
          <w:tcPr>
            <w:tcW w:w="764" w:type="dxa"/>
            <w:tcBorders>
              <w:top w:val="nil"/>
              <w:left w:val="nil"/>
              <w:bottom w:val="single" w:color="auto" w:sz="4" w:space="0"/>
              <w:right w:val="single" w:color="auto" w:sz="4" w:space="0"/>
            </w:tcBorders>
            <w:noWrap/>
            <w:vAlign w:val="center"/>
          </w:tcPr>
          <w:p w14:paraId="39434FC7">
            <w:pPr>
              <w:jc w:val="center"/>
              <w:textAlignment w:val="center"/>
              <w:rPr>
                <w:rFonts w:ascii="宋体" w:hAnsi="宋体" w:cs="宋体"/>
                <w:color w:val="auto"/>
                <w:sz w:val="24"/>
              </w:rPr>
            </w:pPr>
            <w:r>
              <w:rPr>
                <w:rFonts w:hint="eastAsia" w:ascii="宋体" w:hAnsi="宋体" w:cs="宋体"/>
                <w:color w:val="auto"/>
                <w:kern w:val="0"/>
                <w:sz w:val="22"/>
                <w:szCs w:val="22"/>
              </w:rPr>
              <w:t>30515</w:t>
            </w:r>
          </w:p>
        </w:tc>
        <w:tc>
          <w:tcPr>
            <w:tcW w:w="706" w:type="dxa"/>
            <w:tcBorders>
              <w:top w:val="nil"/>
              <w:left w:val="nil"/>
              <w:bottom w:val="single" w:color="auto" w:sz="4" w:space="0"/>
              <w:right w:val="single" w:color="auto" w:sz="4" w:space="0"/>
            </w:tcBorders>
            <w:noWrap/>
            <w:vAlign w:val="center"/>
          </w:tcPr>
          <w:p w14:paraId="40FEE9D2">
            <w:pPr>
              <w:jc w:val="center"/>
              <w:textAlignment w:val="center"/>
              <w:rPr>
                <w:rFonts w:ascii="宋体" w:hAnsi="宋体" w:cs="宋体"/>
                <w:color w:val="auto"/>
                <w:sz w:val="22"/>
                <w:szCs w:val="22"/>
              </w:rPr>
            </w:pPr>
            <w:r>
              <w:rPr>
                <w:rFonts w:hint="eastAsia" w:ascii="宋体" w:hAnsi="宋体" w:cs="宋体"/>
                <w:color w:val="auto"/>
                <w:kern w:val="0"/>
                <w:sz w:val="22"/>
                <w:szCs w:val="22"/>
              </w:rPr>
              <w:t>25429</w:t>
            </w:r>
          </w:p>
        </w:tc>
        <w:tc>
          <w:tcPr>
            <w:tcW w:w="1029" w:type="dxa"/>
            <w:tcBorders>
              <w:top w:val="nil"/>
              <w:left w:val="nil"/>
              <w:bottom w:val="single" w:color="auto" w:sz="4" w:space="0"/>
              <w:right w:val="single" w:color="auto" w:sz="4" w:space="0"/>
            </w:tcBorders>
            <w:noWrap/>
            <w:vAlign w:val="center"/>
          </w:tcPr>
          <w:p w14:paraId="68CA636B">
            <w:pPr>
              <w:jc w:val="center"/>
              <w:textAlignment w:val="center"/>
              <w:rPr>
                <w:rFonts w:ascii="宋体" w:hAnsi="宋体" w:cs="宋体"/>
                <w:color w:val="auto"/>
                <w:sz w:val="22"/>
                <w:szCs w:val="22"/>
              </w:rPr>
            </w:pPr>
            <w:r>
              <w:rPr>
                <w:rFonts w:hint="eastAsia" w:ascii="宋体" w:hAnsi="宋体" w:cs="宋体"/>
                <w:color w:val="auto"/>
                <w:kern w:val="0"/>
                <w:sz w:val="22"/>
                <w:szCs w:val="22"/>
              </w:rPr>
              <w:t>5086</w:t>
            </w:r>
          </w:p>
        </w:tc>
        <w:tc>
          <w:tcPr>
            <w:tcW w:w="878" w:type="dxa"/>
            <w:tcBorders>
              <w:top w:val="nil"/>
              <w:left w:val="nil"/>
              <w:bottom w:val="single" w:color="auto" w:sz="4" w:space="0"/>
              <w:right w:val="single" w:color="auto" w:sz="4" w:space="0"/>
            </w:tcBorders>
            <w:noWrap/>
            <w:vAlign w:val="center"/>
          </w:tcPr>
          <w:p w14:paraId="27B72805">
            <w:pPr>
              <w:jc w:val="center"/>
              <w:textAlignment w:val="center"/>
              <w:rPr>
                <w:rFonts w:ascii="宋体" w:hAnsi="宋体" w:cs="宋体"/>
                <w:color w:val="auto"/>
                <w:sz w:val="24"/>
              </w:rPr>
            </w:pPr>
            <w:r>
              <w:rPr>
                <w:rFonts w:hint="eastAsia" w:ascii="宋体" w:hAnsi="宋体" w:cs="宋体"/>
                <w:color w:val="auto"/>
                <w:kern w:val="0"/>
                <w:sz w:val="22"/>
                <w:szCs w:val="22"/>
              </w:rPr>
              <w:t>170882</w:t>
            </w:r>
          </w:p>
        </w:tc>
        <w:tc>
          <w:tcPr>
            <w:tcW w:w="878" w:type="dxa"/>
            <w:tcBorders>
              <w:top w:val="nil"/>
              <w:left w:val="nil"/>
              <w:bottom w:val="single" w:color="auto" w:sz="4" w:space="0"/>
              <w:right w:val="single" w:color="auto" w:sz="4" w:space="0"/>
            </w:tcBorders>
            <w:noWrap/>
            <w:vAlign w:val="center"/>
          </w:tcPr>
          <w:p w14:paraId="6C1BE016">
            <w:pPr>
              <w:jc w:val="center"/>
              <w:textAlignment w:val="center"/>
              <w:rPr>
                <w:rFonts w:ascii="宋体" w:hAnsi="宋体" w:cs="宋体"/>
                <w:color w:val="auto"/>
                <w:sz w:val="22"/>
                <w:szCs w:val="22"/>
              </w:rPr>
            </w:pPr>
            <w:r>
              <w:rPr>
                <w:rFonts w:hint="eastAsia" w:ascii="宋体" w:hAnsi="宋体" w:cs="宋体"/>
                <w:color w:val="auto"/>
                <w:kern w:val="0"/>
                <w:sz w:val="22"/>
                <w:szCs w:val="22"/>
              </w:rPr>
              <w:t>142398</w:t>
            </w:r>
          </w:p>
        </w:tc>
        <w:tc>
          <w:tcPr>
            <w:tcW w:w="982" w:type="dxa"/>
            <w:tcBorders>
              <w:top w:val="nil"/>
              <w:left w:val="nil"/>
              <w:bottom w:val="single" w:color="auto" w:sz="4" w:space="0"/>
              <w:right w:val="single" w:color="auto" w:sz="4" w:space="0"/>
            </w:tcBorders>
            <w:noWrap/>
            <w:vAlign w:val="center"/>
          </w:tcPr>
          <w:p w14:paraId="3BCD54C2">
            <w:pPr>
              <w:jc w:val="center"/>
              <w:textAlignment w:val="center"/>
              <w:rPr>
                <w:rFonts w:ascii="宋体" w:hAnsi="宋体" w:cs="宋体"/>
                <w:color w:val="auto"/>
                <w:sz w:val="22"/>
                <w:szCs w:val="22"/>
              </w:rPr>
            </w:pPr>
            <w:r>
              <w:rPr>
                <w:rFonts w:hint="eastAsia" w:ascii="宋体" w:hAnsi="宋体" w:cs="宋体"/>
                <w:color w:val="auto"/>
                <w:kern w:val="0"/>
                <w:sz w:val="22"/>
                <w:szCs w:val="22"/>
              </w:rPr>
              <w:t>28484</w:t>
            </w:r>
          </w:p>
        </w:tc>
        <w:tc>
          <w:tcPr>
            <w:tcW w:w="1115" w:type="dxa"/>
            <w:tcBorders>
              <w:top w:val="nil"/>
              <w:left w:val="nil"/>
              <w:bottom w:val="single" w:color="auto" w:sz="4" w:space="0"/>
              <w:right w:val="single" w:color="auto" w:sz="4" w:space="0"/>
            </w:tcBorders>
            <w:noWrap/>
            <w:vAlign w:val="center"/>
          </w:tcPr>
          <w:p w14:paraId="73C1FA87">
            <w:pPr>
              <w:jc w:val="center"/>
              <w:textAlignment w:val="center"/>
              <w:rPr>
                <w:rFonts w:ascii="宋体" w:hAnsi="宋体" w:cs="宋体"/>
                <w:color w:val="auto"/>
                <w:sz w:val="24"/>
              </w:rPr>
            </w:pPr>
            <w:r>
              <w:rPr>
                <w:rFonts w:hint="eastAsia" w:ascii="宋体" w:hAnsi="宋体" w:cs="宋体"/>
                <w:color w:val="auto"/>
                <w:kern w:val="0"/>
                <w:sz w:val="22"/>
                <w:szCs w:val="22"/>
              </w:rPr>
              <w:t>152.6</w:t>
            </w:r>
          </w:p>
        </w:tc>
        <w:tc>
          <w:tcPr>
            <w:tcW w:w="803" w:type="dxa"/>
            <w:tcBorders>
              <w:top w:val="nil"/>
              <w:left w:val="nil"/>
              <w:bottom w:val="single" w:color="auto" w:sz="4" w:space="0"/>
              <w:right w:val="single" w:color="auto" w:sz="4" w:space="0"/>
            </w:tcBorders>
            <w:noWrap/>
            <w:vAlign w:val="center"/>
          </w:tcPr>
          <w:p w14:paraId="2EC969AB">
            <w:pPr>
              <w:jc w:val="center"/>
              <w:textAlignment w:val="center"/>
              <w:rPr>
                <w:rFonts w:ascii="宋体" w:hAnsi="宋体" w:cs="宋体"/>
                <w:color w:val="auto"/>
                <w:sz w:val="22"/>
                <w:szCs w:val="22"/>
              </w:rPr>
            </w:pPr>
            <w:r>
              <w:rPr>
                <w:rFonts w:hint="eastAsia" w:ascii="宋体" w:hAnsi="宋体" w:cs="宋体"/>
                <w:color w:val="auto"/>
                <w:kern w:val="0"/>
                <w:sz w:val="22"/>
                <w:szCs w:val="22"/>
              </w:rPr>
              <w:t>127.2</w:t>
            </w:r>
          </w:p>
        </w:tc>
        <w:tc>
          <w:tcPr>
            <w:tcW w:w="1124" w:type="dxa"/>
            <w:tcBorders>
              <w:top w:val="nil"/>
              <w:left w:val="nil"/>
              <w:bottom w:val="single" w:color="auto" w:sz="4" w:space="0"/>
              <w:right w:val="single" w:color="auto" w:sz="4" w:space="0"/>
            </w:tcBorders>
            <w:noWrap/>
            <w:vAlign w:val="center"/>
          </w:tcPr>
          <w:p w14:paraId="063ABCDC">
            <w:pPr>
              <w:jc w:val="center"/>
              <w:textAlignment w:val="center"/>
              <w:rPr>
                <w:rFonts w:ascii="宋体" w:hAnsi="宋体" w:cs="宋体"/>
                <w:color w:val="auto"/>
                <w:sz w:val="22"/>
                <w:szCs w:val="22"/>
              </w:rPr>
            </w:pPr>
            <w:r>
              <w:rPr>
                <w:rFonts w:hint="eastAsia" w:ascii="宋体" w:hAnsi="宋体" w:cs="宋体"/>
                <w:color w:val="auto"/>
                <w:kern w:val="0"/>
                <w:sz w:val="22"/>
                <w:szCs w:val="22"/>
              </w:rPr>
              <w:t>25.4</w:t>
            </w:r>
          </w:p>
        </w:tc>
        <w:tc>
          <w:tcPr>
            <w:tcW w:w="1384" w:type="dxa"/>
            <w:tcBorders>
              <w:top w:val="nil"/>
              <w:left w:val="nil"/>
              <w:bottom w:val="single" w:color="auto" w:sz="4" w:space="0"/>
              <w:right w:val="single" w:color="auto" w:sz="4" w:space="0"/>
            </w:tcBorders>
            <w:noWrap/>
            <w:vAlign w:val="center"/>
          </w:tcPr>
          <w:p w14:paraId="0C546E55">
            <w:pPr>
              <w:jc w:val="center"/>
              <w:textAlignment w:val="center"/>
              <w:rPr>
                <w:rFonts w:ascii="宋体" w:hAnsi="宋体" w:cs="宋体"/>
                <w:color w:val="auto"/>
                <w:sz w:val="24"/>
              </w:rPr>
            </w:pPr>
            <w:r>
              <w:rPr>
                <w:rFonts w:hint="eastAsia" w:ascii="宋体" w:hAnsi="宋体" w:cs="宋体"/>
                <w:color w:val="auto"/>
                <w:kern w:val="0"/>
                <w:sz w:val="22"/>
                <w:szCs w:val="22"/>
              </w:rPr>
              <w:t>7330</w:t>
            </w:r>
          </w:p>
        </w:tc>
      </w:tr>
      <w:tr w14:paraId="73626CFD">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2CBAB335">
            <w:pPr>
              <w:jc w:val="center"/>
              <w:textAlignment w:val="center"/>
              <w:rPr>
                <w:rFonts w:ascii="宋体" w:hAnsi="宋体" w:cs="宋体"/>
                <w:color w:val="auto"/>
                <w:sz w:val="24"/>
              </w:rPr>
            </w:pPr>
            <w:r>
              <w:rPr>
                <w:rFonts w:hint="eastAsia" w:ascii="宋体" w:hAnsi="宋体" w:cs="宋体"/>
                <w:color w:val="auto"/>
                <w:kern w:val="0"/>
                <w:sz w:val="24"/>
              </w:rPr>
              <w:t>4</w:t>
            </w:r>
          </w:p>
        </w:tc>
        <w:tc>
          <w:tcPr>
            <w:tcW w:w="1064" w:type="dxa"/>
            <w:tcBorders>
              <w:top w:val="nil"/>
              <w:left w:val="nil"/>
              <w:bottom w:val="single" w:color="auto" w:sz="4" w:space="0"/>
              <w:right w:val="single" w:color="auto" w:sz="4" w:space="0"/>
            </w:tcBorders>
            <w:noWrap/>
            <w:vAlign w:val="center"/>
          </w:tcPr>
          <w:p w14:paraId="12D089E7">
            <w:pPr>
              <w:jc w:val="center"/>
              <w:textAlignment w:val="center"/>
              <w:rPr>
                <w:rFonts w:ascii="宋体" w:hAnsi="宋体" w:cs="宋体"/>
                <w:color w:val="auto"/>
                <w:sz w:val="24"/>
              </w:rPr>
            </w:pPr>
            <w:r>
              <w:rPr>
                <w:rFonts w:hint="eastAsia" w:ascii="宋体" w:hAnsi="宋体" w:cs="宋体"/>
                <w:color w:val="auto"/>
                <w:kern w:val="0"/>
                <w:sz w:val="24"/>
              </w:rPr>
              <w:t>八都镇</w:t>
            </w:r>
          </w:p>
        </w:tc>
        <w:tc>
          <w:tcPr>
            <w:tcW w:w="642" w:type="dxa"/>
            <w:tcBorders>
              <w:top w:val="nil"/>
              <w:left w:val="nil"/>
              <w:bottom w:val="single" w:color="auto" w:sz="4" w:space="0"/>
              <w:right w:val="single" w:color="auto" w:sz="4" w:space="0"/>
            </w:tcBorders>
            <w:noWrap/>
            <w:vAlign w:val="center"/>
          </w:tcPr>
          <w:p w14:paraId="1CD4E65E">
            <w:pPr>
              <w:jc w:val="center"/>
              <w:textAlignment w:val="center"/>
              <w:rPr>
                <w:rFonts w:ascii="宋体" w:hAnsi="宋体" w:cs="宋体"/>
                <w:color w:val="auto"/>
                <w:sz w:val="24"/>
              </w:rPr>
            </w:pPr>
            <w:r>
              <w:rPr>
                <w:rFonts w:hint="eastAsia" w:ascii="宋体" w:hAnsi="宋体" w:cs="宋体"/>
                <w:color w:val="auto"/>
                <w:kern w:val="0"/>
                <w:sz w:val="22"/>
                <w:szCs w:val="22"/>
              </w:rPr>
              <w:t>128</w:t>
            </w:r>
          </w:p>
        </w:tc>
        <w:tc>
          <w:tcPr>
            <w:tcW w:w="641" w:type="dxa"/>
            <w:tcBorders>
              <w:top w:val="nil"/>
              <w:left w:val="nil"/>
              <w:bottom w:val="single" w:color="auto" w:sz="4" w:space="0"/>
              <w:right w:val="single" w:color="auto" w:sz="4" w:space="0"/>
            </w:tcBorders>
            <w:noWrap/>
            <w:vAlign w:val="center"/>
          </w:tcPr>
          <w:p w14:paraId="3101EF4E">
            <w:pPr>
              <w:jc w:val="center"/>
              <w:textAlignment w:val="center"/>
              <w:rPr>
                <w:rFonts w:ascii="宋体" w:hAnsi="宋体" w:cs="宋体"/>
                <w:color w:val="auto"/>
                <w:sz w:val="24"/>
              </w:rPr>
            </w:pPr>
            <w:r>
              <w:rPr>
                <w:rFonts w:hint="eastAsia" w:ascii="宋体" w:hAnsi="宋体" w:cs="宋体"/>
                <w:color w:val="auto"/>
                <w:kern w:val="0"/>
                <w:sz w:val="22"/>
                <w:szCs w:val="22"/>
              </w:rPr>
              <w:t>70</w:t>
            </w:r>
          </w:p>
        </w:tc>
        <w:tc>
          <w:tcPr>
            <w:tcW w:w="1089" w:type="dxa"/>
            <w:tcBorders>
              <w:top w:val="nil"/>
              <w:left w:val="nil"/>
              <w:bottom w:val="single" w:color="auto" w:sz="4" w:space="0"/>
              <w:right w:val="single" w:color="auto" w:sz="4" w:space="0"/>
            </w:tcBorders>
            <w:noWrap/>
            <w:vAlign w:val="center"/>
          </w:tcPr>
          <w:p w14:paraId="0E043E13">
            <w:pPr>
              <w:jc w:val="center"/>
              <w:textAlignment w:val="center"/>
              <w:rPr>
                <w:rFonts w:ascii="宋体" w:hAnsi="宋体" w:cs="宋体"/>
                <w:color w:val="auto"/>
                <w:sz w:val="24"/>
              </w:rPr>
            </w:pPr>
            <w:r>
              <w:rPr>
                <w:rFonts w:hint="eastAsia" w:ascii="宋体" w:hAnsi="宋体" w:cs="宋体"/>
                <w:color w:val="auto"/>
                <w:kern w:val="0"/>
                <w:sz w:val="22"/>
                <w:szCs w:val="22"/>
              </w:rPr>
              <w:t>58</w:t>
            </w:r>
          </w:p>
        </w:tc>
        <w:tc>
          <w:tcPr>
            <w:tcW w:w="764" w:type="dxa"/>
            <w:tcBorders>
              <w:top w:val="nil"/>
              <w:left w:val="nil"/>
              <w:bottom w:val="single" w:color="auto" w:sz="4" w:space="0"/>
              <w:right w:val="single" w:color="auto" w:sz="4" w:space="0"/>
            </w:tcBorders>
            <w:noWrap/>
            <w:vAlign w:val="center"/>
          </w:tcPr>
          <w:p w14:paraId="05228B29">
            <w:pPr>
              <w:jc w:val="center"/>
              <w:textAlignment w:val="center"/>
              <w:rPr>
                <w:rFonts w:ascii="宋体" w:hAnsi="宋体" w:cs="宋体"/>
                <w:color w:val="auto"/>
                <w:sz w:val="24"/>
              </w:rPr>
            </w:pPr>
            <w:r>
              <w:rPr>
                <w:rFonts w:hint="eastAsia" w:ascii="宋体" w:hAnsi="宋体" w:cs="宋体"/>
                <w:color w:val="auto"/>
                <w:kern w:val="0"/>
                <w:sz w:val="22"/>
                <w:szCs w:val="22"/>
              </w:rPr>
              <w:t>84617</w:t>
            </w:r>
          </w:p>
        </w:tc>
        <w:tc>
          <w:tcPr>
            <w:tcW w:w="706" w:type="dxa"/>
            <w:tcBorders>
              <w:top w:val="nil"/>
              <w:left w:val="nil"/>
              <w:bottom w:val="single" w:color="auto" w:sz="4" w:space="0"/>
              <w:right w:val="single" w:color="auto" w:sz="4" w:space="0"/>
            </w:tcBorders>
            <w:noWrap/>
            <w:vAlign w:val="center"/>
          </w:tcPr>
          <w:p w14:paraId="5B99FBDD">
            <w:pPr>
              <w:jc w:val="center"/>
              <w:textAlignment w:val="center"/>
              <w:rPr>
                <w:rFonts w:ascii="宋体" w:hAnsi="宋体" w:cs="宋体"/>
                <w:color w:val="auto"/>
                <w:sz w:val="22"/>
                <w:szCs w:val="22"/>
              </w:rPr>
            </w:pPr>
            <w:r>
              <w:rPr>
                <w:rFonts w:hint="eastAsia" w:ascii="宋体" w:hAnsi="宋体" w:cs="宋体"/>
                <w:color w:val="auto"/>
                <w:kern w:val="0"/>
                <w:sz w:val="22"/>
                <w:szCs w:val="22"/>
              </w:rPr>
              <w:t>45279</w:t>
            </w:r>
          </w:p>
        </w:tc>
        <w:tc>
          <w:tcPr>
            <w:tcW w:w="1029" w:type="dxa"/>
            <w:tcBorders>
              <w:top w:val="nil"/>
              <w:left w:val="nil"/>
              <w:bottom w:val="single" w:color="auto" w:sz="4" w:space="0"/>
              <w:right w:val="single" w:color="auto" w:sz="4" w:space="0"/>
            </w:tcBorders>
            <w:noWrap/>
            <w:vAlign w:val="center"/>
          </w:tcPr>
          <w:p w14:paraId="7025A672">
            <w:pPr>
              <w:jc w:val="center"/>
              <w:textAlignment w:val="center"/>
              <w:rPr>
                <w:rFonts w:ascii="宋体" w:hAnsi="宋体" w:cs="宋体"/>
                <w:color w:val="auto"/>
                <w:sz w:val="22"/>
                <w:szCs w:val="22"/>
              </w:rPr>
            </w:pPr>
            <w:r>
              <w:rPr>
                <w:rFonts w:hint="eastAsia" w:ascii="宋体" w:hAnsi="宋体" w:cs="宋体"/>
                <w:color w:val="auto"/>
                <w:kern w:val="0"/>
                <w:sz w:val="22"/>
                <w:szCs w:val="22"/>
              </w:rPr>
              <w:t>39338</w:t>
            </w:r>
          </w:p>
        </w:tc>
        <w:tc>
          <w:tcPr>
            <w:tcW w:w="878" w:type="dxa"/>
            <w:tcBorders>
              <w:top w:val="nil"/>
              <w:left w:val="nil"/>
              <w:bottom w:val="single" w:color="auto" w:sz="4" w:space="0"/>
              <w:right w:val="single" w:color="auto" w:sz="4" w:space="0"/>
            </w:tcBorders>
            <w:noWrap/>
            <w:vAlign w:val="center"/>
          </w:tcPr>
          <w:p w14:paraId="293A07F8">
            <w:pPr>
              <w:jc w:val="center"/>
              <w:textAlignment w:val="center"/>
              <w:rPr>
                <w:rFonts w:ascii="宋体" w:hAnsi="宋体" w:cs="宋体"/>
                <w:color w:val="auto"/>
                <w:sz w:val="24"/>
              </w:rPr>
            </w:pPr>
            <w:r>
              <w:rPr>
                <w:rFonts w:hint="eastAsia" w:ascii="宋体" w:hAnsi="宋体" w:cs="宋体"/>
                <w:color w:val="auto"/>
                <w:kern w:val="0"/>
                <w:sz w:val="22"/>
                <w:szCs w:val="22"/>
              </w:rPr>
              <w:t>473857</w:t>
            </w:r>
          </w:p>
        </w:tc>
        <w:tc>
          <w:tcPr>
            <w:tcW w:w="878" w:type="dxa"/>
            <w:tcBorders>
              <w:top w:val="nil"/>
              <w:left w:val="nil"/>
              <w:bottom w:val="single" w:color="auto" w:sz="4" w:space="0"/>
              <w:right w:val="single" w:color="auto" w:sz="4" w:space="0"/>
            </w:tcBorders>
            <w:noWrap/>
            <w:vAlign w:val="center"/>
          </w:tcPr>
          <w:p w14:paraId="3D85DD01">
            <w:pPr>
              <w:jc w:val="center"/>
              <w:textAlignment w:val="center"/>
              <w:rPr>
                <w:rFonts w:ascii="宋体" w:hAnsi="宋体" w:cs="宋体"/>
                <w:color w:val="auto"/>
                <w:sz w:val="24"/>
              </w:rPr>
            </w:pPr>
            <w:r>
              <w:rPr>
                <w:rFonts w:hint="eastAsia" w:ascii="宋体" w:hAnsi="宋体" w:cs="宋体"/>
                <w:color w:val="auto"/>
                <w:kern w:val="0"/>
                <w:sz w:val="22"/>
                <w:szCs w:val="22"/>
              </w:rPr>
              <w:t>143566</w:t>
            </w:r>
          </w:p>
        </w:tc>
        <w:tc>
          <w:tcPr>
            <w:tcW w:w="982" w:type="dxa"/>
            <w:tcBorders>
              <w:top w:val="nil"/>
              <w:left w:val="nil"/>
              <w:bottom w:val="single" w:color="auto" w:sz="4" w:space="0"/>
              <w:right w:val="single" w:color="auto" w:sz="4" w:space="0"/>
            </w:tcBorders>
            <w:noWrap/>
            <w:vAlign w:val="center"/>
          </w:tcPr>
          <w:p w14:paraId="1D8673D1">
            <w:pPr>
              <w:jc w:val="center"/>
              <w:textAlignment w:val="center"/>
              <w:rPr>
                <w:rFonts w:ascii="宋体" w:hAnsi="宋体" w:cs="宋体"/>
                <w:color w:val="auto"/>
                <w:sz w:val="24"/>
              </w:rPr>
            </w:pPr>
            <w:r>
              <w:rPr>
                <w:rFonts w:hint="eastAsia" w:ascii="宋体" w:hAnsi="宋体" w:cs="宋体"/>
                <w:color w:val="auto"/>
                <w:kern w:val="0"/>
                <w:sz w:val="22"/>
                <w:szCs w:val="22"/>
              </w:rPr>
              <w:t>330291</w:t>
            </w:r>
          </w:p>
        </w:tc>
        <w:tc>
          <w:tcPr>
            <w:tcW w:w="1115" w:type="dxa"/>
            <w:tcBorders>
              <w:top w:val="nil"/>
              <w:left w:val="nil"/>
              <w:bottom w:val="single" w:color="auto" w:sz="4" w:space="0"/>
              <w:right w:val="single" w:color="auto" w:sz="4" w:space="0"/>
            </w:tcBorders>
            <w:noWrap/>
            <w:vAlign w:val="center"/>
          </w:tcPr>
          <w:p w14:paraId="5BBEE19C">
            <w:pPr>
              <w:jc w:val="center"/>
              <w:textAlignment w:val="center"/>
              <w:rPr>
                <w:rFonts w:ascii="宋体" w:hAnsi="宋体" w:cs="宋体"/>
                <w:color w:val="auto"/>
                <w:sz w:val="24"/>
              </w:rPr>
            </w:pPr>
            <w:r>
              <w:rPr>
                <w:rFonts w:hint="eastAsia" w:ascii="宋体" w:hAnsi="宋体" w:cs="宋体"/>
                <w:color w:val="auto"/>
                <w:kern w:val="0"/>
                <w:sz w:val="22"/>
                <w:szCs w:val="22"/>
              </w:rPr>
              <w:t>697.1</w:t>
            </w:r>
          </w:p>
        </w:tc>
        <w:tc>
          <w:tcPr>
            <w:tcW w:w="803" w:type="dxa"/>
            <w:tcBorders>
              <w:top w:val="nil"/>
              <w:left w:val="nil"/>
              <w:bottom w:val="single" w:color="auto" w:sz="4" w:space="0"/>
              <w:right w:val="single" w:color="auto" w:sz="4" w:space="0"/>
            </w:tcBorders>
            <w:noWrap/>
            <w:vAlign w:val="center"/>
          </w:tcPr>
          <w:p w14:paraId="35D3877E">
            <w:pPr>
              <w:jc w:val="center"/>
              <w:textAlignment w:val="center"/>
              <w:rPr>
                <w:rFonts w:ascii="宋体" w:hAnsi="宋体" w:cs="宋体"/>
                <w:color w:val="auto"/>
                <w:sz w:val="22"/>
                <w:szCs w:val="22"/>
              </w:rPr>
            </w:pPr>
            <w:r>
              <w:rPr>
                <w:rFonts w:hint="eastAsia" w:ascii="宋体" w:hAnsi="宋体" w:cs="宋体"/>
                <w:color w:val="auto"/>
                <w:kern w:val="0"/>
                <w:sz w:val="22"/>
                <w:szCs w:val="22"/>
              </w:rPr>
              <w:t>279.4</w:t>
            </w:r>
          </w:p>
        </w:tc>
        <w:tc>
          <w:tcPr>
            <w:tcW w:w="1124" w:type="dxa"/>
            <w:tcBorders>
              <w:top w:val="nil"/>
              <w:left w:val="nil"/>
              <w:bottom w:val="single" w:color="auto" w:sz="4" w:space="0"/>
              <w:right w:val="single" w:color="auto" w:sz="4" w:space="0"/>
            </w:tcBorders>
            <w:noWrap/>
            <w:vAlign w:val="center"/>
          </w:tcPr>
          <w:p w14:paraId="391E355A">
            <w:pPr>
              <w:jc w:val="center"/>
              <w:textAlignment w:val="center"/>
              <w:rPr>
                <w:rFonts w:ascii="宋体" w:hAnsi="宋体" w:cs="宋体"/>
                <w:color w:val="auto"/>
                <w:sz w:val="22"/>
                <w:szCs w:val="22"/>
              </w:rPr>
            </w:pPr>
            <w:r>
              <w:rPr>
                <w:rFonts w:hint="eastAsia" w:ascii="宋体" w:hAnsi="宋体" w:cs="宋体"/>
                <w:color w:val="auto"/>
                <w:kern w:val="0"/>
                <w:sz w:val="22"/>
                <w:szCs w:val="22"/>
              </w:rPr>
              <w:t>417.7</w:t>
            </w:r>
          </w:p>
        </w:tc>
        <w:tc>
          <w:tcPr>
            <w:tcW w:w="1384" w:type="dxa"/>
            <w:tcBorders>
              <w:top w:val="nil"/>
              <w:left w:val="nil"/>
              <w:bottom w:val="single" w:color="auto" w:sz="4" w:space="0"/>
              <w:right w:val="single" w:color="auto" w:sz="4" w:space="0"/>
            </w:tcBorders>
            <w:noWrap/>
            <w:vAlign w:val="center"/>
          </w:tcPr>
          <w:p w14:paraId="51FAAF43">
            <w:pPr>
              <w:jc w:val="center"/>
              <w:textAlignment w:val="center"/>
              <w:rPr>
                <w:rFonts w:ascii="宋体" w:hAnsi="宋体" w:cs="宋体"/>
                <w:color w:val="auto"/>
                <w:sz w:val="24"/>
              </w:rPr>
            </w:pPr>
            <w:r>
              <w:rPr>
                <w:rFonts w:hint="eastAsia" w:ascii="宋体" w:hAnsi="宋体" w:cs="宋体"/>
                <w:color w:val="auto"/>
                <w:kern w:val="0"/>
                <w:sz w:val="22"/>
                <w:szCs w:val="22"/>
              </w:rPr>
              <w:t>26050</w:t>
            </w:r>
          </w:p>
        </w:tc>
      </w:tr>
      <w:tr w14:paraId="35DDE472">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3C0C8421">
            <w:pPr>
              <w:jc w:val="center"/>
              <w:textAlignment w:val="center"/>
              <w:rPr>
                <w:rFonts w:ascii="宋体" w:hAnsi="宋体" w:cs="宋体"/>
                <w:color w:val="auto"/>
                <w:sz w:val="24"/>
              </w:rPr>
            </w:pPr>
            <w:r>
              <w:rPr>
                <w:rFonts w:hint="eastAsia" w:ascii="宋体" w:hAnsi="宋体" w:cs="宋体"/>
                <w:color w:val="auto"/>
                <w:kern w:val="0"/>
                <w:sz w:val="24"/>
              </w:rPr>
              <w:t>5</w:t>
            </w:r>
          </w:p>
        </w:tc>
        <w:tc>
          <w:tcPr>
            <w:tcW w:w="1064" w:type="dxa"/>
            <w:tcBorders>
              <w:top w:val="nil"/>
              <w:left w:val="nil"/>
              <w:bottom w:val="single" w:color="auto" w:sz="4" w:space="0"/>
              <w:right w:val="single" w:color="auto" w:sz="4" w:space="0"/>
            </w:tcBorders>
            <w:noWrap/>
            <w:vAlign w:val="center"/>
          </w:tcPr>
          <w:p w14:paraId="5C218783">
            <w:pPr>
              <w:jc w:val="center"/>
              <w:textAlignment w:val="center"/>
              <w:rPr>
                <w:rFonts w:ascii="宋体" w:hAnsi="宋体" w:cs="宋体"/>
                <w:color w:val="auto"/>
                <w:sz w:val="24"/>
              </w:rPr>
            </w:pPr>
            <w:r>
              <w:rPr>
                <w:rFonts w:hint="eastAsia" w:ascii="宋体" w:hAnsi="宋体" w:cs="宋体"/>
                <w:color w:val="auto"/>
                <w:kern w:val="0"/>
                <w:sz w:val="24"/>
              </w:rPr>
              <w:t>上垟镇</w:t>
            </w:r>
          </w:p>
        </w:tc>
        <w:tc>
          <w:tcPr>
            <w:tcW w:w="642" w:type="dxa"/>
            <w:tcBorders>
              <w:top w:val="nil"/>
              <w:left w:val="nil"/>
              <w:bottom w:val="single" w:color="auto" w:sz="4" w:space="0"/>
              <w:right w:val="single" w:color="auto" w:sz="4" w:space="0"/>
            </w:tcBorders>
            <w:noWrap/>
            <w:vAlign w:val="center"/>
          </w:tcPr>
          <w:p w14:paraId="77464115">
            <w:pPr>
              <w:jc w:val="center"/>
              <w:textAlignment w:val="center"/>
              <w:rPr>
                <w:rFonts w:ascii="宋体" w:hAnsi="宋体" w:cs="宋体"/>
                <w:color w:val="auto"/>
                <w:sz w:val="24"/>
              </w:rPr>
            </w:pPr>
            <w:r>
              <w:rPr>
                <w:rFonts w:hint="eastAsia" w:ascii="宋体" w:hAnsi="宋体" w:cs="宋体"/>
                <w:color w:val="auto"/>
                <w:kern w:val="0"/>
                <w:sz w:val="22"/>
                <w:szCs w:val="22"/>
              </w:rPr>
              <w:t>38</w:t>
            </w:r>
          </w:p>
        </w:tc>
        <w:tc>
          <w:tcPr>
            <w:tcW w:w="641" w:type="dxa"/>
            <w:tcBorders>
              <w:top w:val="nil"/>
              <w:left w:val="nil"/>
              <w:bottom w:val="single" w:color="auto" w:sz="4" w:space="0"/>
              <w:right w:val="single" w:color="auto" w:sz="4" w:space="0"/>
            </w:tcBorders>
            <w:noWrap/>
            <w:vAlign w:val="center"/>
          </w:tcPr>
          <w:p w14:paraId="064174D1">
            <w:pPr>
              <w:jc w:val="center"/>
              <w:textAlignment w:val="center"/>
              <w:rPr>
                <w:rFonts w:ascii="宋体" w:hAnsi="宋体" w:cs="宋体"/>
                <w:color w:val="auto"/>
                <w:sz w:val="22"/>
                <w:szCs w:val="22"/>
              </w:rPr>
            </w:pPr>
            <w:r>
              <w:rPr>
                <w:rFonts w:hint="eastAsia" w:ascii="宋体" w:hAnsi="宋体" w:cs="宋体"/>
                <w:color w:val="auto"/>
                <w:kern w:val="0"/>
                <w:sz w:val="22"/>
                <w:szCs w:val="22"/>
              </w:rPr>
              <w:t>15</w:t>
            </w:r>
          </w:p>
        </w:tc>
        <w:tc>
          <w:tcPr>
            <w:tcW w:w="1089" w:type="dxa"/>
            <w:tcBorders>
              <w:top w:val="nil"/>
              <w:left w:val="nil"/>
              <w:bottom w:val="single" w:color="auto" w:sz="4" w:space="0"/>
              <w:right w:val="single" w:color="auto" w:sz="4" w:space="0"/>
            </w:tcBorders>
            <w:noWrap/>
            <w:vAlign w:val="center"/>
          </w:tcPr>
          <w:p w14:paraId="437FB9F3">
            <w:pPr>
              <w:jc w:val="center"/>
              <w:textAlignment w:val="center"/>
              <w:rPr>
                <w:rFonts w:ascii="宋体" w:hAnsi="宋体" w:cs="宋体"/>
                <w:color w:val="auto"/>
                <w:sz w:val="22"/>
                <w:szCs w:val="22"/>
              </w:rPr>
            </w:pPr>
            <w:r>
              <w:rPr>
                <w:rFonts w:hint="eastAsia" w:ascii="宋体" w:hAnsi="宋体" w:cs="宋体"/>
                <w:color w:val="auto"/>
                <w:kern w:val="0"/>
                <w:sz w:val="22"/>
                <w:szCs w:val="22"/>
              </w:rPr>
              <w:t>23</w:t>
            </w:r>
          </w:p>
        </w:tc>
        <w:tc>
          <w:tcPr>
            <w:tcW w:w="764" w:type="dxa"/>
            <w:tcBorders>
              <w:top w:val="nil"/>
              <w:left w:val="nil"/>
              <w:bottom w:val="single" w:color="auto" w:sz="4" w:space="0"/>
              <w:right w:val="single" w:color="auto" w:sz="4" w:space="0"/>
            </w:tcBorders>
            <w:noWrap/>
            <w:vAlign w:val="center"/>
          </w:tcPr>
          <w:p w14:paraId="663D82D1">
            <w:pPr>
              <w:jc w:val="center"/>
              <w:textAlignment w:val="center"/>
              <w:rPr>
                <w:rFonts w:ascii="宋体" w:hAnsi="宋体" w:cs="宋体"/>
                <w:color w:val="auto"/>
                <w:sz w:val="24"/>
              </w:rPr>
            </w:pPr>
            <w:r>
              <w:rPr>
                <w:rFonts w:hint="eastAsia" w:ascii="宋体" w:hAnsi="宋体" w:cs="宋体"/>
                <w:color w:val="auto"/>
                <w:kern w:val="0"/>
                <w:sz w:val="22"/>
                <w:szCs w:val="22"/>
              </w:rPr>
              <w:t>57692</w:t>
            </w:r>
          </w:p>
        </w:tc>
        <w:tc>
          <w:tcPr>
            <w:tcW w:w="706" w:type="dxa"/>
            <w:tcBorders>
              <w:top w:val="nil"/>
              <w:left w:val="nil"/>
              <w:bottom w:val="single" w:color="auto" w:sz="4" w:space="0"/>
              <w:right w:val="single" w:color="auto" w:sz="4" w:space="0"/>
            </w:tcBorders>
            <w:noWrap/>
            <w:vAlign w:val="center"/>
          </w:tcPr>
          <w:p w14:paraId="01406BEC">
            <w:pPr>
              <w:jc w:val="center"/>
              <w:textAlignment w:val="center"/>
              <w:rPr>
                <w:rFonts w:ascii="宋体" w:hAnsi="宋体" w:cs="宋体"/>
                <w:color w:val="auto"/>
                <w:sz w:val="24"/>
              </w:rPr>
            </w:pPr>
            <w:r>
              <w:rPr>
                <w:rFonts w:hint="eastAsia" w:ascii="宋体" w:hAnsi="宋体" w:cs="宋体"/>
                <w:color w:val="auto"/>
                <w:kern w:val="0"/>
                <w:sz w:val="22"/>
                <w:szCs w:val="22"/>
              </w:rPr>
              <w:t>20105</w:t>
            </w:r>
          </w:p>
        </w:tc>
        <w:tc>
          <w:tcPr>
            <w:tcW w:w="1029" w:type="dxa"/>
            <w:tcBorders>
              <w:top w:val="nil"/>
              <w:left w:val="nil"/>
              <w:bottom w:val="single" w:color="auto" w:sz="4" w:space="0"/>
              <w:right w:val="single" w:color="auto" w:sz="4" w:space="0"/>
            </w:tcBorders>
            <w:noWrap/>
            <w:vAlign w:val="center"/>
          </w:tcPr>
          <w:p w14:paraId="05846091">
            <w:pPr>
              <w:jc w:val="center"/>
              <w:textAlignment w:val="center"/>
              <w:rPr>
                <w:rFonts w:ascii="宋体" w:hAnsi="宋体" w:cs="宋体"/>
                <w:color w:val="auto"/>
                <w:sz w:val="24"/>
              </w:rPr>
            </w:pPr>
            <w:r>
              <w:rPr>
                <w:rFonts w:hint="eastAsia" w:ascii="宋体" w:hAnsi="宋体" w:cs="宋体"/>
                <w:color w:val="auto"/>
                <w:kern w:val="0"/>
                <w:sz w:val="22"/>
                <w:szCs w:val="22"/>
              </w:rPr>
              <w:t>37587</w:t>
            </w:r>
          </w:p>
        </w:tc>
        <w:tc>
          <w:tcPr>
            <w:tcW w:w="878" w:type="dxa"/>
            <w:tcBorders>
              <w:top w:val="nil"/>
              <w:left w:val="nil"/>
              <w:bottom w:val="single" w:color="auto" w:sz="4" w:space="0"/>
              <w:right w:val="single" w:color="auto" w:sz="4" w:space="0"/>
            </w:tcBorders>
            <w:noWrap/>
            <w:vAlign w:val="center"/>
          </w:tcPr>
          <w:p w14:paraId="456D3EF4">
            <w:pPr>
              <w:jc w:val="center"/>
              <w:textAlignment w:val="center"/>
              <w:rPr>
                <w:rFonts w:ascii="宋体" w:hAnsi="宋体" w:cs="宋体"/>
                <w:color w:val="auto"/>
                <w:sz w:val="24"/>
              </w:rPr>
            </w:pPr>
            <w:r>
              <w:rPr>
                <w:rFonts w:hint="eastAsia" w:ascii="宋体" w:hAnsi="宋体" w:cs="宋体"/>
                <w:color w:val="auto"/>
                <w:kern w:val="0"/>
                <w:sz w:val="22"/>
                <w:szCs w:val="22"/>
              </w:rPr>
              <w:t>323059</w:t>
            </w:r>
          </w:p>
        </w:tc>
        <w:tc>
          <w:tcPr>
            <w:tcW w:w="878" w:type="dxa"/>
            <w:tcBorders>
              <w:top w:val="nil"/>
              <w:left w:val="nil"/>
              <w:bottom w:val="single" w:color="auto" w:sz="4" w:space="0"/>
              <w:right w:val="single" w:color="auto" w:sz="4" w:space="0"/>
            </w:tcBorders>
            <w:noWrap/>
            <w:vAlign w:val="center"/>
          </w:tcPr>
          <w:p w14:paraId="311CC47D">
            <w:pPr>
              <w:jc w:val="center"/>
              <w:textAlignment w:val="center"/>
              <w:rPr>
                <w:rFonts w:ascii="宋体" w:hAnsi="宋体" w:cs="宋体"/>
                <w:color w:val="auto"/>
                <w:sz w:val="22"/>
                <w:szCs w:val="22"/>
              </w:rPr>
            </w:pPr>
            <w:r>
              <w:rPr>
                <w:rFonts w:hint="eastAsia" w:ascii="宋体" w:hAnsi="宋体" w:cs="宋体"/>
                <w:color w:val="auto"/>
                <w:kern w:val="0"/>
                <w:sz w:val="22"/>
                <w:szCs w:val="22"/>
              </w:rPr>
              <w:t>112586</w:t>
            </w:r>
          </w:p>
        </w:tc>
        <w:tc>
          <w:tcPr>
            <w:tcW w:w="982" w:type="dxa"/>
            <w:tcBorders>
              <w:top w:val="nil"/>
              <w:left w:val="nil"/>
              <w:bottom w:val="single" w:color="auto" w:sz="4" w:space="0"/>
              <w:right w:val="single" w:color="auto" w:sz="4" w:space="0"/>
            </w:tcBorders>
            <w:noWrap/>
            <w:vAlign w:val="center"/>
          </w:tcPr>
          <w:p w14:paraId="0EC545DC">
            <w:pPr>
              <w:jc w:val="center"/>
              <w:textAlignment w:val="center"/>
              <w:rPr>
                <w:rFonts w:ascii="宋体" w:hAnsi="宋体" w:cs="宋体"/>
                <w:color w:val="auto"/>
                <w:sz w:val="22"/>
                <w:szCs w:val="22"/>
              </w:rPr>
            </w:pPr>
            <w:r>
              <w:rPr>
                <w:rFonts w:hint="eastAsia" w:ascii="宋体" w:hAnsi="宋体" w:cs="宋体"/>
                <w:color w:val="auto"/>
                <w:kern w:val="0"/>
                <w:sz w:val="22"/>
                <w:szCs w:val="22"/>
              </w:rPr>
              <w:t>210473</w:t>
            </w:r>
          </w:p>
        </w:tc>
        <w:tc>
          <w:tcPr>
            <w:tcW w:w="1115" w:type="dxa"/>
            <w:tcBorders>
              <w:top w:val="nil"/>
              <w:left w:val="nil"/>
              <w:bottom w:val="single" w:color="auto" w:sz="4" w:space="0"/>
              <w:right w:val="single" w:color="auto" w:sz="4" w:space="0"/>
            </w:tcBorders>
            <w:noWrap/>
            <w:vAlign w:val="center"/>
          </w:tcPr>
          <w:p w14:paraId="5276CC86">
            <w:pPr>
              <w:jc w:val="center"/>
              <w:textAlignment w:val="center"/>
              <w:rPr>
                <w:rFonts w:ascii="宋体" w:hAnsi="宋体" w:cs="宋体"/>
                <w:color w:val="auto"/>
                <w:sz w:val="24"/>
              </w:rPr>
            </w:pPr>
            <w:r>
              <w:rPr>
                <w:rFonts w:hint="eastAsia" w:ascii="宋体" w:hAnsi="宋体" w:cs="宋体"/>
                <w:color w:val="auto"/>
                <w:kern w:val="0"/>
                <w:sz w:val="22"/>
                <w:szCs w:val="22"/>
              </w:rPr>
              <w:t>288.59</w:t>
            </w:r>
          </w:p>
        </w:tc>
        <w:tc>
          <w:tcPr>
            <w:tcW w:w="803" w:type="dxa"/>
            <w:tcBorders>
              <w:top w:val="nil"/>
              <w:left w:val="nil"/>
              <w:bottom w:val="single" w:color="auto" w:sz="4" w:space="0"/>
              <w:right w:val="single" w:color="auto" w:sz="4" w:space="0"/>
            </w:tcBorders>
            <w:noWrap/>
            <w:vAlign w:val="center"/>
          </w:tcPr>
          <w:p w14:paraId="488A08D4">
            <w:pPr>
              <w:jc w:val="center"/>
              <w:textAlignment w:val="center"/>
              <w:rPr>
                <w:rFonts w:ascii="宋体" w:hAnsi="宋体" w:cs="宋体"/>
                <w:color w:val="auto"/>
                <w:sz w:val="22"/>
                <w:szCs w:val="22"/>
              </w:rPr>
            </w:pPr>
            <w:r>
              <w:rPr>
                <w:rFonts w:hint="eastAsia" w:ascii="宋体" w:hAnsi="宋体" w:cs="宋体"/>
                <w:color w:val="auto"/>
                <w:kern w:val="0"/>
                <w:sz w:val="22"/>
                <w:szCs w:val="22"/>
              </w:rPr>
              <w:t>100.57</w:t>
            </w:r>
          </w:p>
        </w:tc>
        <w:tc>
          <w:tcPr>
            <w:tcW w:w="1124" w:type="dxa"/>
            <w:tcBorders>
              <w:top w:val="nil"/>
              <w:left w:val="nil"/>
              <w:bottom w:val="single" w:color="auto" w:sz="4" w:space="0"/>
              <w:right w:val="single" w:color="auto" w:sz="4" w:space="0"/>
            </w:tcBorders>
            <w:noWrap/>
            <w:vAlign w:val="center"/>
          </w:tcPr>
          <w:p w14:paraId="4734A98B">
            <w:pPr>
              <w:jc w:val="center"/>
              <w:textAlignment w:val="center"/>
              <w:rPr>
                <w:rFonts w:ascii="宋体" w:hAnsi="宋体" w:cs="宋体"/>
                <w:color w:val="auto"/>
                <w:sz w:val="22"/>
                <w:szCs w:val="22"/>
              </w:rPr>
            </w:pPr>
            <w:r>
              <w:rPr>
                <w:rFonts w:hint="eastAsia" w:ascii="宋体" w:hAnsi="宋体" w:cs="宋体"/>
                <w:color w:val="auto"/>
                <w:kern w:val="0"/>
                <w:sz w:val="22"/>
                <w:szCs w:val="22"/>
              </w:rPr>
              <w:t>188.02</w:t>
            </w:r>
          </w:p>
        </w:tc>
        <w:tc>
          <w:tcPr>
            <w:tcW w:w="1384" w:type="dxa"/>
            <w:tcBorders>
              <w:top w:val="nil"/>
              <w:left w:val="nil"/>
              <w:bottom w:val="single" w:color="auto" w:sz="4" w:space="0"/>
              <w:right w:val="single" w:color="auto" w:sz="4" w:space="0"/>
            </w:tcBorders>
            <w:noWrap/>
            <w:vAlign w:val="center"/>
          </w:tcPr>
          <w:p w14:paraId="10B1DD85">
            <w:pPr>
              <w:jc w:val="center"/>
              <w:textAlignment w:val="center"/>
              <w:rPr>
                <w:rFonts w:ascii="宋体" w:hAnsi="宋体" w:cs="宋体"/>
                <w:color w:val="auto"/>
                <w:sz w:val="24"/>
              </w:rPr>
            </w:pPr>
            <w:r>
              <w:rPr>
                <w:rFonts w:hint="eastAsia" w:ascii="宋体" w:hAnsi="宋体" w:cs="宋体"/>
                <w:color w:val="auto"/>
                <w:kern w:val="0"/>
                <w:sz w:val="22"/>
                <w:szCs w:val="22"/>
              </w:rPr>
              <w:t>15100</w:t>
            </w:r>
          </w:p>
        </w:tc>
      </w:tr>
      <w:tr w14:paraId="65F6AD17">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7C65FAC8">
            <w:pPr>
              <w:jc w:val="center"/>
              <w:textAlignment w:val="center"/>
              <w:rPr>
                <w:rFonts w:ascii="宋体" w:hAnsi="宋体" w:cs="宋体"/>
                <w:color w:val="auto"/>
                <w:sz w:val="24"/>
              </w:rPr>
            </w:pPr>
            <w:r>
              <w:rPr>
                <w:rFonts w:hint="eastAsia" w:ascii="宋体" w:hAnsi="宋体" w:cs="宋体"/>
                <w:color w:val="auto"/>
                <w:kern w:val="0"/>
                <w:sz w:val="24"/>
              </w:rPr>
              <w:t>6</w:t>
            </w:r>
          </w:p>
        </w:tc>
        <w:tc>
          <w:tcPr>
            <w:tcW w:w="1064" w:type="dxa"/>
            <w:tcBorders>
              <w:top w:val="nil"/>
              <w:left w:val="nil"/>
              <w:bottom w:val="single" w:color="auto" w:sz="4" w:space="0"/>
              <w:right w:val="single" w:color="auto" w:sz="4" w:space="0"/>
            </w:tcBorders>
            <w:noWrap/>
            <w:vAlign w:val="center"/>
          </w:tcPr>
          <w:p w14:paraId="54797AAA">
            <w:pPr>
              <w:jc w:val="center"/>
              <w:textAlignment w:val="center"/>
              <w:rPr>
                <w:rFonts w:ascii="宋体" w:hAnsi="宋体" w:cs="宋体"/>
                <w:color w:val="auto"/>
                <w:sz w:val="24"/>
              </w:rPr>
            </w:pPr>
            <w:r>
              <w:rPr>
                <w:rFonts w:hint="eastAsia" w:ascii="宋体" w:hAnsi="宋体" w:cs="宋体"/>
                <w:color w:val="auto"/>
                <w:kern w:val="0"/>
                <w:sz w:val="24"/>
              </w:rPr>
              <w:t>岩樟乡</w:t>
            </w:r>
          </w:p>
        </w:tc>
        <w:tc>
          <w:tcPr>
            <w:tcW w:w="642" w:type="dxa"/>
            <w:tcBorders>
              <w:top w:val="nil"/>
              <w:left w:val="nil"/>
              <w:bottom w:val="single" w:color="auto" w:sz="4" w:space="0"/>
              <w:right w:val="single" w:color="auto" w:sz="4" w:space="0"/>
            </w:tcBorders>
            <w:noWrap/>
            <w:vAlign w:val="center"/>
          </w:tcPr>
          <w:p w14:paraId="47A99B21">
            <w:pPr>
              <w:jc w:val="center"/>
              <w:textAlignment w:val="center"/>
              <w:rPr>
                <w:rFonts w:ascii="宋体" w:hAnsi="宋体" w:cs="宋体"/>
                <w:color w:val="auto"/>
                <w:sz w:val="24"/>
              </w:rPr>
            </w:pPr>
            <w:r>
              <w:rPr>
                <w:rFonts w:hint="eastAsia" w:ascii="宋体" w:hAnsi="宋体" w:cs="宋体"/>
                <w:color w:val="auto"/>
                <w:kern w:val="0"/>
                <w:sz w:val="22"/>
                <w:szCs w:val="22"/>
              </w:rPr>
              <w:t>22</w:t>
            </w:r>
          </w:p>
        </w:tc>
        <w:tc>
          <w:tcPr>
            <w:tcW w:w="641" w:type="dxa"/>
            <w:tcBorders>
              <w:top w:val="nil"/>
              <w:left w:val="nil"/>
              <w:bottom w:val="single" w:color="auto" w:sz="4" w:space="0"/>
              <w:right w:val="single" w:color="auto" w:sz="4" w:space="0"/>
            </w:tcBorders>
            <w:noWrap/>
            <w:vAlign w:val="center"/>
          </w:tcPr>
          <w:p w14:paraId="09BF2F3D">
            <w:pPr>
              <w:jc w:val="center"/>
              <w:textAlignment w:val="center"/>
              <w:rPr>
                <w:rFonts w:ascii="宋体" w:hAnsi="宋体" w:cs="宋体"/>
                <w:color w:val="auto"/>
                <w:sz w:val="24"/>
              </w:rPr>
            </w:pPr>
            <w:r>
              <w:rPr>
                <w:rFonts w:hint="eastAsia" w:ascii="宋体" w:hAnsi="宋体" w:cs="宋体"/>
                <w:color w:val="auto"/>
                <w:kern w:val="0"/>
                <w:sz w:val="22"/>
                <w:szCs w:val="22"/>
              </w:rPr>
              <w:t>21</w:t>
            </w:r>
          </w:p>
        </w:tc>
        <w:tc>
          <w:tcPr>
            <w:tcW w:w="1089" w:type="dxa"/>
            <w:tcBorders>
              <w:top w:val="nil"/>
              <w:left w:val="nil"/>
              <w:bottom w:val="single" w:color="auto" w:sz="4" w:space="0"/>
              <w:right w:val="single" w:color="auto" w:sz="4" w:space="0"/>
            </w:tcBorders>
            <w:noWrap/>
            <w:vAlign w:val="center"/>
          </w:tcPr>
          <w:p w14:paraId="308E434F">
            <w:pPr>
              <w:jc w:val="center"/>
              <w:textAlignment w:val="center"/>
              <w:rPr>
                <w:rFonts w:ascii="宋体" w:hAnsi="宋体" w:cs="宋体"/>
                <w:color w:val="auto"/>
                <w:sz w:val="24"/>
              </w:rPr>
            </w:pPr>
            <w:r>
              <w:rPr>
                <w:rFonts w:hint="eastAsia" w:ascii="宋体" w:hAnsi="宋体" w:cs="宋体"/>
                <w:color w:val="auto"/>
                <w:kern w:val="0"/>
                <w:sz w:val="22"/>
                <w:szCs w:val="22"/>
              </w:rPr>
              <w:t>1</w:t>
            </w:r>
          </w:p>
        </w:tc>
        <w:tc>
          <w:tcPr>
            <w:tcW w:w="764" w:type="dxa"/>
            <w:tcBorders>
              <w:top w:val="nil"/>
              <w:left w:val="nil"/>
              <w:bottom w:val="single" w:color="auto" w:sz="4" w:space="0"/>
              <w:right w:val="single" w:color="auto" w:sz="4" w:space="0"/>
            </w:tcBorders>
            <w:noWrap/>
            <w:vAlign w:val="center"/>
          </w:tcPr>
          <w:p w14:paraId="0050A799">
            <w:pPr>
              <w:jc w:val="center"/>
              <w:textAlignment w:val="center"/>
              <w:rPr>
                <w:rFonts w:ascii="宋体" w:hAnsi="宋体" w:cs="宋体"/>
                <w:color w:val="auto"/>
                <w:sz w:val="24"/>
              </w:rPr>
            </w:pPr>
            <w:r>
              <w:rPr>
                <w:rFonts w:hint="eastAsia" w:ascii="宋体" w:hAnsi="宋体" w:cs="宋体"/>
                <w:color w:val="auto"/>
                <w:kern w:val="0"/>
                <w:sz w:val="22"/>
                <w:szCs w:val="22"/>
              </w:rPr>
              <w:t>24122</w:t>
            </w:r>
          </w:p>
        </w:tc>
        <w:tc>
          <w:tcPr>
            <w:tcW w:w="706" w:type="dxa"/>
            <w:tcBorders>
              <w:top w:val="nil"/>
              <w:left w:val="nil"/>
              <w:bottom w:val="single" w:color="auto" w:sz="4" w:space="0"/>
              <w:right w:val="single" w:color="auto" w:sz="4" w:space="0"/>
            </w:tcBorders>
            <w:noWrap/>
            <w:vAlign w:val="center"/>
          </w:tcPr>
          <w:p w14:paraId="7B9D85ED">
            <w:pPr>
              <w:jc w:val="center"/>
              <w:textAlignment w:val="center"/>
              <w:rPr>
                <w:rFonts w:ascii="宋体" w:hAnsi="宋体" w:cs="宋体"/>
                <w:color w:val="auto"/>
                <w:sz w:val="22"/>
                <w:szCs w:val="22"/>
              </w:rPr>
            </w:pPr>
            <w:r>
              <w:rPr>
                <w:rFonts w:hint="eastAsia" w:ascii="宋体" w:hAnsi="宋体" w:cs="宋体"/>
                <w:color w:val="auto"/>
                <w:kern w:val="0"/>
                <w:sz w:val="22"/>
                <w:szCs w:val="22"/>
              </w:rPr>
              <w:t>23191</w:t>
            </w:r>
          </w:p>
        </w:tc>
        <w:tc>
          <w:tcPr>
            <w:tcW w:w="1029" w:type="dxa"/>
            <w:tcBorders>
              <w:top w:val="nil"/>
              <w:left w:val="nil"/>
              <w:bottom w:val="single" w:color="auto" w:sz="4" w:space="0"/>
              <w:right w:val="single" w:color="auto" w:sz="4" w:space="0"/>
            </w:tcBorders>
            <w:noWrap/>
            <w:vAlign w:val="center"/>
          </w:tcPr>
          <w:p w14:paraId="6A3705E4">
            <w:pPr>
              <w:jc w:val="center"/>
              <w:textAlignment w:val="center"/>
              <w:rPr>
                <w:rFonts w:ascii="宋体" w:hAnsi="宋体" w:cs="宋体"/>
                <w:color w:val="auto"/>
                <w:sz w:val="22"/>
                <w:szCs w:val="22"/>
              </w:rPr>
            </w:pPr>
            <w:r>
              <w:rPr>
                <w:rFonts w:hint="eastAsia" w:ascii="宋体" w:hAnsi="宋体" w:cs="宋体"/>
                <w:color w:val="auto"/>
                <w:kern w:val="0"/>
                <w:sz w:val="22"/>
                <w:szCs w:val="22"/>
              </w:rPr>
              <w:t>931</w:t>
            </w:r>
          </w:p>
        </w:tc>
        <w:tc>
          <w:tcPr>
            <w:tcW w:w="878" w:type="dxa"/>
            <w:tcBorders>
              <w:top w:val="nil"/>
              <w:left w:val="nil"/>
              <w:bottom w:val="single" w:color="auto" w:sz="4" w:space="0"/>
              <w:right w:val="single" w:color="auto" w:sz="4" w:space="0"/>
            </w:tcBorders>
            <w:noWrap/>
            <w:vAlign w:val="center"/>
          </w:tcPr>
          <w:p w14:paraId="34262516">
            <w:pPr>
              <w:jc w:val="center"/>
              <w:textAlignment w:val="center"/>
              <w:rPr>
                <w:rFonts w:ascii="宋体" w:hAnsi="宋体" w:cs="宋体"/>
                <w:color w:val="auto"/>
                <w:sz w:val="24"/>
              </w:rPr>
            </w:pPr>
            <w:r>
              <w:rPr>
                <w:rFonts w:hint="eastAsia" w:ascii="宋体" w:hAnsi="宋体" w:cs="宋体"/>
                <w:color w:val="auto"/>
                <w:kern w:val="0"/>
                <w:sz w:val="22"/>
                <w:szCs w:val="22"/>
              </w:rPr>
              <w:t>135092</w:t>
            </w:r>
          </w:p>
        </w:tc>
        <w:tc>
          <w:tcPr>
            <w:tcW w:w="878" w:type="dxa"/>
            <w:tcBorders>
              <w:top w:val="nil"/>
              <w:left w:val="nil"/>
              <w:bottom w:val="single" w:color="auto" w:sz="4" w:space="0"/>
              <w:right w:val="single" w:color="auto" w:sz="4" w:space="0"/>
            </w:tcBorders>
            <w:noWrap/>
            <w:vAlign w:val="center"/>
          </w:tcPr>
          <w:p w14:paraId="41189A13">
            <w:pPr>
              <w:jc w:val="center"/>
              <w:textAlignment w:val="center"/>
              <w:rPr>
                <w:rFonts w:ascii="宋体" w:hAnsi="宋体" w:cs="宋体"/>
                <w:color w:val="auto"/>
                <w:sz w:val="22"/>
                <w:szCs w:val="22"/>
              </w:rPr>
            </w:pPr>
            <w:r>
              <w:rPr>
                <w:rFonts w:hint="eastAsia" w:ascii="宋体" w:hAnsi="宋体" w:cs="宋体"/>
                <w:color w:val="auto"/>
                <w:kern w:val="0"/>
                <w:sz w:val="22"/>
                <w:szCs w:val="22"/>
              </w:rPr>
              <w:t>129878</w:t>
            </w:r>
          </w:p>
        </w:tc>
        <w:tc>
          <w:tcPr>
            <w:tcW w:w="982" w:type="dxa"/>
            <w:tcBorders>
              <w:top w:val="nil"/>
              <w:left w:val="nil"/>
              <w:bottom w:val="single" w:color="auto" w:sz="4" w:space="0"/>
              <w:right w:val="single" w:color="auto" w:sz="4" w:space="0"/>
            </w:tcBorders>
            <w:noWrap/>
            <w:vAlign w:val="center"/>
          </w:tcPr>
          <w:p w14:paraId="1DB7DCA7">
            <w:pPr>
              <w:jc w:val="center"/>
              <w:textAlignment w:val="center"/>
              <w:rPr>
                <w:rFonts w:ascii="宋体" w:hAnsi="宋体" w:cs="宋体"/>
                <w:color w:val="auto"/>
                <w:sz w:val="22"/>
                <w:szCs w:val="22"/>
              </w:rPr>
            </w:pPr>
            <w:r>
              <w:rPr>
                <w:rFonts w:hint="eastAsia" w:ascii="宋体" w:hAnsi="宋体" w:cs="宋体"/>
                <w:color w:val="auto"/>
                <w:kern w:val="0"/>
                <w:sz w:val="22"/>
                <w:szCs w:val="22"/>
              </w:rPr>
              <w:t>5214</w:t>
            </w:r>
          </w:p>
        </w:tc>
        <w:tc>
          <w:tcPr>
            <w:tcW w:w="1115" w:type="dxa"/>
            <w:tcBorders>
              <w:top w:val="nil"/>
              <w:left w:val="nil"/>
              <w:bottom w:val="single" w:color="auto" w:sz="4" w:space="0"/>
              <w:right w:val="single" w:color="auto" w:sz="4" w:space="0"/>
            </w:tcBorders>
            <w:noWrap/>
            <w:vAlign w:val="center"/>
          </w:tcPr>
          <w:p w14:paraId="36AE5D11">
            <w:pPr>
              <w:jc w:val="center"/>
              <w:textAlignment w:val="center"/>
              <w:rPr>
                <w:rFonts w:ascii="宋体" w:hAnsi="宋体" w:cs="宋体"/>
                <w:color w:val="auto"/>
                <w:sz w:val="24"/>
              </w:rPr>
            </w:pPr>
            <w:r>
              <w:rPr>
                <w:rFonts w:hint="eastAsia" w:ascii="宋体" w:hAnsi="宋体" w:cs="宋体"/>
                <w:color w:val="auto"/>
                <w:kern w:val="0"/>
                <w:sz w:val="22"/>
                <w:szCs w:val="22"/>
              </w:rPr>
              <w:t>148.59</w:t>
            </w:r>
          </w:p>
        </w:tc>
        <w:tc>
          <w:tcPr>
            <w:tcW w:w="803" w:type="dxa"/>
            <w:tcBorders>
              <w:top w:val="nil"/>
              <w:left w:val="nil"/>
              <w:bottom w:val="single" w:color="auto" w:sz="4" w:space="0"/>
              <w:right w:val="single" w:color="auto" w:sz="4" w:space="0"/>
            </w:tcBorders>
            <w:noWrap/>
            <w:vAlign w:val="center"/>
          </w:tcPr>
          <w:p w14:paraId="61E7A4BF">
            <w:pPr>
              <w:jc w:val="center"/>
              <w:textAlignment w:val="center"/>
              <w:rPr>
                <w:rFonts w:ascii="宋体" w:hAnsi="宋体" w:cs="宋体"/>
                <w:color w:val="auto"/>
                <w:sz w:val="24"/>
              </w:rPr>
            </w:pPr>
            <w:r>
              <w:rPr>
                <w:rFonts w:hint="eastAsia" w:ascii="宋体" w:hAnsi="宋体" w:cs="宋体"/>
                <w:color w:val="auto"/>
                <w:kern w:val="0"/>
                <w:sz w:val="22"/>
                <w:szCs w:val="22"/>
              </w:rPr>
              <w:t>116</w:t>
            </w:r>
          </w:p>
        </w:tc>
        <w:tc>
          <w:tcPr>
            <w:tcW w:w="1124" w:type="dxa"/>
            <w:tcBorders>
              <w:top w:val="nil"/>
              <w:left w:val="nil"/>
              <w:bottom w:val="single" w:color="auto" w:sz="4" w:space="0"/>
              <w:right w:val="single" w:color="auto" w:sz="4" w:space="0"/>
            </w:tcBorders>
            <w:noWrap/>
            <w:vAlign w:val="center"/>
          </w:tcPr>
          <w:p w14:paraId="6B366CFF">
            <w:pPr>
              <w:jc w:val="center"/>
              <w:textAlignment w:val="center"/>
              <w:rPr>
                <w:rFonts w:ascii="宋体" w:hAnsi="宋体" w:cs="宋体"/>
                <w:color w:val="auto"/>
                <w:sz w:val="24"/>
              </w:rPr>
            </w:pPr>
            <w:r>
              <w:rPr>
                <w:rFonts w:hint="eastAsia" w:ascii="宋体" w:hAnsi="宋体" w:cs="宋体"/>
                <w:color w:val="auto"/>
                <w:kern w:val="0"/>
                <w:sz w:val="22"/>
                <w:szCs w:val="22"/>
              </w:rPr>
              <w:t>32.59</w:t>
            </w:r>
          </w:p>
        </w:tc>
        <w:tc>
          <w:tcPr>
            <w:tcW w:w="1384" w:type="dxa"/>
            <w:tcBorders>
              <w:top w:val="nil"/>
              <w:left w:val="nil"/>
              <w:bottom w:val="single" w:color="auto" w:sz="4" w:space="0"/>
              <w:right w:val="single" w:color="auto" w:sz="4" w:space="0"/>
            </w:tcBorders>
            <w:noWrap/>
            <w:vAlign w:val="center"/>
          </w:tcPr>
          <w:p w14:paraId="4340D28F">
            <w:pPr>
              <w:jc w:val="center"/>
              <w:textAlignment w:val="center"/>
              <w:rPr>
                <w:rFonts w:ascii="宋体" w:hAnsi="宋体" w:cs="宋体"/>
                <w:color w:val="auto"/>
                <w:sz w:val="24"/>
              </w:rPr>
            </w:pPr>
            <w:r>
              <w:rPr>
                <w:rFonts w:hint="eastAsia" w:ascii="宋体" w:hAnsi="宋体" w:cs="宋体"/>
                <w:color w:val="auto"/>
                <w:kern w:val="0"/>
                <w:sz w:val="22"/>
                <w:szCs w:val="22"/>
              </w:rPr>
              <w:t>8410</w:t>
            </w:r>
          </w:p>
        </w:tc>
      </w:tr>
      <w:tr w14:paraId="3A7AD2F6">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7C397A22">
            <w:pPr>
              <w:jc w:val="center"/>
              <w:textAlignment w:val="center"/>
              <w:rPr>
                <w:rFonts w:ascii="宋体" w:hAnsi="宋体" w:cs="宋体"/>
                <w:color w:val="auto"/>
                <w:sz w:val="24"/>
              </w:rPr>
            </w:pPr>
            <w:r>
              <w:rPr>
                <w:rFonts w:hint="eastAsia" w:ascii="宋体" w:hAnsi="宋体" w:cs="宋体"/>
                <w:color w:val="auto"/>
                <w:kern w:val="0"/>
                <w:sz w:val="24"/>
              </w:rPr>
              <w:t>7</w:t>
            </w:r>
          </w:p>
        </w:tc>
        <w:tc>
          <w:tcPr>
            <w:tcW w:w="1064" w:type="dxa"/>
            <w:tcBorders>
              <w:top w:val="nil"/>
              <w:left w:val="nil"/>
              <w:bottom w:val="single" w:color="auto" w:sz="4" w:space="0"/>
              <w:right w:val="single" w:color="auto" w:sz="4" w:space="0"/>
            </w:tcBorders>
            <w:noWrap/>
            <w:vAlign w:val="center"/>
          </w:tcPr>
          <w:p w14:paraId="3503F984">
            <w:pPr>
              <w:jc w:val="center"/>
              <w:textAlignment w:val="center"/>
              <w:rPr>
                <w:rFonts w:ascii="宋体" w:hAnsi="宋体" w:cs="宋体"/>
                <w:color w:val="auto"/>
                <w:sz w:val="24"/>
              </w:rPr>
            </w:pPr>
            <w:r>
              <w:rPr>
                <w:rFonts w:hint="eastAsia" w:ascii="宋体" w:hAnsi="宋体" w:cs="宋体"/>
                <w:color w:val="auto"/>
                <w:kern w:val="0"/>
                <w:sz w:val="24"/>
              </w:rPr>
              <w:t>住龙镇</w:t>
            </w:r>
          </w:p>
        </w:tc>
        <w:tc>
          <w:tcPr>
            <w:tcW w:w="642" w:type="dxa"/>
            <w:tcBorders>
              <w:top w:val="nil"/>
              <w:left w:val="nil"/>
              <w:bottom w:val="single" w:color="auto" w:sz="4" w:space="0"/>
              <w:right w:val="single" w:color="auto" w:sz="4" w:space="0"/>
            </w:tcBorders>
            <w:noWrap/>
            <w:vAlign w:val="center"/>
          </w:tcPr>
          <w:p w14:paraId="252F281A">
            <w:pPr>
              <w:jc w:val="center"/>
              <w:textAlignment w:val="center"/>
              <w:rPr>
                <w:rFonts w:ascii="宋体" w:hAnsi="宋体" w:cs="宋体"/>
                <w:color w:val="auto"/>
                <w:sz w:val="24"/>
              </w:rPr>
            </w:pPr>
            <w:r>
              <w:rPr>
                <w:rFonts w:hint="eastAsia" w:ascii="宋体" w:hAnsi="宋体" w:cs="宋体"/>
                <w:color w:val="auto"/>
                <w:kern w:val="0"/>
                <w:sz w:val="22"/>
                <w:szCs w:val="22"/>
              </w:rPr>
              <w:t>9</w:t>
            </w:r>
          </w:p>
        </w:tc>
        <w:tc>
          <w:tcPr>
            <w:tcW w:w="641" w:type="dxa"/>
            <w:tcBorders>
              <w:top w:val="nil"/>
              <w:left w:val="nil"/>
              <w:bottom w:val="single" w:color="auto" w:sz="4" w:space="0"/>
              <w:right w:val="single" w:color="auto" w:sz="4" w:space="0"/>
            </w:tcBorders>
            <w:noWrap/>
            <w:vAlign w:val="center"/>
          </w:tcPr>
          <w:p w14:paraId="46440550">
            <w:pPr>
              <w:jc w:val="center"/>
              <w:textAlignment w:val="center"/>
              <w:rPr>
                <w:rFonts w:ascii="宋体" w:hAnsi="宋体" w:cs="宋体"/>
                <w:color w:val="auto"/>
                <w:sz w:val="24"/>
              </w:rPr>
            </w:pPr>
            <w:r>
              <w:rPr>
                <w:rFonts w:hint="eastAsia" w:ascii="宋体" w:hAnsi="宋体" w:cs="宋体"/>
                <w:color w:val="auto"/>
                <w:kern w:val="0"/>
                <w:sz w:val="22"/>
                <w:szCs w:val="22"/>
              </w:rPr>
              <w:t>2</w:t>
            </w:r>
          </w:p>
        </w:tc>
        <w:tc>
          <w:tcPr>
            <w:tcW w:w="1089" w:type="dxa"/>
            <w:tcBorders>
              <w:top w:val="nil"/>
              <w:left w:val="nil"/>
              <w:bottom w:val="single" w:color="auto" w:sz="4" w:space="0"/>
              <w:right w:val="single" w:color="auto" w:sz="4" w:space="0"/>
            </w:tcBorders>
            <w:noWrap/>
            <w:vAlign w:val="center"/>
          </w:tcPr>
          <w:p w14:paraId="156F42BA">
            <w:pPr>
              <w:jc w:val="center"/>
              <w:textAlignment w:val="center"/>
              <w:rPr>
                <w:rFonts w:ascii="宋体" w:hAnsi="宋体" w:cs="宋体"/>
                <w:color w:val="auto"/>
                <w:sz w:val="24"/>
              </w:rPr>
            </w:pPr>
            <w:r>
              <w:rPr>
                <w:rFonts w:hint="eastAsia" w:ascii="宋体" w:hAnsi="宋体" w:cs="宋体"/>
                <w:color w:val="auto"/>
                <w:kern w:val="0"/>
                <w:sz w:val="22"/>
                <w:szCs w:val="22"/>
              </w:rPr>
              <w:t>7</w:t>
            </w:r>
          </w:p>
        </w:tc>
        <w:tc>
          <w:tcPr>
            <w:tcW w:w="764" w:type="dxa"/>
            <w:tcBorders>
              <w:top w:val="nil"/>
              <w:left w:val="nil"/>
              <w:bottom w:val="single" w:color="auto" w:sz="4" w:space="0"/>
              <w:right w:val="single" w:color="auto" w:sz="4" w:space="0"/>
            </w:tcBorders>
            <w:noWrap/>
            <w:vAlign w:val="center"/>
          </w:tcPr>
          <w:p w14:paraId="6CE378DD">
            <w:pPr>
              <w:jc w:val="center"/>
              <w:textAlignment w:val="center"/>
              <w:rPr>
                <w:rFonts w:ascii="宋体" w:hAnsi="宋体" w:cs="宋体"/>
                <w:color w:val="auto"/>
                <w:sz w:val="24"/>
              </w:rPr>
            </w:pPr>
            <w:r>
              <w:rPr>
                <w:rFonts w:hint="eastAsia" w:ascii="宋体" w:hAnsi="宋体" w:cs="宋体"/>
                <w:color w:val="auto"/>
                <w:kern w:val="0"/>
                <w:sz w:val="22"/>
                <w:szCs w:val="22"/>
              </w:rPr>
              <w:t>9982</w:t>
            </w:r>
          </w:p>
        </w:tc>
        <w:tc>
          <w:tcPr>
            <w:tcW w:w="706" w:type="dxa"/>
            <w:tcBorders>
              <w:top w:val="nil"/>
              <w:left w:val="nil"/>
              <w:bottom w:val="single" w:color="auto" w:sz="4" w:space="0"/>
              <w:right w:val="single" w:color="auto" w:sz="4" w:space="0"/>
            </w:tcBorders>
            <w:noWrap/>
            <w:vAlign w:val="center"/>
          </w:tcPr>
          <w:p w14:paraId="5B792383">
            <w:pPr>
              <w:jc w:val="center"/>
              <w:textAlignment w:val="center"/>
              <w:rPr>
                <w:rFonts w:ascii="宋体" w:hAnsi="宋体" w:cs="宋体"/>
                <w:color w:val="auto"/>
                <w:sz w:val="22"/>
                <w:szCs w:val="22"/>
              </w:rPr>
            </w:pPr>
            <w:r>
              <w:rPr>
                <w:rFonts w:hint="eastAsia" w:ascii="宋体" w:hAnsi="宋体" w:cs="宋体"/>
                <w:color w:val="auto"/>
                <w:kern w:val="0"/>
                <w:sz w:val="22"/>
                <w:szCs w:val="22"/>
              </w:rPr>
              <w:t>1369</w:t>
            </w:r>
          </w:p>
        </w:tc>
        <w:tc>
          <w:tcPr>
            <w:tcW w:w="1029" w:type="dxa"/>
            <w:tcBorders>
              <w:top w:val="nil"/>
              <w:left w:val="nil"/>
              <w:bottom w:val="single" w:color="auto" w:sz="4" w:space="0"/>
              <w:right w:val="single" w:color="auto" w:sz="4" w:space="0"/>
            </w:tcBorders>
            <w:noWrap/>
            <w:vAlign w:val="center"/>
          </w:tcPr>
          <w:p w14:paraId="3BE0BB38">
            <w:pPr>
              <w:jc w:val="center"/>
              <w:textAlignment w:val="center"/>
              <w:rPr>
                <w:rFonts w:ascii="宋体" w:hAnsi="宋体" w:cs="宋体"/>
                <w:color w:val="auto"/>
                <w:sz w:val="22"/>
                <w:szCs w:val="22"/>
              </w:rPr>
            </w:pPr>
            <w:r>
              <w:rPr>
                <w:rFonts w:hint="eastAsia" w:ascii="宋体" w:hAnsi="宋体" w:cs="宋体"/>
                <w:color w:val="auto"/>
                <w:kern w:val="0"/>
                <w:sz w:val="22"/>
                <w:szCs w:val="22"/>
              </w:rPr>
              <w:t>8613</w:t>
            </w:r>
          </w:p>
        </w:tc>
        <w:tc>
          <w:tcPr>
            <w:tcW w:w="878" w:type="dxa"/>
            <w:tcBorders>
              <w:top w:val="nil"/>
              <w:left w:val="nil"/>
              <w:bottom w:val="single" w:color="auto" w:sz="4" w:space="0"/>
              <w:right w:val="single" w:color="auto" w:sz="4" w:space="0"/>
            </w:tcBorders>
            <w:noWrap/>
            <w:vAlign w:val="center"/>
          </w:tcPr>
          <w:p w14:paraId="3C7AC3A0">
            <w:pPr>
              <w:jc w:val="center"/>
              <w:textAlignment w:val="center"/>
              <w:rPr>
                <w:rFonts w:ascii="宋体" w:hAnsi="宋体" w:cs="宋体"/>
                <w:color w:val="auto"/>
                <w:sz w:val="24"/>
              </w:rPr>
            </w:pPr>
            <w:r>
              <w:rPr>
                <w:rFonts w:hint="eastAsia" w:ascii="宋体" w:hAnsi="宋体" w:cs="宋体"/>
                <w:color w:val="auto"/>
                <w:kern w:val="0"/>
                <w:sz w:val="22"/>
                <w:szCs w:val="22"/>
              </w:rPr>
              <w:t>55894</w:t>
            </w:r>
          </w:p>
        </w:tc>
        <w:tc>
          <w:tcPr>
            <w:tcW w:w="878" w:type="dxa"/>
            <w:tcBorders>
              <w:top w:val="nil"/>
              <w:left w:val="nil"/>
              <w:bottom w:val="single" w:color="auto" w:sz="4" w:space="0"/>
              <w:right w:val="single" w:color="auto" w:sz="4" w:space="0"/>
            </w:tcBorders>
            <w:noWrap/>
            <w:vAlign w:val="center"/>
          </w:tcPr>
          <w:p w14:paraId="3EBEED21">
            <w:pPr>
              <w:jc w:val="center"/>
              <w:textAlignment w:val="center"/>
              <w:rPr>
                <w:rFonts w:ascii="宋体" w:hAnsi="宋体" w:cs="宋体"/>
                <w:color w:val="auto"/>
                <w:sz w:val="22"/>
                <w:szCs w:val="22"/>
              </w:rPr>
            </w:pPr>
            <w:r>
              <w:rPr>
                <w:rFonts w:hint="eastAsia" w:ascii="宋体" w:hAnsi="宋体" w:cs="宋体"/>
                <w:color w:val="auto"/>
                <w:kern w:val="0"/>
                <w:sz w:val="22"/>
                <w:szCs w:val="22"/>
              </w:rPr>
              <w:t>7669</w:t>
            </w:r>
          </w:p>
        </w:tc>
        <w:tc>
          <w:tcPr>
            <w:tcW w:w="982" w:type="dxa"/>
            <w:tcBorders>
              <w:top w:val="nil"/>
              <w:left w:val="nil"/>
              <w:bottom w:val="single" w:color="auto" w:sz="4" w:space="0"/>
              <w:right w:val="single" w:color="auto" w:sz="4" w:space="0"/>
            </w:tcBorders>
            <w:noWrap/>
            <w:vAlign w:val="center"/>
          </w:tcPr>
          <w:p w14:paraId="11EDDF36">
            <w:pPr>
              <w:jc w:val="center"/>
              <w:textAlignment w:val="center"/>
              <w:rPr>
                <w:rFonts w:ascii="宋体" w:hAnsi="宋体" w:cs="宋体"/>
                <w:color w:val="auto"/>
                <w:sz w:val="22"/>
                <w:szCs w:val="22"/>
              </w:rPr>
            </w:pPr>
            <w:r>
              <w:rPr>
                <w:rFonts w:hint="eastAsia" w:ascii="宋体" w:hAnsi="宋体" w:cs="宋体"/>
                <w:color w:val="auto"/>
                <w:kern w:val="0"/>
                <w:sz w:val="22"/>
                <w:szCs w:val="22"/>
              </w:rPr>
              <w:t>48225</w:t>
            </w:r>
          </w:p>
        </w:tc>
        <w:tc>
          <w:tcPr>
            <w:tcW w:w="1115" w:type="dxa"/>
            <w:tcBorders>
              <w:top w:val="nil"/>
              <w:left w:val="nil"/>
              <w:bottom w:val="single" w:color="auto" w:sz="4" w:space="0"/>
              <w:right w:val="single" w:color="auto" w:sz="4" w:space="0"/>
            </w:tcBorders>
            <w:noWrap/>
            <w:vAlign w:val="center"/>
          </w:tcPr>
          <w:p w14:paraId="7C3EC37E">
            <w:pPr>
              <w:jc w:val="center"/>
              <w:textAlignment w:val="center"/>
              <w:rPr>
                <w:rFonts w:ascii="宋体" w:hAnsi="宋体" w:cs="宋体"/>
                <w:color w:val="auto"/>
                <w:sz w:val="24"/>
              </w:rPr>
            </w:pPr>
            <w:r>
              <w:rPr>
                <w:rFonts w:hint="eastAsia" w:ascii="宋体" w:hAnsi="宋体" w:cs="宋体"/>
                <w:color w:val="auto"/>
                <w:kern w:val="0"/>
                <w:sz w:val="22"/>
                <w:szCs w:val="22"/>
              </w:rPr>
              <w:t>50</w:t>
            </w:r>
          </w:p>
        </w:tc>
        <w:tc>
          <w:tcPr>
            <w:tcW w:w="803" w:type="dxa"/>
            <w:tcBorders>
              <w:top w:val="nil"/>
              <w:left w:val="nil"/>
              <w:bottom w:val="single" w:color="auto" w:sz="4" w:space="0"/>
              <w:right w:val="single" w:color="auto" w:sz="4" w:space="0"/>
            </w:tcBorders>
            <w:noWrap/>
            <w:vAlign w:val="center"/>
          </w:tcPr>
          <w:p w14:paraId="490E8177">
            <w:pPr>
              <w:jc w:val="center"/>
              <w:textAlignment w:val="center"/>
              <w:rPr>
                <w:rFonts w:ascii="宋体" w:hAnsi="宋体" w:cs="宋体"/>
                <w:color w:val="auto"/>
                <w:sz w:val="24"/>
              </w:rPr>
            </w:pPr>
            <w:r>
              <w:rPr>
                <w:rFonts w:hint="eastAsia" w:ascii="宋体" w:hAnsi="宋体" w:cs="宋体"/>
                <w:color w:val="auto"/>
                <w:kern w:val="0"/>
                <w:sz w:val="22"/>
                <w:szCs w:val="22"/>
              </w:rPr>
              <w:t>6.9</w:t>
            </w:r>
          </w:p>
        </w:tc>
        <w:tc>
          <w:tcPr>
            <w:tcW w:w="1124" w:type="dxa"/>
            <w:tcBorders>
              <w:top w:val="nil"/>
              <w:left w:val="nil"/>
              <w:bottom w:val="single" w:color="auto" w:sz="4" w:space="0"/>
              <w:right w:val="single" w:color="auto" w:sz="4" w:space="0"/>
            </w:tcBorders>
            <w:noWrap/>
            <w:vAlign w:val="center"/>
          </w:tcPr>
          <w:p w14:paraId="6607751E">
            <w:pPr>
              <w:jc w:val="center"/>
              <w:textAlignment w:val="center"/>
              <w:rPr>
                <w:rFonts w:ascii="宋体" w:hAnsi="宋体" w:cs="宋体"/>
                <w:color w:val="auto"/>
                <w:sz w:val="24"/>
              </w:rPr>
            </w:pPr>
            <w:r>
              <w:rPr>
                <w:rFonts w:hint="eastAsia" w:ascii="宋体" w:hAnsi="宋体" w:cs="宋体"/>
                <w:color w:val="auto"/>
                <w:kern w:val="0"/>
                <w:sz w:val="22"/>
                <w:szCs w:val="22"/>
              </w:rPr>
              <w:t>43.1</w:t>
            </w:r>
          </w:p>
        </w:tc>
        <w:tc>
          <w:tcPr>
            <w:tcW w:w="1384" w:type="dxa"/>
            <w:tcBorders>
              <w:top w:val="nil"/>
              <w:left w:val="nil"/>
              <w:bottom w:val="single" w:color="auto" w:sz="4" w:space="0"/>
              <w:right w:val="single" w:color="auto" w:sz="4" w:space="0"/>
            </w:tcBorders>
            <w:noWrap/>
            <w:vAlign w:val="center"/>
          </w:tcPr>
          <w:p w14:paraId="4F5AEC08">
            <w:pPr>
              <w:jc w:val="center"/>
              <w:textAlignment w:val="center"/>
              <w:rPr>
                <w:rFonts w:ascii="宋体" w:hAnsi="宋体" w:cs="宋体"/>
                <w:color w:val="auto"/>
                <w:sz w:val="24"/>
              </w:rPr>
            </w:pPr>
            <w:r>
              <w:rPr>
                <w:rFonts w:hint="eastAsia" w:ascii="宋体" w:hAnsi="宋体" w:cs="宋体"/>
                <w:color w:val="auto"/>
                <w:kern w:val="0"/>
                <w:sz w:val="22"/>
                <w:szCs w:val="22"/>
              </w:rPr>
              <w:t>1910</w:t>
            </w:r>
          </w:p>
        </w:tc>
      </w:tr>
      <w:tr w14:paraId="154F0E6B">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5CE05C6B">
            <w:pPr>
              <w:jc w:val="center"/>
              <w:textAlignment w:val="center"/>
              <w:rPr>
                <w:rFonts w:ascii="宋体" w:hAnsi="宋体" w:cs="宋体"/>
                <w:color w:val="auto"/>
                <w:sz w:val="24"/>
              </w:rPr>
            </w:pPr>
            <w:r>
              <w:rPr>
                <w:rFonts w:hint="eastAsia" w:ascii="宋体" w:hAnsi="宋体" w:cs="宋体"/>
                <w:color w:val="auto"/>
                <w:kern w:val="0"/>
                <w:sz w:val="24"/>
              </w:rPr>
              <w:t>8</w:t>
            </w:r>
          </w:p>
        </w:tc>
        <w:tc>
          <w:tcPr>
            <w:tcW w:w="1064" w:type="dxa"/>
            <w:tcBorders>
              <w:top w:val="nil"/>
              <w:left w:val="nil"/>
              <w:bottom w:val="single" w:color="auto" w:sz="4" w:space="0"/>
              <w:right w:val="single" w:color="auto" w:sz="4" w:space="0"/>
            </w:tcBorders>
            <w:noWrap/>
            <w:vAlign w:val="center"/>
          </w:tcPr>
          <w:p w14:paraId="0A037713">
            <w:pPr>
              <w:jc w:val="center"/>
              <w:textAlignment w:val="center"/>
              <w:rPr>
                <w:rFonts w:ascii="宋体" w:hAnsi="宋体" w:cs="宋体"/>
                <w:color w:val="auto"/>
                <w:sz w:val="24"/>
              </w:rPr>
            </w:pPr>
            <w:r>
              <w:rPr>
                <w:rFonts w:hint="eastAsia" w:ascii="宋体" w:hAnsi="宋体" w:cs="宋体"/>
                <w:color w:val="auto"/>
                <w:kern w:val="0"/>
                <w:sz w:val="24"/>
              </w:rPr>
              <w:t>道太乡</w:t>
            </w:r>
          </w:p>
        </w:tc>
        <w:tc>
          <w:tcPr>
            <w:tcW w:w="642" w:type="dxa"/>
            <w:tcBorders>
              <w:top w:val="nil"/>
              <w:left w:val="nil"/>
              <w:bottom w:val="single" w:color="auto" w:sz="4" w:space="0"/>
              <w:right w:val="single" w:color="auto" w:sz="4" w:space="0"/>
            </w:tcBorders>
            <w:noWrap/>
            <w:vAlign w:val="center"/>
          </w:tcPr>
          <w:p w14:paraId="5C7D7DCC">
            <w:pPr>
              <w:jc w:val="center"/>
              <w:textAlignment w:val="center"/>
              <w:rPr>
                <w:rFonts w:ascii="宋体" w:hAnsi="宋体" w:cs="宋体"/>
                <w:color w:val="auto"/>
                <w:sz w:val="24"/>
              </w:rPr>
            </w:pPr>
            <w:r>
              <w:rPr>
                <w:rFonts w:hint="eastAsia" w:ascii="宋体" w:hAnsi="宋体" w:cs="宋体"/>
                <w:color w:val="auto"/>
                <w:kern w:val="0"/>
                <w:sz w:val="22"/>
                <w:szCs w:val="22"/>
              </w:rPr>
              <w:t>9</w:t>
            </w:r>
          </w:p>
        </w:tc>
        <w:tc>
          <w:tcPr>
            <w:tcW w:w="641" w:type="dxa"/>
            <w:tcBorders>
              <w:top w:val="nil"/>
              <w:left w:val="nil"/>
              <w:bottom w:val="single" w:color="auto" w:sz="4" w:space="0"/>
              <w:right w:val="single" w:color="auto" w:sz="4" w:space="0"/>
            </w:tcBorders>
            <w:noWrap/>
            <w:vAlign w:val="center"/>
          </w:tcPr>
          <w:p w14:paraId="083EFE51">
            <w:pPr>
              <w:jc w:val="center"/>
              <w:textAlignment w:val="center"/>
              <w:rPr>
                <w:rFonts w:ascii="宋体" w:hAnsi="宋体" w:cs="宋体"/>
                <w:color w:val="auto"/>
                <w:sz w:val="24"/>
              </w:rPr>
            </w:pPr>
            <w:r>
              <w:rPr>
                <w:rFonts w:hint="eastAsia" w:ascii="宋体" w:hAnsi="宋体" w:cs="宋体"/>
                <w:color w:val="auto"/>
                <w:kern w:val="0"/>
                <w:sz w:val="22"/>
                <w:szCs w:val="22"/>
              </w:rPr>
              <w:t>6</w:t>
            </w:r>
          </w:p>
        </w:tc>
        <w:tc>
          <w:tcPr>
            <w:tcW w:w="1089" w:type="dxa"/>
            <w:tcBorders>
              <w:top w:val="nil"/>
              <w:left w:val="nil"/>
              <w:bottom w:val="single" w:color="auto" w:sz="4" w:space="0"/>
              <w:right w:val="single" w:color="auto" w:sz="4" w:space="0"/>
            </w:tcBorders>
            <w:noWrap/>
            <w:vAlign w:val="center"/>
          </w:tcPr>
          <w:p w14:paraId="2A13B39E">
            <w:pPr>
              <w:jc w:val="center"/>
              <w:textAlignment w:val="center"/>
              <w:rPr>
                <w:rFonts w:ascii="宋体" w:hAnsi="宋体" w:cs="宋体"/>
                <w:color w:val="auto"/>
                <w:sz w:val="24"/>
              </w:rPr>
            </w:pPr>
            <w:r>
              <w:rPr>
                <w:rFonts w:hint="eastAsia" w:ascii="宋体" w:hAnsi="宋体" w:cs="宋体"/>
                <w:color w:val="auto"/>
                <w:kern w:val="0"/>
                <w:sz w:val="22"/>
                <w:szCs w:val="22"/>
              </w:rPr>
              <w:t>3</w:t>
            </w:r>
          </w:p>
        </w:tc>
        <w:tc>
          <w:tcPr>
            <w:tcW w:w="764" w:type="dxa"/>
            <w:tcBorders>
              <w:top w:val="nil"/>
              <w:left w:val="nil"/>
              <w:bottom w:val="single" w:color="auto" w:sz="4" w:space="0"/>
              <w:right w:val="single" w:color="auto" w:sz="4" w:space="0"/>
            </w:tcBorders>
            <w:noWrap/>
            <w:vAlign w:val="center"/>
          </w:tcPr>
          <w:p w14:paraId="02D3CB78">
            <w:pPr>
              <w:jc w:val="center"/>
              <w:textAlignment w:val="center"/>
              <w:rPr>
                <w:rFonts w:ascii="宋体" w:hAnsi="宋体" w:cs="宋体"/>
                <w:color w:val="auto"/>
                <w:sz w:val="24"/>
              </w:rPr>
            </w:pPr>
            <w:r>
              <w:rPr>
                <w:rFonts w:hint="eastAsia" w:ascii="宋体" w:hAnsi="宋体" w:cs="宋体"/>
                <w:color w:val="auto"/>
                <w:kern w:val="0"/>
                <w:sz w:val="22"/>
                <w:szCs w:val="22"/>
              </w:rPr>
              <w:t>9891</w:t>
            </w:r>
          </w:p>
        </w:tc>
        <w:tc>
          <w:tcPr>
            <w:tcW w:w="706" w:type="dxa"/>
            <w:tcBorders>
              <w:top w:val="nil"/>
              <w:left w:val="nil"/>
              <w:bottom w:val="single" w:color="auto" w:sz="4" w:space="0"/>
              <w:right w:val="single" w:color="auto" w:sz="4" w:space="0"/>
            </w:tcBorders>
            <w:noWrap/>
            <w:vAlign w:val="center"/>
          </w:tcPr>
          <w:p w14:paraId="3BFD4D98">
            <w:pPr>
              <w:jc w:val="center"/>
              <w:textAlignment w:val="center"/>
              <w:rPr>
                <w:rFonts w:ascii="宋体" w:hAnsi="宋体" w:cs="宋体"/>
                <w:color w:val="auto"/>
                <w:sz w:val="22"/>
                <w:szCs w:val="22"/>
              </w:rPr>
            </w:pPr>
            <w:r>
              <w:rPr>
                <w:rFonts w:hint="eastAsia" w:ascii="宋体" w:hAnsi="宋体" w:cs="宋体"/>
                <w:color w:val="auto"/>
                <w:kern w:val="0"/>
                <w:sz w:val="22"/>
                <w:szCs w:val="22"/>
              </w:rPr>
              <w:t>7145</w:t>
            </w:r>
          </w:p>
        </w:tc>
        <w:tc>
          <w:tcPr>
            <w:tcW w:w="1029" w:type="dxa"/>
            <w:tcBorders>
              <w:top w:val="nil"/>
              <w:left w:val="nil"/>
              <w:bottom w:val="single" w:color="auto" w:sz="4" w:space="0"/>
              <w:right w:val="single" w:color="auto" w:sz="4" w:space="0"/>
            </w:tcBorders>
            <w:noWrap/>
            <w:vAlign w:val="center"/>
          </w:tcPr>
          <w:p w14:paraId="47AA7C82">
            <w:pPr>
              <w:jc w:val="center"/>
              <w:textAlignment w:val="center"/>
              <w:rPr>
                <w:rFonts w:ascii="宋体" w:hAnsi="宋体" w:cs="宋体"/>
                <w:color w:val="auto"/>
                <w:sz w:val="22"/>
                <w:szCs w:val="22"/>
              </w:rPr>
            </w:pPr>
            <w:r>
              <w:rPr>
                <w:rFonts w:hint="eastAsia" w:ascii="宋体" w:hAnsi="宋体" w:cs="宋体"/>
                <w:color w:val="auto"/>
                <w:kern w:val="0"/>
                <w:sz w:val="22"/>
                <w:szCs w:val="22"/>
              </w:rPr>
              <w:t>2746</w:t>
            </w:r>
          </w:p>
        </w:tc>
        <w:tc>
          <w:tcPr>
            <w:tcW w:w="878" w:type="dxa"/>
            <w:tcBorders>
              <w:top w:val="nil"/>
              <w:left w:val="nil"/>
              <w:bottom w:val="single" w:color="auto" w:sz="4" w:space="0"/>
              <w:right w:val="single" w:color="auto" w:sz="4" w:space="0"/>
            </w:tcBorders>
            <w:noWrap/>
            <w:vAlign w:val="center"/>
          </w:tcPr>
          <w:p w14:paraId="75678A1E">
            <w:pPr>
              <w:jc w:val="center"/>
              <w:textAlignment w:val="center"/>
              <w:rPr>
                <w:rFonts w:ascii="宋体" w:hAnsi="宋体" w:cs="宋体"/>
                <w:color w:val="auto"/>
                <w:sz w:val="24"/>
              </w:rPr>
            </w:pPr>
            <w:r>
              <w:rPr>
                <w:rFonts w:hint="eastAsia" w:ascii="宋体" w:hAnsi="宋体" w:cs="宋体"/>
                <w:color w:val="auto"/>
                <w:kern w:val="0"/>
                <w:sz w:val="22"/>
                <w:szCs w:val="22"/>
              </w:rPr>
              <w:t>55386</w:t>
            </w:r>
          </w:p>
        </w:tc>
        <w:tc>
          <w:tcPr>
            <w:tcW w:w="878" w:type="dxa"/>
            <w:tcBorders>
              <w:top w:val="nil"/>
              <w:left w:val="nil"/>
              <w:bottom w:val="single" w:color="auto" w:sz="4" w:space="0"/>
              <w:right w:val="single" w:color="auto" w:sz="4" w:space="0"/>
            </w:tcBorders>
            <w:noWrap/>
            <w:vAlign w:val="center"/>
          </w:tcPr>
          <w:p w14:paraId="3D7DBB4B">
            <w:pPr>
              <w:jc w:val="center"/>
              <w:textAlignment w:val="center"/>
              <w:rPr>
                <w:rFonts w:ascii="宋体" w:hAnsi="宋体" w:cs="宋体"/>
                <w:color w:val="auto"/>
                <w:sz w:val="22"/>
                <w:szCs w:val="22"/>
              </w:rPr>
            </w:pPr>
            <w:r>
              <w:rPr>
                <w:rFonts w:hint="eastAsia" w:ascii="宋体" w:hAnsi="宋体" w:cs="宋体"/>
                <w:color w:val="auto"/>
                <w:kern w:val="0"/>
                <w:sz w:val="22"/>
                <w:szCs w:val="22"/>
              </w:rPr>
              <w:t>40007</w:t>
            </w:r>
          </w:p>
        </w:tc>
        <w:tc>
          <w:tcPr>
            <w:tcW w:w="982" w:type="dxa"/>
            <w:tcBorders>
              <w:top w:val="nil"/>
              <w:left w:val="nil"/>
              <w:bottom w:val="single" w:color="auto" w:sz="4" w:space="0"/>
              <w:right w:val="single" w:color="auto" w:sz="4" w:space="0"/>
            </w:tcBorders>
            <w:noWrap/>
            <w:vAlign w:val="center"/>
          </w:tcPr>
          <w:p w14:paraId="2C155D33">
            <w:pPr>
              <w:jc w:val="center"/>
              <w:textAlignment w:val="center"/>
              <w:rPr>
                <w:rFonts w:ascii="宋体" w:hAnsi="宋体" w:cs="宋体"/>
                <w:color w:val="auto"/>
                <w:sz w:val="22"/>
                <w:szCs w:val="22"/>
              </w:rPr>
            </w:pPr>
            <w:r>
              <w:rPr>
                <w:rFonts w:hint="eastAsia" w:ascii="宋体" w:hAnsi="宋体" w:cs="宋体"/>
                <w:color w:val="auto"/>
                <w:kern w:val="0"/>
                <w:sz w:val="22"/>
                <w:szCs w:val="22"/>
              </w:rPr>
              <w:t>15379</w:t>
            </w:r>
          </w:p>
        </w:tc>
        <w:tc>
          <w:tcPr>
            <w:tcW w:w="1115" w:type="dxa"/>
            <w:tcBorders>
              <w:top w:val="nil"/>
              <w:left w:val="nil"/>
              <w:bottom w:val="single" w:color="auto" w:sz="4" w:space="0"/>
              <w:right w:val="single" w:color="auto" w:sz="4" w:space="0"/>
            </w:tcBorders>
            <w:noWrap/>
            <w:vAlign w:val="center"/>
          </w:tcPr>
          <w:p w14:paraId="5F5BE224">
            <w:pPr>
              <w:jc w:val="center"/>
              <w:textAlignment w:val="center"/>
              <w:rPr>
                <w:rFonts w:ascii="宋体" w:hAnsi="宋体" w:cs="宋体"/>
                <w:color w:val="auto"/>
                <w:sz w:val="24"/>
              </w:rPr>
            </w:pPr>
            <w:r>
              <w:rPr>
                <w:rFonts w:hint="eastAsia" w:ascii="宋体" w:hAnsi="宋体" w:cs="宋体"/>
                <w:color w:val="auto"/>
                <w:kern w:val="0"/>
                <w:sz w:val="22"/>
                <w:szCs w:val="22"/>
              </w:rPr>
              <w:t>131.8</w:t>
            </w:r>
          </w:p>
        </w:tc>
        <w:tc>
          <w:tcPr>
            <w:tcW w:w="803" w:type="dxa"/>
            <w:tcBorders>
              <w:top w:val="nil"/>
              <w:left w:val="nil"/>
              <w:bottom w:val="single" w:color="auto" w:sz="4" w:space="0"/>
              <w:right w:val="single" w:color="auto" w:sz="4" w:space="0"/>
            </w:tcBorders>
            <w:noWrap/>
            <w:vAlign w:val="center"/>
          </w:tcPr>
          <w:p w14:paraId="6C8552D3">
            <w:pPr>
              <w:jc w:val="center"/>
              <w:textAlignment w:val="center"/>
              <w:rPr>
                <w:rFonts w:ascii="宋体" w:hAnsi="宋体" w:cs="宋体"/>
                <w:color w:val="auto"/>
                <w:sz w:val="22"/>
                <w:szCs w:val="22"/>
              </w:rPr>
            </w:pPr>
            <w:r>
              <w:rPr>
                <w:rFonts w:hint="eastAsia" w:ascii="宋体" w:hAnsi="宋体" w:cs="宋体"/>
                <w:color w:val="auto"/>
                <w:kern w:val="0"/>
                <w:sz w:val="22"/>
                <w:szCs w:val="22"/>
              </w:rPr>
              <w:t>35.7</w:t>
            </w:r>
          </w:p>
        </w:tc>
        <w:tc>
          <w:tcPr>
            <w:tcW w:w="1124" w:type="dxa"/>
            <w:tcBorders>
              <w:top w:val="nil"/>
              <w:left w:val="nil"/>
              <w:bottom w:val="single" w:color="auto" w:sz="4" w:space="0"/>
              <w:right w:val="single" w:color="auto" w:sz="4" w:space="0"/>
            </w:tcBorders>
            <w:noWrap/>
            <w:vAlign w:val="center"/>
          </w:tcPr>
          <w:p w14:paraId="0E7CD32E">
            <w:pPr>
              <w:jc w:val="center"/>
              <w:textAlignment w:val="center"/>
              <w:rPr>
                <w:rFonts w:ascii="宋体" w:hAnsi="宋体" w:cs="宋体"/>
                <w:color w:val="auto"/>
                <w:sz w:val="22"/>
                <w:szCs w:val="22"/>
              </w:rPr>
            </w:pPr>
            <w:r>
              <w:rPr>
                <w:rFonts w:hint="eastAsia" w:ascii="宋体" w:hAnsi="宋体" w:cs="宋体"/>
                <w:color w:val="auto"/>
                <w:kern w:val="0"/>
                <w:sz w:val="22"/>
                <w:szCs w:val="22"/>
              </w:rPr>
              <w:t>96.1</w:t>
            </w:r>
          </w:p>
        </w:tc>
        <w:tc>
          <w:tcPr>
            <w:tcW w:w="1384" w:type="dxa"/>
            <w:tcBorders>
              <w:top w:val="nil"/>
              <w:left w:val="nil"/>
              <w:bottom w:val="single" w:color="auto" w:sz="4" w:space="0"/>
              <w:right w:val="single" w:color="auto" w:sz="4" w:space="0"/>
            </w:tcBorders>
            <w:noWrap/>
            <w:vAlign w:val="center"/>
          </w:tcPr>
          <w:p w14:paraId="55B1F40C">
            <w:pPr>
              <w:jc w:val="center"/>
              <w:textAlignment w:val="center"/>
              <w:rPr>
                <w:rFonts w:ascii="宋体" w:hAnsi="宋体" w:cs="宋体"/>
                <w:color w:val="auto"/>
                <w:sz w:val="24"/>
              </w:rPr>
            </w:pPr>
            <w:r>
              <w:rPr>
                <w:rFonts w:hint="eastAsia" w:ascii="宋体" w:hAnsi="宋体" w:cs="宋体"/>
                <w:color w:val="auto"/>
                <w:kern w:val="0"/>
                <w:sz w:val="22"/>
                <w:szCs w:val="22"/>
              </w:rPr>
              <w:t>2150</w:t>
            </w:r>
          </w:p>
        </w:tc>
      </w:tr>
      <w:tr w14:paraId="3E86F3C6">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4F88BB31">
            <w:pPr>
              <w:jc w:val="center"/>
              <w:textAlignment w:val="center"/>
              <w:rPr>
                <w:rFonts w:ascii="宋体" w:hAnsi="宋体" w:cs="宋体"/>
                <w:color w:val="auto"/>
                <w:sz w:val="24"/>
              </w:rPr>
            </w:pPr>
            <w:r>
              <w:rPr>
                <w:rFonts w:hint="eastAsia" w:ascii="宋体" w:hAnsi="宋体" w:cs="宋体"/>
                <w:color w:val="auto"/>
                <w:kern w:val="0"/>
                <w:sz w:val="24"/>
              </w:rPr>
              <w:t>9</w:t>
            </w:r>
          </w:p>
        </w:tc>
        <w:tc>
          <w:tcPr>
            <w:tcW w:w="1064" w:type="dxa"/>
            <w:tcBorders>
              <w:top w:val="nil"/>
              <w:left w:val="nil"/>
              <w:bottom w:val="single" w:color="auto" w:sz="4" w:space="0"/>
              <w:right w:val="single" w:color="auto" w:sz="4" w:space="0"/>
            </w:tcBorders>
            <w:noWrap/>
            <w:vAlign w:val="center"/>
          </w:tcPr>
          <w:p w14:paraId="3A5AE115">
            <w:pPr>
              <w:jc w:val="center"/>
              <w:textAlignment w:val="center"/>
              <w:rPr>
                <w:rFonts w:ascii="宋体" w:hAnsi="宋体" w:cs="宋体"/>
                <w:color w:val="auto"/>
                <w:sz w:val="24"/>
              </w:rPr>
            </w:pPr>
            <w:r>
              <w:rPr>
                <w:rFonts w:hint="eastAsia" w:ascii="宋体" w:hAnsi="宋体" w:cs="宋体"/>
                <w:color w:val="auto"/>
                <w:kern w:val="0"/>
                <w:sz w:val="24"/>
              </w:rPr>
              <w:t>锦溪镇</w:t>
            </w:r>
          </w:p>
        </w:tc>
        <w:tc>
          <w:tcPr>
            <w:tcW w:w="642" w:type="dxa"/>
            <w:tcBorders>
              <w:top w:val="nil"/>
              <w:left w:val="nil"/>
              <w:bottom w:val="single" w:color="auto" w:sz="4" w:space="0"/>
              <w:right w:val="single" w:color="auto" w:sz="4" w:space="0"/>
            </w:tcBorders>
            <w:noWrap/>
            <w:vAlign w:val="center"/>
          </w:tcPr>
          <w:p w14:paraId="6E6A008F">
            <w:pPr>
              <w:jc w:val="center"/>
              <w:textAlignment w:val="center"/>
              <w:rPr>
                <w:rFonts w:ascii="宋体" w:hAnsi="宋体" w:cs="宋体"/>
                <w:color w:val="auto"/>
                <w:sz w:val="24"/>
              </w:rPr>
            </w:pPr>
            <w:r>
              <w:rPr>
                <w:rFonts w:hint="eastAsia" w:ascii="宋体" w:hAnsi="宋体" w:cs="宋体"/>
                <w:color w:val="auto"/>
                <w:kern w:val="0"/>
                <w:sz w:val="22"/>
                <w:szCs w:val="22"/>
              </w:rPr>
              <w:t>45</w:t>
            </w:r>
          </w:p>
        </w:tc>
        <w:tc>
          <w:tcPr>
            <w:tcW w:w="641" w:type="dxa"/>
            <w:tcBorders>
              <w:top w:val="nil"/>
              <w:left w:val="nil"/>
              <w:bottom w:val="single" w:color="auto" w:sz="4" w:space="0"/>
              <w:right w:val="single" w:color="auto" w:sz="4" w:space="0"/>
            </w:tcBorders>
            <w:noWrap/>
            <w:vAlign w:val="center"/>
          </w:tcPr>
          <w:p w14:paraId="1D8F04E1">
            <w:pPr>
              <w:jc w:val="center"/>
              <w:textAlignment w:val="center"/>
              <w:rPr>
                <w:rFonts w:ascii="宋体" w:hAnsi="宋体" w:cs="宋体"/>
                <w:color w:val="auto"/>
                <w:sz w:val="24"/>
              </w:rPr>
            </w:pPr>
            <w:r>
              <w:rPr>
                <w:rFonts w:hint="eastAsia" w:ascii="宋体" w:hAnsi="宋体" w:cs="宋体"/>
                <w:color w:val="auto"/>
                <w:kern w:val="0"/>
                <w:sz w:val="22"/>
                <w:szCs w:val="22"/>
              </w:rPr>
              <w:t>36</w:t>
            </w:r>
          </w:p>
        </w:tc>
        <w:tc>
          <w:tcPr>
            <w:tcW w:w="1089" w:type="dxa"/>
            <w:tcBorders>
              <w:top w:val="nil"/>
              <w:left w:val="nil"/>
              <w:bottom w:val="single" w:color="auto" w:sz="4" w:space="0"/>
              <w:right w:val="single" w:color="auto" w:sz="4" w:space="0"/>
            </w:tcBorders>
            <w:noWrap/>
            <w:vAlign w:val="center"/>
          </w:tcPr>
          <w:p w14:paraId="7CF5ED78">
            <w:pPr>
              <w:jc w:val="center"/>
              <w:textAlignment w:val="center"/>
              <w:rPr>
                <w:rFonts w:ascii="宋体" w:hAnsi="宋体" w:cs="宋体"/>
                <w:color w:val="auto"/>
                <w:sz w:val="24"/>
              </w:rPr>
            </w:pPr>
            <w:r>
              <w:rPr>
                <w:rFonts w:hint="eastAsia" w:ascii="宋体" w:hAnsi="宋体" w:cs="宋体"/>
                <w:color w:val="auto"/>
                <w:kern w:val="0"/>
                <w:sz w:val="22"/>
                <w:szCs w:val="22"/>
              </w:rPr>
              <w:t>9</w:t>
            </w:r>
          </w:p>
        </w:tc>
        <w:tc>
          <w:tcPr>
            <w:tcW w:w="764" w:type="dxa"/>
            <w:tcBorders>
              <w:top w:val="nil"/>
              <w:left w:val="nil"/>
              <w:bottom w:val="single" w:color="auto" w:sz="4" w:space="0"/>
              <w:right w:val="single" w:color="auto" w:sz="4" w:space="0"/>
            </w:tcBorders>
            <w:noWrap/>
            <w:vAlign w:val="center"/>
          </w:tcPr>
          <w:p w14:paraId="5F6DFFE2">
            <w:pPr>
              <w:jc w:val="center"/>
              <w:textAlignment w:val="center"/>
              <w:rPr>
                <w:rFonts w:ascii="宋体" w:hAnsi="宋体" w:cs="宋体"/>
                <w:color w:val="auto"/>
                <w:sz w:val="24"/>
              </w:rPr>
            </w:pPr>
            <w:r>
              <w:rPr>
                <w:rFonts w:hint="eastAsia" w:ascii="宋体" w:hAnsi="宋体" w:cs="宋体"/>
                <w:color w:val="auto"/>
                <w:kern w:val="0"/>
                <w:sz w:val="22"/>
                <w:szCs w:val="22"/>
              </w:rPr>
              <w:t>36129</w:t>
            </w:r>
          </w:p>
        </w:tc>
        <w:tc>
          <w:tcPr>
            <w:tcW w:w="706" w:type="dxa"/>
            <w:tcBorders>
              <w:top w:val="nil"/>
              <w:left w:val="nil"/>
              <w:bottom w:val="single" w:color="auto" w:sz="4" w:space="0"/>
              <w:right w:val="single" w:color="auto" w:sz="4" w:space="0"/>
            </w:tcBorders>
            <w:noWrap/>
            <w:vAlign w:val="center"/>
          </w:tcPr>
          <w:p w14:paraId="41872919">
            <w:pPr>
              <w:jc w:val="center"/>
              <w:textAlignment w:val="center"/>
              <w:rPr>
                <w:rFonts w:ascii="宋体" w:hAnsi="宋体" w:cs="宋体"/>
                <w:color w:val="auto"/>
                <w:sz w:val="22"/>
                <w:szCs w:val="22"/>
              </w:rPr>
            </w:pPr>
            <w:r>
              <w:rPr>
                <w:rFonts w:hint="eastAsia" w:ascii="宋体" w:hAnsi="宋体" w:cs="宋体"/>
                <w:color w:val="auto"/>
                <w:kern w:val="0"/>
                <w:sz w:val="22"/>
                <w:szCs w:val="22"/>
              </w:rPr>
              <w:t>26995</w:t>
            </w:r>
          </w:p>
        </w:tc>
        <w:tc>
          <w:tcPr>
            <w:tcW w:w="1029" w:type="dxa"/>
            <w:tcBorders>
              <w:top w:val="nil"/>
              <w:left w:val="nil"/>
              <w:bottom w:val="single" w:color="auto" w:sz="4" w:space="0"/>
              <w:right w:val="single" w:color="auto" w:sz="4" w:space="0"/>
            </w:tcBorders>
            <w:noWrap/>
            <w:vAlign w:val="center"/>
          </w:tcPr>
          <w:p w14:paraId="67E588CF">
            <w:pPr>
              <w:jc w:val="center"/>
              <w:textAlignment w:val="center"/>
              <w:rPr>
                <w:rFonts w:ascii="宋体" w:hAnsi="宋体" w:cs="宋体"/>
                <w:color w:val="auto"/>
                <w:sz w:val="22"/>
                <w:szCs w:val="22"/>
              </w:rPr>
            </w:pPr>
            <w:r>
              <w:rPr>
                <w:rFonts w:hint="eastAsia" w:ascii="宋体" w:hAnsi="宋体" w:cs="宋体"/>
                <w:color w:val="auto"/>
                <w:kern w:val="0"/>
                <w:sz w:val="22"/>
                <w:szCs w:val="22"/>
              </w:rPr>
              <w:t>9134</w:t>
            </w:r>
          </w:p>
        </w:tc>
        <w:tc>
          <w:tcPr>
            <w:tcW w:w="878" w:type="dxa"/>
            <w:tcBorders>
              <w:top w:val="nil"/>
              <w:left w:val="nil"/>
              <w:bottom w:val="single" w:color="auto" w:sz="4" w:space="0"/>
              <w:right w:val="single" w:color="auto" w:sz="4" w:space="0"/>
            </w:tcBorders>
            <w:noWrap/>
            <w:vAlign w:val="center"/>
          </w:tcPr>
          <w:p w14:paraId="3EF37888">
            <w:pPr>
              <w:jc w:val="center"/>
              <w:textAlignment w:val="center"/>
              <w:rPr>
                <w:rFonts w:ascii="宋体" w:hAnsi="宋体" w:cs="宋体"/>
                <w:color w:val="auto"/>
                <w:sz w:val="24"/>
              </w:rPr>
            </w:pPr>
            <w:r>
              <w:rPr>
                <w:rFonts w:hint="eastAsia" w:ascii="宋体" w:hAnsi="宋体" w:cs="宋体"/>
                <w:color w:val="auto"/>
                <w:kern w:val="0"/>
                <w:sz w:val="22"/>
                <w:szCs w:val="22"/>
              </w:rPr>
              <w:t>202317</w:t>
            </w:r>
          </w:p>
        </w:tc>
        <w:tc>
          <w:tcPr>
            <w:tcW w:w="878" w:type="dxa"/>
            <w:tcBorders>
              <w:top w:val="nil"/>
              <w:left w:val="nil"/>
              <w:bottom w:val="single" w:color="auto" w:sz="4" w:space="0"/>
              <w:right w:val="single" w:color="auto" w:sz="4" w:space="0"/>
            </w:tcBorders>
            <w:noWrap/>
            <w:vAlign w:val="center"/>
          </w:tcPr>
          <w:p w14:paraId="255706F8">
            <w:pPr>
              <w:jc w:val="center"/>
              <w:textAlignment w:val="center"/>
              <w:rPr>
                <w:rFonts w:ascii="宋体" w:hAnsi="宋体" w:cs="宋体"/>
                <w:color w:val="auto"/>
                <w:sz w:val="22"/>
                <w:szCs w:val="22"/>
              </w:rPr>
            </w:pPr>
            <w:r>
              <w:rPr>
                <w:rFonts w:hint="eastAsia" w:ascii="宋体" w:hAnsi="宋体" w:cs="宋体"/>
                <w:color w:val="auto"/>
                <w:kern w:val="0"/>
                <w:sz w:val="22"/>
                <w:szCs w:val="22"/>
              </w:rPr>
              <w:t>151163</w:t>
            </w:r>
          </w:p>
        </w:tc>
        <w:tc>
          <w:tcPr>
            <w:tcW w:w="982" w:type="dxa"/>
            <w:tcBorders>
              <w:top w:val="nil"/>
              <w:left w:val="nil"/>
              <w:bottom w:val="single" w:color="auto" w:sz="4" w:space="0"/>
              <w:right w:val="single" w:color="auto" w:sz="4" w:space="0"/>
            </w:tcBorders>
            <w:noWrap/>
            <w:vAlign w:val="center"/>
          </w:tcPr>
          <w:p w14:paraId="5E303C1A">
            <w:pPr>
              <w:jc w:val="center"/>
              <w:textAlignment w:val="center"/>
              <w:rPr>
                <w:rFonts w:ascii="宋体" w:hAnsi="宋体" w:cs="宋体"/>
                <w:color w:val="auto"/>
                <w:sz w:val="22"/>
                <w:szCs w:val="22"/>
              </w:rPr>
            </w:pPr>
            <w:r>
              <w:rPr>
                <w:rFonts w:hint="eastAsia" w:ascii="宋体" w:hAnsi="宋体" w:cs="宋体"/>
                <w:color w:val="auto"/>
                <w:kern w:val="0"/>
                <w:sz w:val="22"/>
                <w:szCs w:val="22"/>
              </w:rPr>
              <w:t>51154</w:t>
            </w:r>
          </w:p>
        </w:tc>
        <w:tc>
          <w:tcPr>
            <w:tcW w:w="1115" w:type="dxa"/>
            <w:tcBorders>
              <w:top w:val="nil"/>
              <w:left w:val="nil"/>
              <w:bottom w:val="single" w:color="auto" w:sz="4" w:space="0"/>
              <w:right w:val="single" w:color="auto" w:sz="4" w:space="0"/>
            </w:tcBorders>
            <w:noWrap/>
            <w:vAlign w:val="center"/>
          </w:tcPr>
          <w:p w14:paraId="069007FF">
            <w:pPr>
              <w:jc w:val="center"/>
              <w:textAlignment w:val="center"/>
              <w:rPr>
                <w:rFonts w:ascii="宋体" w:hAnsi="宋体" w:cs="宋体"/>
                <w:color w:val="auto"/>
                <w:sz w:val="24"/>
              </w:rPr>
            </w:pPr>
            <w:r>
              <w:rPr>
                <w:rFonts w:hint="eastAsia" w:ascii="宋体" w:hAnsi="宋体" w:cs="宋体"/>
                <w:color w:val="auto"/>
                <w:kern w:val="0"/>
                <w:sz w:val="22"/>
                <w:szCs w:val="22"/>
              </w:rPr>
              <w:t>454.6</w:t>
            </w:r>
          </w:p>
        </w:tc>
        <w:tc>
          <w:tcPr>
            <w:tcW w:w="803" w:type="dxa"/>
            <w:tcBorders>
              <w:top w:val="nil"/>
              <w:left w:val="nil"/>
              <w:bottom w:val="single" w:color="auto" w:sz="4" w:space="0"/>
              <w:right w:val="single" w:color="auto" w:sz="4" w:space="0"/>
            </w:tcBorders>
            <w:noWrap/>
            <w:vAlign w:val="center"/>
          </w:tcPr>
          <w:p w14:paraId="034E42C9">
            <w:pPr>
              <w:jc w:val="center"/>
              <w:textAlignment w:val="center"/>
              <w:rPr>
                <w:rFonts w:ascii="宋体" w:hAnsi="宋体" w:cs="宋体"/>
                <w:color w:val="auto"/>
                <w:sz w:val="24"/>
              </w:rPr>
            </w:pPr>
            <w:r>
              <w:rPr>
                <w:rFonts w:hint="eastAsia" w:ascii="宋体" w:hAnsi="宋体" w:cs="宋体"/>
                <w:color w:val="auto"/>
                <w:kern w:val="0"/>
                <w:sz w:val="22"/>
                <w:szCs w:val="22"/>
              </w:rPr>
              <w:t>134.8</w:t>
            </w:r>
          </w:p>
        </w:tc>
        <w:tc>
          <w:tcPr>
            <w:tcW w:w="1124" w:type="dxa"/>
            <w:tcBorders>
              <w:top w:val="nil"/>
              <w:left w:val="nil"/>
              <w:bottom w:val="single" w:color="auto" w:sz="4" w:space="0"/>
              <w:right w:val="single" w:color="auto" w:sz="4" w:space="0"/>
            </w:tcBorders>
            <w:noWrap/>
            <w:vAlign w:val="center"/>
          </w:tcPr>
          <w:p w14:paraId="695783D4">
            <w:pPr>
              <w:jc w:val="center"/>
              <w:textAlignment w:val="center"/>
              <w:rPr>
                <w:rFonts w:ascii="宋体" w:hAnsi="宋体" w:cs="宋体"/>
                <w:color w:val="auto"/>
                <w:sz w:val="24"/>
              </w:rPr>
            </w:pPr>
            <w:r>
              <w:rPr>
                <w:rFonts w:hint="eastAsia" w:ascii="宋体" w:hAnsi="宋体" w:cs="宋体"/>
                <w:color w:val="auto"/>
                <w:kern w:val="0"/>
                <w:sz w:val="22"/>
                <w:szCs w:val="22"/>
              </w:rPr>
              <w:t>319.8</w:t>
            </w:r>
          </w:p>
        </w:tc>
        <w:tc>
          <w:tcPr>
            <w:tcW w:w="1384" w:type="dxa"/>
            <w:tcBorders>
              <w:top w:val="nil"/>
              <w:left w:val="nil"/>
              <w:bottom w:val="single" w:color="auto" w:sz="4" w:space="0"/>
              <w:right w:val="single" w:color="auto" w:sz="4" w:space="0"/>
            </w:tcBorders>
            <w:noWrap/>
            <w:vAlign w:val="center"/>
          </w:tcPr>
          <w:p w14:paraId="538AFF31">
            <w:pPr>
              <w:jc w:val="center"/>
              <w:textAlignment w:val="center"/>
              <w:rPr>
                <w:rFonts w:ascii="宋体" w:hAnsi="宋体" w:cs="宋体"/>
                <w:color w:val="auto"/>
                <w:sz w:val="24"/>
              </w:rPr>
            </w:pPr>
            <w:r>
              <w:rPr>
                <w:rFonts w:hint="eastAsia" w:ascii="宋体" w:hAnsi="宋体" w:cs="宋体"/>
                <w:color w:val="auto"/>
                <w:kern w:val="0"/>
                <w:sz w:val="22"/>
                <w:szCs w:val="22"/>
              </w:rPr>
              <w:t>9610</w:t>
            </w:r>
          </w:p>
        </w:tc>
      </w:tr>
      <w:tr w14:paraId="7BEAA9EB">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4BF159C1">
            <w:pPr>
              <w:jc w:val="center"/>
              <w:textAlignment w:val="center"/>
              <w:rPr>
                <w:rFonts w:ascii="宋体" w:hAnsi="宋体" w:cs="宋体"/>
                <w:color w:val="auto"/>
                <w:sz w:val="24"/>
              </w:rPr>
            </w:pPr>
            <w:r>
              <w:rPr>
                <w:rFonts w:hint="eastAsia" w:ascii="宋体" w:hAnsi="宋体" w:cs="宋体"/>
                <w:color w:val="auto"/>
                <w:kern w:val="0"/>
                <w:sz w:val="24"/>
              </w:rPr>
              <w:t>10</w:t>
            </w:r>
          </w:p>
        </w:tc>
        <w:tc>
          <w:tcPr>
            <w:tcW w:w="1064" w:type="dxa"/>
            <w:tcBorders>
              <w:top w:val="nil"/>
              <w:left w:val="nil"/>
              <w:bottom w:val="single" w:color="auto" w:sz="4" w:space="0"/>
              <w:right w:val="single" w:color="auto" w:sz="4" w:space="0"/>
            </w:tcBorders>
            <w:noWrap/>
            <w:vAlign w:val="center"/>
          </w:tcPr>
          <w:p w14:paraId="688B07CF">
            <w:pPr>
              <w:jc w:val="center"/>
              <w:textAlignment w:val="center"/>
              <w:rPr>
                <w:rFonts w:ascii="宋体" w:hAnsi="宋体" w:cs="宋体"/>
                <w:color w:val="auto"/>
                <w:sz w:val="24"/>
              </w:rPr>
            </w:pPr>
            <w:r>
              <w:rPr>
                <w:rFonts w:hint="eastAsia" w:ascii="宋体" w:hAnsi="宋体" w:cs="宋体"/>
                <w:color w:val="auto"/>
                <w:kern w:val="0"/>
                <w:sz w:val="24"/>
              </w:rPr>
              <w:t>安仁镇</w:t>
            </w:r>
          </w:p>
        </w:tc>
        <w:tc>
          <w:tcPr>
            <w:tcW w:w="642" w:type="dxa"/>
            <w:tcBorders>
              <w:top w:val="nil"/>
              <w:left w:val="nil"/>
              <w:bottom w:val="single" w:color="auto" w:sz="4" w:space="0"/>
              <w:right w:val="single" w:color="auto" w:sz="4" w:space="0"/>
            </w:tcBorders>
            <w:noWrap/>
            <w:vAlign w:val="center"/>
          </w:tcPr>
          <w:p w14:paraId="493657F6">
            <w:pPr>
              <w:jc w:val="center"/>
              <w:textAlignment w:val="center"/>
              <w:rPr>
                <w:rFonts w:ascii="宋体" w:hAnsi="宋体" w:cs="宋体"/>
                <w:color w:val="auto"/>
                <w:sz w:val="24"/>
              </w:rPr>
            </w:pPr>
            <w:r>
              <w:rPr>
                <w:rFonts w:hint="eastAsia" w:ascii="宋体" w:hAnsi="宋体" w:cs="宋体"/>
                <w:color w:val="auto"/>
                <w:kern w:val="0"/>
                <w:sz w:val="22"/>
                <w:szCs w:val="22"/>
              </w:rPr>
              <w:t>81</w:t>
            </w:r>
          </w:p>
        </w:tc>
        <w:tc>
          <w:tcPr>
            <w:tcW w:w="641" w:type="dxa"/>
            <w:tcBorders>
              <w:top w:val="nil"/>
              <w:left w:val="nil"/>
              <w:bottom w:val="single" w:color="auto" w:sz="4" w:space="0"/>
              <w:right w:val="single" w:color="auto" w:sz="4" w:space="0"/>
            </w:tcBorders>
            <w:noWrap/>
            <w:vAlign w:val="center"/>
          </w:tcPr>
          <w:p w14:paraId="45CA53F2">
            <w:pPr>
              <w:jc w:val="center"/>
              <w:textAlignment w:val="center"/>
              <w:rPr>
                <w:rFonts w:ascii="宋体" w:hAnsi="宋体" w:cs="宋体"/>
                <w:color w:val="auto"/>
                <w:sz w:val="24"/>
              </w:rPr>
            </w:pPr>
            <w:r>
              <w:rPr>
                <w:rFonts w:hint="eastAsia" w:ascii="宋体" w:hAnsi="宋体" w:cs="宋体"/>
                <w:color w:val="auto"/>
                <w:kern w:val="0"/>
                <w:sz w:val="22"/>
                <w:szCs w:val="22"/>
              </w:rPr>
              <w:t>61</w:t>
            </w:r>
          </w:p>
        </w:tc>
        <w:tc>
          <w:tcPr>
            <w:tcW w:w="1089" w:type="dxa"/>
            <w:tcBorders>
              <w:top w:val="nil"/>
              <w:left w:val="nil"/>
              <w:bottom w:val="single" w:color="auto" w:sz="4" w:space="0"/>
              <w:right w:val="single" w:color="auto" w:sz="4" w:space="0"/>
            </w:tcBorders>
            <w:noWrap/>
            <w:vAlign w:val="center"/>
          </w:tcPr>
          <w:p w14:paraId="3283B42C">
            <w:pPr>
              <w:jc w:val="center"/>
              <w:textAlignment w:val="center"/>
              <w:rPr>
                <w:rFonts w:ascii="宋体" w:hAnsi="宋体" w:cs="宋体"/>
                <w:color w:val="auto"/>
                <w:sz w:val="24"/>
              </w:rPr>
            </w:pPr>
            <w:r>
              <w:rPr>
                <w:rFonts w:hint="eastAsia" w:ascii="宋体" w:hAnsi="宋体" w:cs="宋体"/>
                <w:color w:val="auto"/>
                <w:kern w:val="0"/>
                <w:sz w:val="22"/>
                <w:szCs w:val="22"/>
              </w:rPr>
              <w:t>20</w:t>
            </w:r>
          </w:p>
        </w:tc>
        <w:tc>
          <w:tcPr>
            <w:tcW w:w="764" w:type="dxa"/>
            <w:tcBorders>
              <w:top w:val="nil"/>
              <w:left w:val="nil"/>
              <w:bottom w:val="single" w:color="auto" w:sz="4" w:space="0"/>
              <w:right w:val="single" w:color="auto" w:sz="4" w:space="0"/>
            </w:tcBorders>
            <w:noWrap/>
            <w:vAlign w:val="center"/>
          </w:tcPr>
          <w:p w14:paraId="24C88E6D">
            <w:pPr>
              <w:jc w:val="center"/>
              <w:textAlignment w:val="center"/>
              <w:rPr>
                <w:rFonts w:ascii="宋体" w:hAnsi="宋体" w:cs="宋体"/>
                <w:color w:val="auto"/>
                <w:sz w:val="24"/>
              </w:rPr>
            </w:pPr>
            <w:r>
              <w:rPr>
                <w:rFonts w:hint="eastAsia" w:ascii="宋体" w:hAnsi="宋体" w:cs="宋体"/>
                <w:color w:val="auto"/>
                <w:kern w:val="0"/>
                <w:sz w:val="22"/>
                <w:szCs w:val="22"/>
              </w:rPr>
              <w:t>167283</w:t>
            </w:r>
          </w:p>
        </w:tc>
        <w:tc>
          <w:tcPr>
            <w:tcW w:w="706" w:type="dxa"/>
            <w:tcBorders>
              <w:top w:val="nil"/>
              <w:left w:val="nil"/>
              <w:bottom w:val="single" w:color="auto" w:sz="4" w:space="0"/>
              <w:right w:val="single" w:color="auto" w:sz="4" w:space="0"/>
            </w:tcBorders>
            <w:noWrap/>
            <w:vAlign w:val="center"/>
          </w:tcPr>
          <w:p w14:paraId="32CB7D33">
            <w:pPr>
              <w:jc w:val="center"/>
              <w:textAlignment w:val="center"/>
              <w:rPr>
                <w:rFonts w:ascii="宋体" w:hAnsi="宋体" w:cs="宋体"/>
                <w:color w:val="auto"/>
                <w:sz w:val="24"/>
              </w:rPr>
            </w:pPr>
            <w:r>
              <w:rPr>
                <w:rFonts w:hint="eastAsia" w:ascii="宋体" w:hAnsi="宋体" w:cs="宋体"/>
                <w:color w:val="auto"/>
                <w:kern w:val="0"/>
                <w:sz w:val="22"/>
                <w:szCs w:val="22"/>
              </w:rPr>
              <w:t>125495</w:t>
            </w:r>
          </w:p>
        </w:tc>
        <w:tc>
          <w:tcPr>
            <w:tcW w:w="1029" w:type="dxa"/>
            <w:tcBorders>
              <w:top w:val="nil"/>
              <w:left w:val="nil"/>
              <w:bottom w:val="single" w:color="auto" w:sz="4" w:space="0"/>
              <w:right w:val="single" w:color="auto" w:sz="4" w:space="0"/>
            </w:tcBorders>
            <w:noWrap/>
            <w:vAlign w:val="center"/>
          </w:tcPr>
          <w:p w14:paraId="6FF41159">
            <w:pPr>
              <w:jc w:val="center"/>
              <w:textAlignment w:val="center"/>
              <w:rPr>
                <w:rFonts w:ascii="宋体" w:hAnsi="宋体" w:cs="宋体"/>
                <w:color w:val="auto"/>
                <w:sz w:val="24"/>
              </w:rPr>
            </w:pPr>
            <w:r>
              <w:rPr>
                <w:rFonts w:hint="eastAsia" w:ascii="宋体" w:hAnsi="宋体" w:cs="宋体"/>
                <w:color w:val="auto"/>
                <w:kern w:val="0"/>
                <w:sz w:val="22"/>
                <w:szCs w:val="22"/>
              </w:rPr>
              <w:t>41788</w:t>
            </w:r>
          </w:p>
        </w:tc>
        <w:tc>
          <w:tcPr>
            <w:tcW w:w="878" w:type="dxa"/>
            <w:tcBorders>
              <w:top w:val="nil"/>
              <w:left w:val="nil"/>
              <w:bottom w:val="single" w:color="auto" w:sz="4" w:space="0"/>
              <w:right w:val="single" w:color="auto" w:sz="4" w:space="0"/>
            </w:tcBorders>
            <w:noWrap/>
            <w:vAlign w:val="center"/>
          </w:tcPr>
          <w:p w14:paraId="4FB4446D">
            <w:pPr>
              <w:jc w:val="center"/>
              <w:textAlignment w:val="center"/>
              <w:rPr>
                <w:rFonts w:ascii="宋体" w:hAnsi="宋体" w:cs="宋体"/>
                <w:color w:val="auto"/>
                <w:sz w:val="24"/>
              </w:rPr>
            </w:pPr>
            <w:r>
              <w:rPr>
                <w:rFonts w:hint="eastAsia" w:ascii="宋体" w:hAnsi="宋体" w:cs="宋体"/>
                <w:color w:val="auto"/>
                <w:kern w:val="0"/>
                <w:sz w:val="22"/>
                <w:szCs w:val="22"/>
              </w:rPr>
              <w:t>936771</w:t>
            </w:r>
          </w:p>
        </w:tc>
        <w:tc>
          <w:tcPr>
            <w:tcW w:w="878" w:type="dxa"/>
            <w:tcBorders>
              <w:top w:val="nil"/>
              <w:left w:val="nil"/>
              <w:bottom w:val="single" w:color="auto" w:sz="4" w:space="0"/>
              <w:right w:val="single" w:color="auto" w:sz="4" w:space="0"/>
            </w:tcBorders>
            <w:noWrap/>
            <w:vAlign w:val="center"/>
          </w:tcPr>
          <w:p w14:paraId="32792FA6">
            <w:pPr>
              <w:jc w:val="center"/>
              <w:textAlignment w:val="center"/>
              <w:rPr>
                <w:rFonts w:ascii="宋体" w:hAnsi="宋体" w:cs="宋体"/>
                <w:color w:val="auto"/>
                <w:sz w:val="24"/>
              </w:rPr>
            </w:pPr>
            <w:r>
              <w:rPr>
                <w:rFonts w:hint="eastAsia" w:ascii="宋体" w:hAnsi="宋体" w:cs="宋体"/>
                <w:color w:val="auto"/>
                <w:kern w:val="0"/>
                <w:sz w:val="22"/>
                <w:szCs w:val="22"/>
              </w:rPr>
              <w:t>702766</w:t>
            </w:r>
          </w:p>
        </w:tc>
        <w:tc>
          <w:tcPr>
            <w:tcW w:w="982" w:type="dxa"/>
            <w:tcBorders>
              <w:top w:val="nil"/>
              <w:left w:val="nil"/>
              <w:bottom w:val="single" w:color="auto" w:sz="4" w:space="0"/>
              <w:right w:val="single" w:color="auto" w:sz="4" w:space="0"/>
            </w:tcBorders>
            <w:noWrap/>
            <w:vAlign w:val="center"/>
          </w:tcPr>
          <w:p w14:paraId="10C60E6B">
            <w:pPr>
              <w:jc w:val="center"/>
              <w:textAlignment w:val="center"/>
              <w:rPr>
                <w:rFonts w:ascii="宋体" w:hAnsi="宋体" w:cs="宋体"/>
                <w:color w:val="auto"/>
                <w:sz w:val="22"/>
                <w:szCs w:val="22"/>
              </w:rPr>
            </w:pPr>
            <w:r>
              <w:rPr>
                <w:rFonts w:hint="eastAsia" w:ascii="宋体" w:hAnsi="宋体" w:cs="宋体"/>
                <w:color w:val="auto"/>
                <w:kern w:val="0"/>
                <w:sz w:val="22"/>
                <w:szCs w:val="22"/>
              </w:rPr>
              <w:t>234005</w:t>
            </w:r>
          </w:p>
        </w:tc>
        <w:tc>
          <w:tcPr>
            <w:tcW w:w="1115" w:type="dxa"/>
            <w:tcBorders>
              <w:top w:val="nil"/>
              <w:left w:val="nil"/>
              <w:bottom w:val="single" w:color="auto" w:sz="4" w:space="0"/>
              <w:right w:val="single" w:color="auto" w:sz="4" w:space="0"/>
            </w:tcBorders>
            <w:noWrap/>
            <w:vAlign w:val="center"/>
          </w:tcPr>
          <w:p w14:paraId="227FB9C6">
            <w:pPr>
              <w:jc w:val="center"/>
              <w:textAlignment w:val="center"/>
              <w:rPr>
                <w:rFonts w:ascii="宋体" w:hAnsi="宋体" w:cs="宋体"/>
                <w:color w:val="auto"/>
                <w:sz w:val="24"/>
              </w:rPr>
            </w:pPr>
            <w:r>
              <w:rPr>
                <w:rFonts w:hint="eastAsia" w:ascii="宋体" w:hAnsi="宋体" w:cs="宋体"/>
                <w:color w:val="auto"/>
                <w:kern w:val="0"/>
                <w:sz w:val="22"/>
                <w:szCs w:val="22"/>
              </w:rPr>
              <w:t>1536.3</w:t>
            </w:r>
          </w:p>
        </w:tc>
        <w:tc>
          <w:tcPr>
            <w:tcW w:w="803" w:type="dxa"/>
            <w:tcBorders>
              <w:top w:val="nil"/>
              <w:left w:val="nil"/>
              <w:bottom w:val="single" w:color="auto" w:sz="4" w:space="0"/>
              <w:right w:val="single" w:color="auto" w:sz="4" w:space="0"/>
            </w:tcBorders>
            <w:noWrap/>
            <w:vAlign w:val="center"/>
          </w:tcPr>
          <w:p w14:paraId="1EF9F5CE">
            <w:pPr>
              <w:jc w:val="center"/>
              <w:textAlignment w:val="center"/>
              <w:rPr>
                <w:rFonts w:ascii="宋体" w:hAnsi="宋体" w:cs="宋体"/>
                <w:color w:val="auto"/>
                <w:sz w:val="24"/>
              </w:rPr>
            </w:pPr>
            <w:r>
              <w:rPr>
                <w:rFonts w:hint="eastAsia" w:ascii="宋体" w:hAnsi="宋体" w:cs="宋体"/>
                <w:color w:val="auto"/>
                <w:kern w:val="0"/>
                <w:sz w:val="22"/>
                <w:szCs w:val="22"/>
              </w:rPr>
              <w:t>627.3</w:t>
            </w:r>
          </w:p>
        </w:tc>
        <w:tc>
          <w:tcPr>
            <w:tcW w:w="1124" w:type="dxa"/>
            <w:tcBorders>
              <w:top w:val="nil"/>
              <w:left w:val="nil"/>
              <w:bottom w:val="single" w:color="auto" w:sz="4" w:space="0"/>
              <w:right w:val="single" w:color="auto" w:sz="4" w:space="0"/>
            </w:tcBorders>
            <w:noWrap/>
            <w:vAlign w:val="center"/>
          </w:tcPr>
          <w:p w14:paraId="706A4360">
            <w:pPr>
              <w:jc w:val="center"/>
              <w:textAlignment w:val="center"/>
              <w:rPr>
                <w:rFonts w:ascii="宋体" w:hAnsi="宋体" w:cs="宋体"/>
                <w:color w:val="auto"/>
                <w:sz w:val="24"/>
              </w:rPr>
            </w:pPr>
            <w:r>
              <w:rPr>
                <w:rFonts w:hint="eastAsia" w:ascii="宋体" w:hAnsi="宋体" w:cs="宋体"/>
                <w:color w:val="auto"/>
                <w:kern w:val="0"/>
                <w:sz w:val="22"/>
                <w:szCs w:val="22"/>
              </w:rPr>
              <w:t>909</w:t>
            </w:r>
          </w:p>
        </w:tc>
        <w:tc>
          <w:tcPr>
            <w:tcW w:w="1384" w:type="dxa"/>
            <w:tcBorders>
              <w:top w:val="nil"/>
              <w:left w:val="nil"/>
              <w:bottom w:val="single" w:color="auto" w:sz="4" w:space="0"/>
              <w:right w:val="single" w:color="auto" w:sz="4" w:space="0"/>
            </w:tcBorders>
            <w:noWrap/>
            <w:vAlign w:val="center"/>
          </w:tcPr>
          <w:p w14:paraId="1D258D73">
            <w:pPr>
              <w:jc w:val="center"/>
              <w:textAlignment w:val="center"/>
              <w:rPr>
                <w:rFonts w:ascii="宋体" w:hAnsi="宋体" w:cs="宋体"/>
                <w:color w:val="auto"/>
                <w:sz w:val="24"/>
              </w:rPr>
            </w:pPr>
            <w:r>
              <w:rPr>
                <w:rFonts w:hint="eastAsia" w:ascii="宋体" w:hAnsi="宋体" w:cs="宋体"/>
                <w:color w:val="auto"/>
                <w:kern w:val="0"/>
                <w:sz w:val="22"/>
                <w:szCs w:val="22"/>
              </w:rPr>
              <w:t>12440</w:t>
            </w:r>
          </w:p>
        </w:tc>
      </w:tr>
      <w:tr w14:paraId="634E31BE">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55035D10">
            <w:pPr>
              <w:jc w:val="center"/>
              <w:textAlignment w:val="center"/>
              <w:rPr>
                <w:rFonts w:ascii="宋体" w:hAnsi="宋体" w:cs="宋体"/>
                <w:color w:val="auto"/>
                <w:sz w:val="24"/>
              </w:rPr>
            </w:pPr>
            <w:r>
              <w:rPr>
                <w:rFonts w:hint="eastAsia" w:ascii="宋体" w:hAnsi="宋体" w:cs="宋体"/>
                <w:color w:val="auto"/>
                <w:kern w:val="0"/>
                <w:sz w:val="24"/>
              </w:rPr>
              <w:t>11</w:t>
            </w:r>
          </w:p>
        </w:tc>
        <w:tc>
          <w:tcPr>
            <w:tcW w:w="1064" w:type="dxa"/>
            <w:tcBorders>
              <w:top w:val="nil"/>
              <w:left w:val="nil"/>
              <w:bottom w:val="single" w:color="auto" w:sz="4" w:space="0"/>
              <w:right w:val="single" w:color="auto" w:sz="4" w:space="0"/>
            </w:tcBorders>
            <w:noWrap/>
            <w:vAlign w:val="center"/>
          </w:tcPr>
          <w:p w14:paraId="52131F6F">
            <w:pPr>
              <w:jc w:val="center"/>
              <w:textAlignment w:val="center"/>
              <w:rPr>
                <w:rFonts w:ascii="宋体" w:hAnsi="宋体" w:cs="宋体"/>
                <w:color w:val="auto"/>
                <w:sz w:val="24"/>
              </w:rPr>
            </w:pPr>
            <w:r>
              <w:rPr>
                <w:rFonts w:hint="eastAsia" w:ascii="宋体" w:hAnsi="宋体" w:cs="宋体"/>
                <w:color w:val="auto"/>
                <w:kern w:val="0"/>
                <w:sz w:val="24"/>
              </w:rPr>
              <w:t>竹垟乡</w:t>
            </w:r>
          </w:p>
        </w:tc>
        <w:tc>
          <w:tcPr>
            <w:tcW w:w="642" w:type="dxa"/>
            <w:tcBorders>
              <w:top w:val="nil"/>
              <w:left w:val="nil"/>
              <w:bottom w:val="single" w:color="auto" w:sz="4" w:space="0"/>
              <w:right w:val="single" w:color="auto" w:sz="4" w:space="0"/>
            </w:tcBorders>
            <w:noWrap/>
            <w:vAlign w:val="center"/>
          </w:tcPr>
          <w:p w14:paraId="13580020">
            <w:pPr>
              <w:jc w:val="center"/>
              <w:textAlignment w:val="center"/>
              <w:rPr>
                <w:rFonts w:ascii="宋体" w:hAnsi="宋体" w:cs="宋体"/>
                <w:color w:val="auto"/>
                <w:sz w:val="24"/>
              </w:rPr>
            </w:pPr>
            <w:r>
              <w:rPr>
                <w:rFonts w:hint="eastAsia" w:ascii="宋体" w:hAnsi="宋体" w:cs="宋体"/>
                <w:color w:val="auto"/>
                <w:kern w:val="0"/>
                <w:sz w:val="22"/>
                <w:szCs w:val="22"/>
              </w:rPr>
              <w:t>78</w:t>
            </w:r>
          </w:p>
        </w:tc>
        <w:tc>
          <w:tcPr>
            <w:tcW w:w="641" w:type="dxa"/>
            <w:tcBorders>
              <w:top w:val="nil"/>
              <w:left w:val="nil"/>
              <w:bottom w:val="single" w:color="auto" w:sz="4" w:space="0"/>
              <w:right w:val="single" w:color="auto" w:sz="4" w:space="0"/>
            </w:tcBorders>
            <w:noWrap/>
            <w:vAlign w:val="center"/>
          </w:tcPr>
          <w:p w14:paraId="145418F3">
            <w:pPr>
              <w:jc w:val="center"/>
              <w:textAlignment w:val="center"/>
              <w:rPr>
                <w:rFonts w:ascii="宋体" w:hAnsi="宋体" w:cs="宋体"/>
                <w:color w:val="auto"/>
                <w:sz w:val="22"/>
                <w:szCs w:val="22"/>
              </w:rPr>
            </w:pPr>
            <w:r>
              <w:rPr>
                <w:rFonts w:hint="eastAsia" w:ascii="宋体" w:hAnsi="宋体" w:cs="宋体"/>
                <w:color w:val="auto"/>
                <w:kern w:val="0"/>
                <w:sz w:val="22"/>
                <w:szCs w:val="22"/>
              </w:rPr>
              <w:t>49</w:t>
            </w:r>
          </w:p>
        </w:tc>
        <w:tc>
          <w:tcPr>
            <w:tcW w:w="1089" w:type="dxa"/>
            <w:tcBorders>
              <w:top w:val="nil"/>
              <w:left w:val="nil"/>
              <w:bottom w:val="single" w:color="auto" w:sz="4" w:space="0"/>
              <w:right w:val="single" w:color="auto" w:sz="4" w:space="0"/>
            </w:tcBorders>
            <w:noWrap/>
            <w:vAlign w:val="center"/>
          </w:tcPr>
          <w:p w14:paraId="16EE80CD">
            <w:pPr>
              <w:jc w:val="center"/>
              <w:textAlignment w:val="center"/>
              <w:rPr>
                <w:rFonts w:ascii="宋体" w:hAnsi="宋体" w:cs="宋体"/>
                <w:color w:val="auto"/>
                <w:sz w:val="22"/>
                <w:szCs w:val="22"/>
              </w:rPr>
            </w:pPr>
            <w:r>
              <w:rPr>
                <w:rFonts w:hint="eastAsia" w:ascii="宋体" w:hAnsi="宋体" w:cs="宋体"/>
                <w:color w:val="auto"/>
                <w:kern w:val="0"/>
                <w:sz w:val="22"/>
                <w:szCs w:val="22"/>
              </w:rPr>
              <w:t>29</w:t>
            </w:r>
          </w:p>
        </w:tc>
        <w:tc>
          <w:tcPr>
            <w:tcW w:w="764" w:type="dxa"/>
            <w:tcBorders>
              <w:top w:val="nil"/>
              <w:left w:val="nil"/>
              <w:bottom w:val="single" w:color="auto" w:sz="4" w:space="0"/>
              <w:right w:val="single" w:color="auto" w:sz="4" w:space="0"/>
            </w:tcBorders>
            <w:noWrap/>
            <w:vAlign w:val="center"/>
          </w:tcPr>
          <w:p w14:paraId="72D6895A">
            <w:pPr>
              <w:jc w:val="center"/>
              <w:textAlignment w:val="center"/>
              <w:rPr>
                <w:rFonts w:ascii="宋体" w:hAnsi="宋体" w:cs="宋体"/>
                <w:color w:val="auto"/>
                <w:sz w:val="24"/>
              </w:rPr>
            </w:pPr>
            <w:r>
              <w:rPr>
                <w:rFonts w:hint="eastAsia" w:ascii="宋体" w:hAnsi="宋体" w:cs="宋体"/>
                <w:color w:val="auto"/>
                <w:kern w:val="0"/>
                <w:sz w:val="22"/>
                <w:szCs w:val="22"/>
              </w:rPr>
              <w:t>72091</w:t>
            </w:r>
          </w:p>
        </w:tc>
        <w:tc>
          <w:tcPr>
            <w:tcW w:w="706" w:type="dxa"/>
            <w:tcBorders>
              <w:top w:val="nil"/>
              <w:left w:val="nil"/>
              <w:bottom w:val="single" w:color="auto" w:sz="4" w:space="0"/>
              <w:right w:val="single" w:color="auto" w:sz="4" w:space="0"/>
            </w:tcBorders>
            <w:noWrap/>
            <w:vAlign w:val="center"/>
          </w:tcPr>
          <w:p w14:paraId="41D80377">
            <w:pPr>
              <w:jc w:val="center"/>
              <w:textAlignment w:val="center"/>
              <w:rPr>
                <w:rFonts w:ascii="宋体" w:hAnsi="宋体" w:cs="宋体"/>
                <w:color w:val="auto"/>
                <w:sz w:val="24"/>
              </w:rPr>
            </w:pPr>
            <w:r>
              <w:rPr>
                <w:rFonts w:hint="eastAsia" w:ascii="宋体" w:hAnsi="宋体" w:cs="宋体"/>
                <w:color w:val="auto"/>
                <w:kern w:val="0"/>
                <w:sz w:val="22"/>
                <w:szCs w:val="22"/>
              </w:rPr>
              <w:t>40440</w:t>
            </w:r>
          </w:p>
        </w:tc>
        <w:tc>
          <w:tcPr>
            <w:tcW w:w="1029" w:type="dxa"/>
            <w:tcBorders>
              <w:top w:val="nil"/>
              <w:left w:val="nil"/>
              <w:bottom w:val="single" w:color="auto" w:sz="4" w:space="0"/>
              <w:right w:val="single" w:color="auto" w:sz="4" w:space="0"/>
            </w:tcBorders>
            <w:noWrap/>
            <w:vAlign w:val="center"/>
          </w:tcPr>
          <w:p w14:paraId="7BF6E0E1">
            <w:pPr>
              <w:jc w:val="center"/>
              <w:textAlignment w:val="center"/>
              <w:rPr>
                <w:rFonts w:ascii="宋体" w:hAnsi="宋体" w:cs="宋体"/>
                <w:color w:val="auto"/>
                <w:sz w:val="24"/>
              </w:rPr>
            </w:pPr>
            <w:r>
              <w:rPr>
                <w:rFonts w:hint="eastAsia" w:ascii="宋体" w:hAnsi="宋体" w:cs="宋体"/>
                <w:color w:val="auto"/>
                <w:kern w:val="0"/>
                <w:sz w:val="22"/>
                <w:szCs w:val="22"/>
              </w:rPr>
              <w:t>31651</w:t>
            </w:r>
          </w:p>
        </w:tc>
        <w:tc>
          <w:tcPr>
            <w:tcW w:w="878" w:type="dxa"/>
            <w:tcBorders>
              <w:top w:val="nil"/>
              <w:left w:val="nil"/>
              <w:bottom w:val="single" w:color="auto" w:sz="4" w:space="0"/>
              <w:right w:val="single" w:color="auto" w:sz="4" w:space="0"/>
            </w:tcBorders>
            <w:noWrap/>
            <w:vAlign w:val="center"/>
          </w:tcPr>
          <w:p w14:paraId="3BC98635">
            <w:pPr>
              <w:jc w:val="center"/>
              <w:textAlignment w:val="center"/>
              <w:rPr>
                <w:rFonts w:ascii="宋体" w:hAnsi="宋体" w:cs="宋体"/>
                <w:color w:val="auto"/>
                <w:sz w:val="24"/>
              </w:rPr>
            </w:pPr>
            <w:r>
              <w:rPr>
                <w:rFonts w:hint="eastAsia" w:ascii="宋体" w:hAnsi="宋体" w:cs="宋体"/>
                <w:color w:val="auto"/>
                <w:kern w:val="0"/>
                <w:sz w:val="22"/>
                <w:szCs w:val="22"/>
              </w:rPr>
              <w:t>403711</w:t>
            </w:r>
          </w:p>
        </w:tc>
        <w:tc>
          <w:tcPr>
            <w:tcW w:w="878" w:type="dxa"/>
            <w:tcBorders>
              <w:top w:val="nil"/>
              <w:left w:val="nil"/>
              <w:bottom w:val="single" w:color="auto" w:sz="4" w:space="0"/>
              <w:right w:val="single" w:color="auto" w:sz="4" w:space="0"/>
            </w:tcBorders>
            <w:noWrap/>
            <w:vAlign w:val="center"/>
          </w:tcPr>
          <w:p w14:paraId="4092128D">
            <w:pPr>
              <w:jc w:val="center"/>
              <w:textAlignment w:val="center"/>
              <w:rPr>
                <w:rFonts w:ascii="宋体" w:hAnsi="宋体" w:cs="宋体"/>
                <w:color w:val="auto"/>
                <w:sz w:val="24"/>
              </w:rPr>
            </w:pPr>
            <w:r>
              <w:rPr>
                <w:rFonts w:hint="eastAsia" w:ascii="宋体" w:hAnsi="宋体" w:cs="宋体"/>
                <w:color w:val="auto"/>
                <w:kern w:val="0"/>
                <w:sz w:val="22"/>
                <w:szCs w:val="22"/>
              </w:rPr>
              <w:t>226467</w:t>
            </w:r>
          </w:p>
        </w:tc>
        <w:tc>
          <w:tcPr>
            <w:tcW w:w="982" w:type="dxa"/>
            <w:tcBorders>
              <w:top w:val="nil"/>
              <w:left w:val="nil"/>
              <w:bottom w:val="single" w:color="auto" w:sz="4" w:space="0"/>
              <w:right w:val="single" w:color="auto" w:sz="4" w:space="0"/>
            </w:tcBorders>
            <w:noWrap/>
            <w:vAlign w:val="center"/>
          </w:tcPr>
          <w:p w14:paraId="033DAA3B">
            <w:pPr>
              <w:jc w:val="center"/>
              <w:textAlignment w:val="center"/>
              <w:rPr>
                <w:rFonts w:ascii="宋体" w:hAnsi="宋体" w:cs="宋体"/>
                <w:color w:val="auto"/>
                <w:sz w:val="24"/>
              </w:rPr>
            </w:pPr>
            <w:r>
              <w:rPr>
                <w:rFonts w:hint="eastAsia" w:ascii="宋体" w:hAnsi="宋体" w:cs="宋体"/>
                <w:color w:val="auto"/>
                <w:kern w:val="0"/>
                <w:sz w:val="22"/>
                <w:szCs w:val="22"/>
              </w:rPr>
              <w:t>177244</w:t>
            </w:r>
          </w:p>
        </w:tc>
        <w:tc>
          <w:tcPr>
            <w:tcW w:w="1115" w:type="dxa"/>
            <w:tcBorders>
              <w:top w:val="nil"/>
              <w:left w:val="nil"/>
              <w:bottom w:val="single" w:color="auto" w:sz="4" w:space="0"/>
              <w:right w:val="single" w:color="auto" w:sz="4" w:space="0"/>
            </w:tcBorders>
            <w:noWrap/>
            <w:vAlign w:val="center"/>
          </w:tcPr>
          <w:p w14:paraId="78DCB533">
            <w:pPr>
              <w:jc w:val="center"/>
              <w:textAlignment w:val="center"/>
              <w:rPr>
                <w:rFonts w:ascii="宋体" w:hAnsi="宋体" w:cs="宋体"/>
                <w:color w:val="auto"/>
                <w:sz w:val="24"/>
              </w:rPr>
            </w:pPr>
            <w:r>
              <w:rPr>
                <w:rFonts w:hint="eastAsia" w:ascii="宋体" w:hAnsi="宋体" w:cs="宋体"/>
                <w:color w:val="auto"/>
                <w:kern w:val="0"/>
                <w:sz w:val="22"/>
                <w:szCs w:val="22"/>
              </w:rPr>
              <w:t>1273.765</w:t>
            </w:r>
          </w:p>
        </w:tc>
        <w:tc>
          <w:tcPr>
            <w:tcW w:w="803" w:type="dxa"/>
            <w:tcBorders>
              <w:top w:val="nil"/>
              <w:left w:val="nil"/>
              <w:bottom w:val="single" w:color="auto" w:sz="4" w:space="0"/>
              <w:right w:val="single" w:color="auto" w:sz="4" w:space="0"/>
            </w:tcBorders>
            <w:noWrap/>
            <w:vAlign w:val="center"/>
          </w:tcPr>
          <w:p w14:paraId="266EBA09">
            <w:pPr>
              <w:jc w:val="center"/>
              <w:textAlignment w:val="center"/>
              <w:rPr>
                <w:rFonts w:ascii="宋体" w:hAnsi="宋体" w:cs="宋体"/>
                <w:color w:val="auto"/>
                <w:sz w:val="24"/>
              </w:rPr>
            </w:pPr>
            <w:r>
              <w:rPr>
                <w:rFonts w:hint="eastAsia" w:ascii="宋体" w:hAnsi="宋体" w:cs="宋体"/>
                <w:color w:val="auto"/>
                <w:kern w:val="0"/>
                <w:sz w:val="22"/>
                <w:szCs w:val="22"/>
              </w:rPr>
              <w:t>202.155</w:t>
            </w:r>
          </w:p>
        </w:tc>
        <w:tc>
          <w:tcPr>
            <w:tcW w:w="1124" w:type="dxa"/>
            <w:tcBorders>
              <w:top w:val="nil"/>
              <w:left w:val="nil"/>
              <w:bottom w:val="single" w:color="auto" w:sz="4" w:space="0"/>
              <w:right w:val="single" w:color="auto" w:sz="4" w:space="0"/>
            </w:tcBorders>
            <w:noWrap/>
            <w:vAlign w:val="center"/>
          </w:tcPr>
          <w:p w14:paraId="6A38E051">
            <w:pPr>
              <w:jc w:val="center"/>
              <w:textAlignment w:val="center"/>
              <w:rPr>
                <w:rFonts w:ascii="宋体" w:hAnsi="宋体" w:cs="宋体"/>
                <w:color w:val="auto"/>
                <w:sz w:val="24"/>
              </w:rPr>
            </w:pPr>
            <w:r>
              <w:rPr>
                <w:rFonts w:hint="eastAsia" w:ascii="宋体" w:hAnsi="宋体" w:cs="宋体"/>
                <w:color w:val="auto"/>
                <w:kern w:val="0"/>
                <w:sz w:val="22"/>
                <w:szCs w:val="22"/>
              </w:rPr>
              <w:t>1071.61</w:t>
            </w:r>
          </w:p>
        </w:tc>
        <w:tc>
          <w:tcPr>
            <w:tcW w:w="1384" w:type="dxa"/>
            <w:tcBorders>
              <w:top w:val="nil"/>
              <w:left w:val="nil"/>
              <w:bottom w:val="single" w:color="auto" w:sz="4" w:space="0"/>
              <w:right w:val="single" w:color="auto" w:sz="4" w:space="0"/>
            </w:tcBorders>
            <w:noWrap/>
            <w:vAlign w:val="center"/>
          </w:tcPr>
          <w:p w14:paraId="4011BD94">
            <w:pPr>
              <w:jc w:val="center"/>
              <w:textAlignment w:val="center"/>
              <w:rPr>
                <w:rFonts w:ascii="宋体" w:hAnsi="宋体" w:cs="宋体"/>
                <w:color w:val="auto"/>
                <w:sz w:val="24"/>
              </w:rPr>
            </w:pPr>
            <w:r>
              <w:rPr>
                <w:rFonts w:hint="eastAsia" w:ascii="宋体" w:hAnsi="宋体" w:cs="宋体"/>
                <w:color w:val="auto"/>
                <w:kern w:val="0"/>
                <w:sz w:val="22"/>
                <w:szCs w:val="22"/>
              </w:rPr>
              <w:t>9911</w:t>
            </w:r>
          </w:p>
        </w:tc>
      </w:tr>
      <w:tr w14:paraId="37E5173F">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0A204629">
            <w:pPr>
              <w:jc w:val="center"/>
              <w:textAlignment w:val="center"/>
              <w:rPr>
                <w:rFonts w:ascii="宋体" w:hAnsi="宋体" w:cs="宋体"/>
                <w:color w:val="auto"/>
                <w:sz w:val="24"/>
              </w:rPr>
            </w:pPr>
            <w:r>
              <w:rPr>
                <w:rFonts w:hint="eastAsia" w:ascii="宋体" w:hAnsi="宋体" w:cs="宋体"/>
                <w:color w:val="auto"/>
                <w:kern w:val="0"/>
                <w:sz w:val="24"/>
              </w:rPr>
              <w:t>12</w:t>
            </w:r>
          </w:p>
        </w:tc>
        <w:tc>
          <w:tcPr>
            <w:tcW w:w="1064" w:type="dxa"/>
            <w:tcBorders>
              <w:top w:val="nil"/>
              <w:left w:val="nil"/>
              <w:bottom w:val="single" w:color="auto" w:sz="4" w:space="0"/>
              <w:right w:val="single" w:color="auto" w:sz="4" w:space="0"/>
            </w:tcBorders>
            <w:noWrap/>
            <w:vAlign w:val="center"/>
          </w:tcPr>
          <w:p w14:paraId="36E0F257">
            <w:pPr>
              <w:jc w:val="center"/>
              <w:textAlignment w:val="center"/>
              <w:rPr>
                <w:rFonts w:ascii="宋体" w:hAnsi="宋体" w:cs="宋体"/>
                <w:color w:val="auto"/>
                <w:sz w:val="24"/>
              </w:rPr>
            </w:pPr>
            <w:r>
              <w:rPr>
                <w:rFonts w:hint="eastAsia" w:ascii="宋体" w:hAnsi="宋体" w:cs="宋体"/>
                <w:color w:val="auto"/>
                <w:kern w:val="0"/>
                <w:sz w:val="24"/>
              </w:rPr>
              <w:t>城北乡</w:t>
            </w:r>
          </w:p>
        </w:tc>
        <w:tc>
          <w:tcPr>
            <w:tcW w:w="642" w:type="dxa"/>
            <w:tcBorders>
              <w:top w:val="nil"/>
              <w:left w:val="nil"/>
              <w:bottom w:val="single" w:color="auto" w:sz="4" w:space="0"/>
              <w:right w:val="single" w:color="auto" w:sz="4" w:space="0"/>
            </w:tcBorders>
            <w:noWrap/>
            <w:vAlign w:val="center"/>
          </w:tcPr>
          <w:p w14:paraId="12CEFE45">
            <w:pPr>
              <w:jc w:val="center"/>
              <w:textAlignment w:val="center"/>
              <w:rPr>
                <w:rFonts w:ascii="宋体" w:hAnsi="宋体" w:cs="宋体"/>
                <w:color w:val="auto"/>
                <w:sz w:val="24"/>
              </w:rPr>
            </w:pPr>
            <w:r>
              <w:rPr>
                <w:rFonts w:hint="eastAsia" w:ascii="宋体" w:hAnsi="宋体" w:cs="宋体"/>
                <w:color w:val="auto"/>
                <w:kern w:val="0"/>
                <w:sz w:val="22"/>
                <w:szCs w:val="22"/>
              </w:rPr>
              <w:t>63</w:t>
            </w:r>
          </w:p>
        </w:tc>
        <w:tc>
          <w:tcPr>
            <w:tcW w:w="641" w:type="dxa"/>
            <w:tcBorders>
              <w:top w:val="nil"/>
              <w:left w:val="nil"/>
              <w:bottom w:val="single" w:color="auto" w:sz="4" w:space="0"/>
              <w:right w:val="single" w:color="auto" w:sz="4" w:space="0"/>
            </w:tcBorders>
            <w:noWrap/>
            <w:vAlign w:val="center"/>
          </w:tcPr>
          <w:p w14:paraId="60B3234E">
            <w:pPr>
              <w:jc w:val="center"/>
              <w:textAlignment w:val="center"/>
              <w:rPr>
                <w:rFonts w:ascii="宋体" w:hAnsi="宋体" w:cs="宋体"/>
                <w:color w:val="auto"/>
                <w:sz w:val="22"/>
                <w:szCs w:val="22"/>
              </w:rPr>
            </w:pPr>
            <w:r>
              <w:rPr>
                <w:rFonts w:hint="eastAsia" w:ascii="宋体" w:hAnsi="宋体" w:cs="宋体"/>
                <w:color w:val="auto"/>
                <w:kern w:val="0"/>
                <w:sz w:val="22"/>
                <w:szCs w:val="22"/>
              </w:rPr>
              <w:t>35</w:t>
            </w:r>
          </w:p>
        </w:tc>
        <w:tc>
          <w:tcPr>
            <w:tcW w:w="1089" w:type="dxa"/>
            <w:tcBorders>
              <w:top w:val="nil"/>
              <w:left w:val="nil"/>
              <w:bottom w:val="single" w:color="auto" w:sz="4" w:space="0"/>
              <w:right w:val="single" w:color="auto" w:sz="4" w:space="0"/>
            </w:tcBorders>
            <w:noWrap/>
            <w:vAlign w:val="center"/>
          </w:tcPr>
          <w:p w14:paraId="2477C6B1">
            <w:pPr>
              <w:jc w:val="center"/>
              <w:textAlignment w:val="center"/>
              <w:rPr>
                <w:rFonts w:ascii="宋体" w:hAnsi="宋体" w:cs="宋体"/>
                <w:color w:val="auto"/>
                <w:sz w:val="22"/>
                <w:szCs w:val="22"/>
              </w:rPr>
            </w:pPr>
            <w:r>
              <w:rPr>
                <w:rFonts w:hint="eastAsia" w:ascii="宋体" w:hAnsi="宋体" w:cs="宋体"/>
                <w:color w:val="auto"/>
                <w:kern w:val="0"/>
                <w:sz w:val="22"/>
                <w:szCs w:val="22"/>
              </w:rPr>
              <w:t>28</w:t>
            </w:r>
          </w:p>
        </w:tc>
        <w:tc>
          <w:tcPr>
            <w:tcW w:w="764" w:type="dxa"/>
            <w:tcBorders>
              <w:top w:val="nil"/>
              <w:left w:val="nil"/>
              <w:bottom w:val="single" w:color="auto" w:sz="4" w:space="0"/>
              <w:right w:val="single" w:color="auto" w:sz="4" w:space="0"/>
            </w:tcBorders>
            <w:noWrap/>
            <w:vAlign w:val="center"/>
          </w:tcPr>
          <w:p w14:paraId="250EBB25">
            <w:pPr>
              <w:jc w:val="center"/>
              <w:textAlignment w:val="center"/>
              <w:rPr>
                <w:rFonts w:ascii="宋体" w:hAnsi="宋体" w:cs="宋体"/>
                <w:color w:val="auto"/>
                <w:sz w:val="24"/>
              </w:rPr>
            </w:pPr>
            <w:r>
              <w:rPr>
                <w:rFonts w:hint="eastAsia" w:ascii="宋体" w:hAnsi="宋体" w:cs="宋体"/>
                <w:color w:val="auto"/>
                <w:kern w:val="0"/>
                <w:sz w:val="22"/>
                <w:szCs w:val="22"/>
              </w:rPr>
              <w:t>85948</w:t>
            </w:r>
          </w:p>
        </w:tc>
        <w:tc>
          <w:tcPr>
            <w:tcW w:w="706" w:type="dxa"/>
            <w:tcBorders>
              <w:top w:val="nil"/>
              <w:left w:val="nil"/>
              <w:bottom w:val="single" w:color="auto" w:sz="4" w:space="0"/>
              <w:right w:val="single" w:color="auto" w:sz="4" w:space="0"/>
            </w:tcBorders>
            <w:noWrap/>
            <w:vAlign w:val="center"/>
          </w:tcPr>
          <w:p w14:paraId="1AE74B2A">
            <w:pPr>
              <w:jc w:val="center"/>
              <w:textAlignment w:val="center"/>
              <w:rPr>
                <w:rFonts w:ascii="宋体" w:hAnsi="宋体" w:cs="宋体"/>
                <w:color w:val="auto"/>
                <w:sz w:val="22"/>
                <w:szCs w:val="22"/>
              </w:rPr>
            </w:pPr>
            <w:r>
              <w:rPr>
                <w:rFonts w:hint="eastAsia" w:ascii="宋体" w:hAnsi="宋体" w:cs="宋体"/>
                <w:color w:val="auto"/>
                <w:kern w:val="0"/>
                <w:sz w:val="22"/>
                <w:szCs w:val="22"/>
              </w:rPr>
              <w:t>39295</w:t>
            </w:r>
          </w:p>
        </w:tc>
        <w:tc>
          <w:tcPr>
            <w:tcW w:w="1029" w:type="dxa"/>
            <w:tcBorders>
              <w:top w:val="nil"/>
              <w:left w:val="nil"/>
              <w:bottom w:val="single" w:color="auto" w:sz="4" w:space="0"/>
              <w:right w:val="single" w:color="auto" w:sz="4" w:space="0"/>
            </w:tcBorders>
            <w:noWrap/>
            <w:vAlign w:val="center"/>
          </w:tcPr>
          <w:p w14:paraId="66F41E7D">
            <w:pPr>
              <w:jc w:val="center"/>
              <w:textAlignment w:val="center"/>
              <w:rPr>
                <w:rFonts w:ascii="宋体" w:hAnsi="宋体" w:cs="宋体"/>
                <w:color w:val="auto"/>
                <w:sz w:val="22"/>
                <w:szCs w:val="22"/>
              </w:rPr>
            </w:pPr>
            <w:r>
              <w:rPr>
                <w:rFonts w:hint="eastAsia" w:ascii="宋体" w:hAnsi="宋体" w:cs="宋体"/>
                <w:color w:val="auto"/>
                <w:kern w:val="0"/>
                <w:sz w:val="22"/>
                <w:szCs w:val="22"/>
              </w:rPr>
              <w:t>46653</w:t>
            </w:r>
          </w:p>
        </w:tc>
        <w:tc>
          <w:tcPr>
            <w:tcW w:w="878" w:type="dxa"/>
            <w:tcBorders>
              <w:top w:val="nil"/>
              <w:left w:val="nil"/>
              <w:bottom w:val="single" w:color="auto" w:sz="4" w:space="0"/>
              <w:right w:val="single" w:color="auto" w:sz="4" w:space="0"/>
            </w:tcBorders>
            <w:noWrap/>
            <w:vAlign w:val="center"/>
          </w:tcPr>
          <w:p w14:paraId="63DF5D7B">
            <w:pPr>
              <w:jc w:val="center"/>
              <w:textAlignment w:val="center"/>
              <w:rPr>
                <w:rFonts w:ascii="宋体" w:hAnsi="宋体" w:cs="宋体"/>
                <w:color w:val="auto"/>
                <w:sz w:val="24"/>
              </w:rPr>
            </w:pPr>
            <w:r>
              <w:rPr>
                <w:rFonts w:hint="eastAsia" w:ascii="宋体" w:hAnsi="宋体" w:cs="宋体"/>
                <w:color w:val="auto"/>
                <w:kern w:val="0"/>
                <w:sz w:val="22"/>
                <w:szCs w:val="22"/>
              </w:rPr>
              <w:t>481307</w:t>
            </w:r>
          </w:p>
        </w:tc>
        <w:tc>
          <w:tcPr>
            <w:tcW w:w="878" w:type="dxa"/>
            <w:tcBorders>
              <w:top w:val="nil"/>
              <w:left w:val="nil"/>
              <w:bottom w:val="single" w:color="auto" w:sz="4" w:space="0"/>
              <w:right w:val="single" w:color="auto" w:sz="4" w:space="0"/>
            </w:tcBorders>
            <w:noWrap/>
            <w:vAlign w:val="center"/>
          </w:tcPr>
          <w:p w14:paraId="30A6BF3C">
            <w:pPr>
              <w:jc w:val="center"/>
              <w:textAlignment w:val="center"/>
              <w:rPr>
                <w:rFonts w:ascii="宋体" w:hAnsi="宋体" w:cs="宋体"/>
                <w:color w:val="auto"/>
                <w:sz w:val="22"/>
                <w:szCs w:val="22"/>
              </w:rPr>
            </w:pPr>
            <w:r>
              <w:rPr>
                <w:rFonts w:hint="eastAsia" w:ascii="宋体" w:hAnsi="宋体" w:cs="宋体"/>
                <w:color w:val="auto"/>
                <w:kern w:val="0"/>
                <w:sz w:val="22"/>
                <w:szCs w:val="22"/>
              </w:rPr>
              <w:t>220051</w:t>
            </w:r>
          </w:p>
        </w:tc>
        <w:tc>
          <w:tcPr>
            <w:tcW w:w="982" w:type="dxa"/>
            <w:tcBorders>
              <w:top w:val="nil"/>
              <w:left w:val="nil"/>
              <w:bottom w:val="single" w:color="auto" w:sz="4" w:space="0"/>
              <w:right w:val="single" w:color="auto" w:sz="4" w:space="0"/>
            </w:tcBorders>
            <w:noWrap/>
            <w:vAlign w:val="center"/>
          </w:tcPr>
          <w:p w14:paraId="6705E75D">
            <w:pPr>
              <w:jc w:val="center"/>
              <w:textAlignment w:val="center"/>
              <w:rPr>
                <w:rFonts w:ascii="宋体" w:hAnsi="宋体" w:cs="宋体"/>
                <w:color w:val="auto"/>
                <w:sz w:val="22"/>
                <w:szCs w:val="22"/>
              </w:rPr>
            </w:pPr>
            <w:r>
              <w:rPr>
                <w:rFonts w:hint="eastAsia" w:ascii="宋体" w:hAnsi="宋体" w:cs="宋体"/>
                <w:color w:val="auto"/>
                <w:kern w:val="0"/>
                <w:sz w:val="22"/>
                <w:szCs w:val="22"/>
              </w:rPr>
              <w:t>261256</w:t>
            </w:r>
          </w:p>
        </w:tc>
        <w:tc>
          <w:tcPr>
            <w:tcW w:w="1115" w:type="dxa"/>
            <w:tcBorders>
              <w:top w:val="nil"/>
              <w:left w:val="nil"/>
              <w:bottom w:val="single" w:color="auto" w:sz="4" w:space="0"/>
              <w:right w:val="single" w:color="auto" w:sz="4" w:space="0"/>
            </w:tcBorders>
            <w:noWrap/>
            <w:vAlign w:val="center"/>
          </w:tcPr>
          <w:p w14:paraId="336DBA40">
            <w:pPr>
              <w:jc w:val="center"/>
              <w:textAlignment w:val="center"/>
              <w:rPr>
                <w:rFonts w:ascii="宋体" w:hAnsi="宋体" w:cs="宋体"/>
                <w:color w:val="auto"/>
                <w:sz w:val="24"/>
              </w:rPr>
            </w:pPr>
            <w:r>
              <w:rPr>
                <w:rFonts w:hint="eastAsia" w:ascii="宋体" w:hAnsi="宋体" w:cs="宋体"/>
                <w:color w:val="auto"/>
                <w:kern w:val="0"/>
                <w:sz w:val="22"/>
                <w:szCs w:val="22"/>
              </w:rPr>
              <w:t>1829.2</w:t>
            </w:r>
          </w:p>
        </w:tc>
        <w:tc>
          <w:tcPr>
            <w:tcW w:w="803" w:type="dxa"/>
            <w:tcBorders>
              <w:top w:val="nil"/>
              <w:left w:val="nil"/>
              <w:bottom w:val="single" w:color="auto" w:sz="4" w:space="0"/>
              <w:right w:val="single" w:color="auto" w:sz="4" w:space="0"/>
            </w:tcBorders>
            <w:noWrap/>
            <w:vAlign w:val="center"/>
          </w:tcPr>
          <w:p w14:paraId="2A79D22B">
            <w:pPr>
              <w:jc w:val="center"/>
              <w:textAlignment w:val="center"/>
              <w:rPr>
                <w:rFonts w:ascii="宋体" w:hAnsi="宋体" w:cs="宋体"/>
                <w:color w:val="auto"/>
                <w:sz w:val="22"/>
                <w:szCs w:val="22"/>
              </w:rPr>
            </w:pPr>
            <w:r>
              <w:rPr>
                <w:rFonts w:hint="eastAsia" w:ascii="宋体" w:hAnsi="宋体" w:cs="宋体"/>
                <w:color w:val="auto"/>
                <w:kern w:val="0"/>
                <w:sz w:val="22"/>
                <w:szCs w:val="22"/>
              </w:rPr>
              <w:t>196.5</w:t>
            </w:r>
          </w:p>
        </w:tc>
        <w:tc>
          <w:tcPr>
            <w:tcW w:w="1124" w:type="dxa"/>
            <w:tcBorders>
              <w:top w:val="nil"/>
              <w:left w:val="nil"/>
              <w:bottom w:val="single" w:color="auto" w:sz="4" w:space="0"/>
              <w:right w:val="single" w:color="auto" w:sz="4" w:space="0"/>
            </w:tcBorders>
            <w:noWrap/>
            <w:vAlign w:val="center"/>
          </w:tcPr>
          <w:p w14:paraId="0015CDF4">
            <w:pPr>
              <w:jc w:val="center"/>
              <w:textAlignment w:val="center"/>
              <w:rPr>
                <w:rFonts w:ascii="宋体" w:hAnsi="宋体" w:cs="宋体"/>
                <w:color w:val="auto"/>
                <w:sz w:val="22"/>
                <w:szCs w:val="22"/>
              </w:rPr>
            </w:pPr>
            <w:r>
              <w:rPr>
                <w:rFonts w:hint="eastAsia" w:ascii="宋体" w:hAnsi="宋体" w:cs="宋体"/>
                <w:color w:val="auto"/>
                <w:kern w:val="0"/>
                <w:sz w:val="22"/>
                <w:szCs w:val="22"/>
              </w:rPr>
              <w:t>1632.7</w:t>
            </w:r>
          </w:p>
        </w:tc>
        <w:tc>
          <w:tcPr>
            <w:tcW w:w="1384" w:type="dxa"/>
            <w:tcBorders>
              <w:top w:val="nil"/>
              <w:left w:val="nil"/>
              <w:bottom w:val="single" w:color="auto" w:sz="4" w:space="0"/>
              <w:right w:val="single" w:color="auto" w:sz="4" w:space="0"/>
            </w:tcBorders>
            <w:noWrap/>
            <w:vAlign w:val="center"/>
          </w:tcPr>
          <w:p w14:paraId="31D7D3A1">
            <w:pPr>
              <w:jc w:val="center"/>
              <w:textAlignment w:val="center"/>
              <w:rPr>
                <w:rFonts w:ascii="宋体" w:hAnsi="宋体" w:cs="宋体"/>
                <w:color w:val="auto"/>
                <w:sz w:val="24"/>
              </w:rPr>
            </w:pPr>
            <w:r>
              <w:rPr>
                <w:rFonts w:hint="eastAsia" w:ascii="宋体" w:hAnsi="宋体" w:cs="宋体"/>
                <w:color w:val="auto"/>
                <w:kern w:val="0"/>
                <w:sz w:val="22"/>
                <w:szCs w:val="22"/>
              </w:rPr>
              <w:t>18410</w:t>
            </w:r>
          </w:p>
        </w:tc>
      </w:tr>
      <w:tr w14:paraId="0B00D90A">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3BD43C97">
            <w:pPr>
              <w:jc w:val="center"/>
              <w:textAlignment w:val="center"/>
              <w:rPr>
                <w:rFonts w:ascii="宋体" w:hAnsi="宋体" w:cs="宋体"/>
                <w:color w:val="auto"/>
                <w:sz w:val="24"/>
              </w:rPr>
            </w:pPr>
            <w:r>
              <w:rPr>
                <w:rFonts w:hint="eastAsia" w:ascii="宋体" w:hAnsi="宋体" w:cs="宋体"/>
                <w:color w:val="auto"/>
                <w:kern w:val="0"/>
                <w:sz w:val="24"/>
              </w:rPr>
              <w:t>13</w:t>
            </w:r>
          </w:p>
        </w:tc>
        <w:tc>
          <w:tcPr>
            <w:tcW w:w="1064" w:type="dxa"/>
            <w:tcBorders>
              <w:top w:val="nil"/>
              <w:left w:val="nil"/>
              <w:bottom w:val="single" w:color="auto" w:sz="4" w:space="0"/>
              <w:right w:val="single" w:color="auto" w:sz="4" w:space="0"/>
            </w:tcBorders>
            <w:noWrap/>
            <w:vAlign w:val="center"/>
          </w:tcPr>
          <w:p w14:paraId="329BADC3">
            <w:pPr>
              <w:jc w:val="center"/>
              <w:textAlignment w:val="center"/>
              <w:rPr>
                <w:rFonts w:ascii="宋体" w:hAnsi="宋体" w:cs="宋体"/>
                <w:color w:val="auto"/>
                <w:sz w:val="24"/>
              </w:rPr>
            </w:pPr>
            <w:r>
              <w:rPr>
                <w:rFonts w:hint="eastAsia" w:ascii="宋体" w:hAnsi="宋体" w:cs="宋体"/>
                <w:color w:val="auto"/>
                <w:kern w:val="0"/>
                <w:sz w:val="24"/>
              </w:rPr>
              <w:t>小梅镇</w:t>
            </w:r>
          </w:p>
        </w:tc>
        <w:tc>
          <w:tcPr>
            <w:tcW w:w="642" w:type="dxa"/>
            <w:tcBorders>
              <w:top w:val="nil"/>
              <w:left w:val="nil"/>
              <w:bottom w:val="single" w:color="auto" w:sz="4" w:space="0"/>
              <w:right w:val="single" w:color="auto" w:sz="4" w:space="0"/>
            </w:tcBorders>
            <w:noWrap/>
            <w:vAlign w:val="center"/>
          </w:tcPr>
          <w:p w14:paraId="16CBC076">
            <w:pPr>
              <w:jc w:val="center"/>
              <w:textAlignment w:val="center"/>
              <w:rPr>
                <w:rFonts w:ascii="宋体" w:hAnsi="宋体" w:cs="宋体"/>
                <w:color w:val="auto"/>
                <w:sz w:val="24"/>
              </w:rPr>
            </w:pPr>
            <w:r>
              <w:rPr>
                <w:rFonts w:hint="eastAsia" w:ascii="宋体" w:hAnsi="宋体" w:cs="宋体"/>
                <w:color w:val="auto"/>
                <w:kern w:val="0"/>
                <w:sz w:val="22"/>
                <w:szCs w:val="22"/>
              </w:rPr>
              <w:t>45</w:t>
            </w:r>
          </w:p>
        </w:tc>
        <w:tc>
          <w:tcPr>
            <w:tcW w:w="641" w:type="dxa"/>
            <w:tcBorders>
              <w:top w:val="nil"/>
              <w:left w:val="nil"/>
              <w:bottom w:val="single" w:color="auto" w:sz="4" w:space="0"/>
              <w:right w:val="single" w:color="auto" w:sz="4" w:space="0"/>
            </w:tcBorders>
            <w:noWrap/>
            <w:vAlign w:val="center"/>
          </w:tcPr>
          <w:p w14:paraId="756D36A3">
            <w:pPr>
              <w:jc w:val="center"/>
              <w:textAlignment w:val="center"/>
              <w:rPr>
                <w:rFonts w:ascii="宋体" w:hAnsi="宋体" w:cs="宋体"/>
                <w:color w:val="auto"/>
                <w:sz w:val="22"/>
                <w:szCs w:val="22"/>
              </w:rPr>
            </w:pPr>
            <w:r>
              <w:rPr>
                <w:rFonts w:hint="eastAsia" w:ascii="宋体" w:hAnsi="宋体" w:cs="宋体"/>
                <w:color w:val="auto"/>
                <w:kern w:val="0"/>
                <w:sz w:val="22"/>
                <w:szCs w:val="22"/>
              </w:rPr>
              <w:t>32</w:t>
            </w:r>
          </w:p>
        </w:tc>
        <w:tc>
          <w:tcPr>
            <w:tcW w:w="1089" w:type="dxa"/>
            <w:tcBorders>
              <w:top w:val="nil"/>
              <w:left w:val="nil"/>
              <w:bottom w:val="single" w:color="auto" w:sz="4" w:space="0"/>
              <w:right w:val="single" w:color="auto" w:sz="4" w:space="0"/>
            </w:tcBorders>
            <w:noWrap/>
            <w:vAlign w:val="center"/>
          </w:tcPr>
          <w:p w14:paraId="452F0796">
            <w:pPr>
              <w:jc w:val="center"/>
              <w:textAlignment w:val="center"/>
              <w:rPr>
                <w:rFonts w:ascii="宋体" w:hAnsi="宋体" w:cs="宋体"/>
                <w:color w:val="auto"/>
                <w:sz w:val="22"/>
                <w:szCs w:val="22"/>
              </w:rPr>
            </w:pPr>
            <w:r>
              <w:rPr>
                <w:rFonts w:hint="eastAsia" w:ascii="宋体" w:hAnsi="宋体" w:cs="宋体"/>
                <w:color w:val="auto"/>
                <w:kern w:val="0"/>
                <w:sz w:val="22"/>
                <w:szCs w:val="22"/>
              </w:rPr>
              <w:t>13</w:t>
            </w:r>
          </w:p>
        </w:tc>
        <w:tc>
          <w:tcPr>
            <w:tcW w:w="764" w:type="dxa"/>
            <w:tcBorders>
              <w:top w:val="nil"/>
              <w:left w:val="nil"/>
              <w:bottom w:val="single" w:color="auto" w:sz="4" w:space="0"/>
              <w:right w:val="single" w:color="auto" w:sz="4" w:space="0"/>
            </w:tcBorders>
            <w:noWrap/>
            <w:vAlign w:val="center"/>
          </w:tcPr>
          <w:p w14:paraId="5AC54379">
            <w:pPr>
              <w:jc w:val="center"/>
              <w:textAlignment w:val="center"/>
              <w:rPr>
                <w:rFonts w:ascii="宋体" w:hAnsi="宋体" w:cs="宋体"/>
                <w:color w:val="auto"/>
                <w:sz w:val="24"/>
              </w:rPr>
            </w:pPr>
            <w:r>
              <w:rPr>
                <w:rFonts w:hint="eastAsia" w:ascii="宋体" w:hAnsi="宋体" w:cs="宋体"/>
                <w:color w:val="auto"/>
                <w:kern w:val="0"/>
                <w:sz w:val="22"/>
                <w:szCs w:val="22"/>
              </w:rPr>
              <w:t>37310</w:t>
            </w:r>
          </w:p>
        </w:tc>
        <w:tc>
          <w:tcPr>
            <w:tcW w:w="706" w:type="dxa"/>
            <w:tcBorders>
              <w:top w:val="nil"/>
              <w:left w:val="nil"/>
              <w:bottom w:val="single" w:color="auto" w:sz="4" w:space="0"/>
              <w:right w:val="single" w:color="auto" w:sz="4" w:space="0"/>
            </w:tcBorders>
            <w:noWrap/>
            <w:vAlign w:val="center"/>
          </w:tcPr>
          <w:p w14:paraId="1A75D0DA">
            <w:pPr>
              <w:jc w:val="center"/>
              <w:textAlignment w:val="center"/>
              <w:rPr>
                <w:rFonts w:ascii="宋体" w:hAnsi="宋体" w:cs="宋体"/>
                <w:color w:val="auto"/>
                <w:sz w:val="22"/>
                <w:szCs w:val="22"/>
              </w:rPr>
            </w:pPr>
            <w:r>
              <w:rPr>
                <w:rFonts w:hint="eastAsia" w:ascii="宋体" w:hAnsi="宋体" w:cs="宋体"/>
                <w:color w:val="auto"/>
                <w:kern w:val="0"/>
                <w:sz w:val="22"/>
                <w:szCs w:val="22"/>
              </w:rPr>
              <w:t>25173</w:t>
            </w:r>
          </w:p>
        </w:tc>
        <w:tc>
          <w:tcPr>
            <w:tcW w:w="1029" w:type="dxa"/>
            <w:tcBorders>
              <w:top w:val="nil"/>
              <w:left w:val="nil"/>
              <w:bottom w:val="single" w:color="auto" w:sz="4" w:space="0"/>
              <w:right w:val="single" w:color="auto" w:sz="4" w:space="0"/>
            </w:tcBorders>
            <w:noWrap/>
            <w:vAlign w:val="center"/>
          </w:tcPr>
          <w:p w14:paraId="39C3131B">
            <w:pPr>
              <w:jc w:val="center"/>
              <w:textAlignment w:val="center"/>
              <w:rPr>
                <w:rFonts w:ascii="宋体" w:hAnsi="宋体" w:cs="宋体"/>
                <w:color w:val="auto"/>
                <w:sz w:val="22"/>
                <w:szCs w:val="22"/>
              </w:rPr>
            </w:pPr>
            <w:r>
              <w:rPr>
                <w:rFonts w:hint="eastAsia" w:ascii="宋体" w:hAnsi="宋体" w:cs="宋体"/>
                <w:color w:val="auto"/>
                <w:kern w:val="0"/>
                <w:sz w:val="22"/>
                <w:szCs w:val="22"/>
              </w:rPr>
              <w:t>12137</w:t>
            </w:r>
          </w:p>
        </w:tc>
        <w:tc>
          <w:tcPr>
            <w:tcW w:w="878" w:type="dxa"/>
            <w:tcBorders>
              <w:top w:val="nil"/>
              <w:left w:val="nil"/>
              <w:bottom w:val="single" w:color="auto" w:sz="4" w:space="0"/>
              <w:right w:val="single" w:color="auto" w:sz="4" w:space="0"/>
            </w:tcBorders>
            <w:noWrap/>
            <w:vAlign w:val="center"/>
          </w:tcPr>
          <w:p w14:paraId="6751672D">
            <w:pPr>
              <w:jc w:val="center"/>
              <w:textAlignment w:val="center"/>
              <w:rPr>
                <w:rFonts w:ascii="宋体" w:hAnsi="宋体" w:cs="宋体"/>
                <w:color w:val="auto"/>
                <w:sz w:val="24"/>
              </w:rPr>
            </w:pPr>
            <w:r>
              <w:rPr>
                <w:rFonts w:hint="eastAsia" w:ascii="宋体" w:hAnsi="宋体" w:cs="宋体"/>
                <w:color w:val="auto"/>
                <w:kern w:val="0"/>
                <w:sz w:val="22"/>
                <w:szCs w:val="22"/>
              </w:rPr>
              <w:t>208930</w:t>
            </w:r>
          </w:p>
        </w:tc>
        <w:tc>
          <w:tcPr>
            <w:tcW w:w="878" w:type="dxa"/>
            <w:tcBorders>
              <w:top w:val="nil"/>
              <w:left w:val="nil"/>
              <w:bottom w:val="single" w:color="auto" w:sz="4" w:space="0"/>
              <w:right w:val="single" w:color="auto" w:sz="4" w:space="0"/>
            </w:tcBorders>
            <w:noWrap/>
            <w:vAlign w:val="center"/>
          </w:tcPr>
          <w:p w14:paraId="54F2B9C2">
            <w:pPr>
              <w:jc w:val="center"/>
              <w:textAlignment w:val="center"/>
              <w:rPr>
                <w:rFonts w:ascii="宋体" w:hAnsi="宋体" w:cs="宋体"/>
                <w:color w:val="auto"/>
                <w:sz w:val="22"/>
                <w:szCs w:val="22"/>
              </w:rPr>
            </w:pPr>
            <w:r>
              <w:rPr>
                <w:rFonts w:hint="eastAsia" w:ascii="宋体" w:hAnsi="宋体" w:cs="宋体"/>
                <w:color w:val="auto"/>
                <w:kern w:val="0"/>
                <w:sz w:val="22"/>
                <w:szCs w:val="22"/>
              </w:rPr>
              <w:t>140955</w:t>
            </w:r>
          </w:p>
        </w:tc>
        <w:tc>
          <w:tcPr>
            <w:tcW w:w="982" w:type="dxa"/>
            <w:tcBorders>
              <w:top w:val="nil"/>
              <w:left w:val="nil"/>
              <w:bottom w:val="single" w:color="auto" w:sz="4" w:space="0"/>
              <w:right w:val="single" w:color="auto" w:sz="4" w:space="0"/>
            </w:tcBorders>
            <w:noWrap/>
            <w:vAlign w:val="center"/>
          </w:tcPr>
          <w:p w14:paraId="7DF36AB5">
            <w:pPr>
              <w:jc w:val="center"/>
              <w:textAlignment w:val="center"/>
              <w:rPr>
                <w:rFonts w:ascii="宋体" w:hAnsi="宋体" w:cs="宋体"/>
                <w:color w:val="auto"/>
                <w:sz w:val="22"/>
                <w:szCs w:val="22"/>
              </w:rPr>
            </w:pPr>
            <w:r>
              <w:rPr>
                <w:rFonts w:hint="eastAsia" w:ascii="宋体" w:hAnsi="宋体" w:cs="宋体"/>
                <w:color w:val="auto"/>
                <w:kern w:val="0"/>
                <w:sz w:val="22"/>
                <w:szCs w:val="22"/>
              </w:rPr>
              <w:t>67975</w:t>
            </w:r>
          </w:p>
        </w:tc>
        <w:tc>
          <w:tcPr>
            <w:tcW w:w="1115" w:type="dxa"/>
            <w:tcBorders>
              <w:top w:val="nil"/>
              <w:left w:val="nil"/>
              <w:bottom w:val="single" w:color="auto" w:sz="4" w:space="0"/>
              <w:right w:val="single" w:color="auto" w:sz="4" w:space="0"/>
            </w:tcBorders>
            <w:noWrap/>
            <w:vAlign w:val="center"/>
          </w:tcPr>
          <w:p w14:paraId="2E52B528">
            <w:pPr>
              <w:jc w:val="center"/>
              <w:textAlignment w:val="center"/>
              <w:rPr>
                <w:rFonts w:ascii="宋体" w:hAnsi="宋体" w:cs="宋体"/>
                <w:color w:val="auto"/>
                <w:sz w:val="24"/>
              </w:rPr>
            </w:pPr>
            <w:r>
              <w:rPr>
                <w:rFonts w:hint="eastAsia" w:ascii="宋体" w:hAnsi="宋体" w:cs="宋体"/>
                <w:color w:val="auto"/>
                <w:kern w:val="0"/>
                <w:sz w:val="22"/>
                <w:szCs w:val="22"/>
              </w:rPr>
              <w:t>416.03</w:t>
            </w:r>
          </w:p>
        </w:tc>
        <w:tc>
          <w:tcPr>
            <w:tcW w:w="803" w:type="dxa"/>
            <w:tcBorders>
              <w:top w:val="nil"/>
              <w:left w:val="nil"/>
              <w:bottom w:val="single" w:color="auto" w:sz="4" w:space="0"/>
              <w:right w:val="single" w:color="auto" w:sz="4" w:space="0"/>
            </w:tcBorders>
            <w:noWrap/>
            <w:vAlign w:val="center"/>
          </w:tcPr>
          <w:p w14:paraId="5E7BA512">
            <w:pPr>
              <w:jc w:val="center"/>
              <w:textAlignment w:val="center"/>
              <w:rPr>
                <w:rFonts w:ascii="宋体" w:hAnsi="宋体" w:cs="宋体"/>
                <w:color w:val="auto"/>
                <w:sz w:val="22"/>
                <w:szCs w:val="22"/>
              </w:rPr>
            </w:pPr>
            <w:r>
              <w:rPr>
                <w:rFonts w:hint="eastAsia" w:ascii="宋体" w:hAnsi="宋体" w:cs="宋体"/>
                <w:color w:val="auto"/>
                <w:kern w:val="0"/>
                <w:sz w:val="22"/>
                <w:szCs w:val="22"/>
              </w:rPr>
              <w:t>125.95</w:t>
            </w:r>
          </w:p>
        </w:tc>
        <w:tc>
          <w:tcPr>
            <w:tcW w:w="1124" w:type="dxa"/>
            <w:tcBorders>
              <w:top w:val="nil"/>
              <w:left w:val="nil"/>
              <w:bottom w:val="single" w:color="auto" w:sz="4" w:space="0"/>
              <w:right w:val="single" w:color="auto" w:sz="4" w:space="0"/>
            </w:tcBorders>
            <w:noWrap/>
            <w:vAlign w:val="center"/>
          </w:tcPr>
          <w:p w14:paraId="303C146B">
            <w:pPr>
              <w:jc w:val="center"/>
              <w:textAlignment w:val="center"/>
              <w:rPr>
                <w:rFonts w:ascii="宋体" w:hAnsi="宋体" w:cs="宋体"/>
                <w:color w:val="auto"/>
                <w:sz w:val="22"/>
                <w:szCs w:val="22"/>
              </w:rPr>
            </w:pPr>
            <w:r>
              <w:rPr>
                <w:rFonts w:hint="eastAsia" w:ascii="宋体" w:hAnsi="宋体" w:cs="宋体"/>
                <w:color w:val="auto"/>
                <w:kern w:val="0"/>
                <w:sz w:val="22"/>
                <w:szCs w:val="22"/>
              </w:rPr>
              <w:t>290.08</w:t>
            </w:r>
          </w:p>
        </w:tc>
        <w:tc>
          <w:tcPr>
            <w:tcW w:w="1384" w:type="dxa"/>
            <w:tcBorders>
              <w:top w:val="nil"/>
              <w:left w:val="nil"/>
              <w:bottom w:val="single" w:color="auto" w:sz="4" w:space="0"/>
              <w:right w:val="single" w:color="auto" w:sz="4" w:space="0"/>
            </w:tcBorders>
            <w:noWrap/>
            <w:vAlign w:val="center"/>
          </w:tcPr>
          <w:p w14:paraId="5E6EC390">
            <w:pPr>
              <w:jc w:val="center"/>
              <w:textAlignment w:val="center"/>
              <w:rPr>
                <w:rFonts w:ascii="宋体" w:hAnsi="宋体" w:cs="宋体"/>
                <w:color w:val="auto"/>
                <w:sz w:val="24"/>
              </w:rPr>
            </w:pPr>
            <w:r>
              <w:rPr>
                <w:rFonts w:hint="eastAsia" w:ascii="宋体" w:hAnsi="宋体" w:cs="宋体"/>
                <w:color w:val="auto"/>
                <w:kern w:val="0"/>
                <w:sz w:val="22"/>
                <w:szCs w:val="22"/>
              </w:rPr>
              <w:t>12210</w:t>
            </w:r>
          </w:p>
        </w:tc>
      </w:tr>
      <w:tr w14:paraId="0A7D0EFD">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4BC48BF3">
            <w:pPr>
              <w:jc w:val="center"/>
              <w:textAlignment w:val="center"/>
              <w:rPr>
                <w:rFonts w:ascii="宋体" w:hAnsi="宋体" w:cs="宋体"/>
                <w:color w:val="auto"/>
                <w:sz w:val="24"/>
              </w:rPr>
            </w:pPr>
            <w:r>
              <w:rPr>
                <w:rFonts w:hint="eastAsia" w:ascii="宋体" w:hAnsi="宋体" w:cs="宋体"/>
                <w:color w:val="auto"/>
                <w:kern w:val="0"/>
                <w:sz w:val="24"/>
              </w:rPr>
              <w:t>14</w:t>
            </w:r>
          </w:p>
        </w:tc>
        <w:tc>
          <w:tcPr>
            <w:tcW w:w="1064" w:type="dxa"/>
            <w:tcBorders>
              <w:top w:val="nil"/>
              <w:left w:val="nil"/>
              <w:bottom w:val="single" w:color="auto" w:sz="4" w:space="0"/>
              <w:right w:val="single" w:color="auto" w:sz="4" w:space="0"/>
            </w:tcBorders>
            <w:noWrap/>
            <w:vAlign w:val="center"/>
          </w:tcPr>
          <w:p w14:paraId="498DEDB6">
            <w:pPr>
              <w:jc w:val="center"/>
              <w:textAlignment w:val="center"/>
              <w:rPr>
                <w:rFonts w:ascii="宋体" w:hAnsi="宋体" w:cs="宋体"/>
                <w:color w:val="auto"/>
                <w:sz w:val="24"/>
              </w:rPr>
            </w:pPr>
            <w:r>
              <w:rPr>
                <w:rFonts w:hint="eastAsia" w:ascii="宋体" w:hAnsi="宋体" w:cs="宋体"/>
                <w:color w:val="auto"/>
                <w:kern w:val="0"/>
                <w:sz w:val="24"/>
              </w:rPr>
              <w:t>查田镇</w:t>
            </w:r>
          </w:p>
        </w:tc>
        <w:tc>
          <w:tcPr>
            <w:tcW w:w="642" w:type="dxa"/>
            <w:tcBorders>
              <w:top w:val="nil"/>
              <w:left w:val="nil"/>
              <w:bottom w:val="single" w:color="auto" w:sz="4" w:space="0"/>
              <w:right w:val="single" w:color="auto" w:sz="4" w:space="0"/>
            </w:tcBorders>
            <w:noWrap/>
            <w:vAlign w:val="center"/>
          </w:tcPr>
          <w:p w14:paraId="5BF2A543">
            <w:pPr>
              <w:jc w:val="center"/>
              <w:textAlignment w:val="center"/>
              <w:rPr>
                <w:rFonts w:ascii="宋体" w:hAnsi="宋体" w:cs="宋体"/>
                <w:color w:val="auto"/>
                <w:sz w:val="24"/>
              </w:rPr>
            </w:pPr>
            <w:r>
              <w:rPr>
                <w:rFonts w:hint="eastAsia" w:ascii="宋体" w:hAnsi="宋体" w:cs="宋体"/>
                <w:color w:val="auto"/>
                <w:kern w:val="0"/>
                <w:sz w:val="22"/>
                <w:szCs w:val="22"/>
              </w:rPr>
              <w:t>26</w:t>
            </w:r>
          </w:p>
        </w:tc>
        <w:tc>
          <w:tcPr>
            <w:tcW w:w="641" w:type="dxa"/>
            <w:tcBorders>
              <w:top w:val="nil"/>
              <w:left w:val="nil"/>
              <w:bottom w:val="single" w:color="auto" w:sz="4" w:space="0"/>
              <w:right w:val="single" w:color="auto" w:sz="4" w:space="0"/>
            </w:tcBorders>
            <w:noWrap/>
            <w:vAlign w:val="center"/>
          </w:tcPr>
          <w:p w14:paraId="0082DD59">
            <w:pPr>
              <w:jc w:val="center"/>
              <w:textAlignment w:val="center"/>
              <w:rPr>
                <w:rFonts w:ascii="宋体" w:hAnsi="宋体" w:cs="宋体"/>
                <w:color w:val="auto"/>
                <w:sz w:val="24"/>
              </w:rPr>
            </w:pPr>
            <w:r>
              <w:rPr>
                <w:rFonts w:hint="eastAsia" w:ascii="宋体" w:hAnsi="宋体" w:cs="宋体"/>
                <w:color w:val="auto"/>
                <w:kern w:val="0"/>
                <w:sz w:val="22"/>
                <w:szCs w:val="22"/>
              </w:rPr>
              <w:t>19</w:t>
            </w:r>
          </w:p>
        </w:tc>
        <w:tc>
          <w:tcPr>
            <w:tcW w:w="1089" w:type="dxa"/>
            <w:tcBorders>
              <w:top w:val="nil"/>
              <w:left w:val="nil"/>
              <w:bottom w:val="single" w:color="auto" w:sz="4" w:space="0"/>
              <w:right w:val="single" w:color="auto" w:sz="4" w:space="0"/>
            </w:tcBorders>
            <w:noWrap/>
            <w:vAlign w:val="center"/>
          </w:tcPr>
          <w:p w14:paraId="52720B43">
            <w:pPr>
              <w:jc w:val="center"/>
              <w:textAlignment w:val="center"/>
              <w:rPr>
                <w:rFonts w:ascii="宋体" w:hAnsi="宋体" w:cs="宋体"/>
                <w:color w:val="auto"/>
                <w:sz w:val="24"/>
              </w:rPr>
            </w:pPr>
            <w:r>
              <w:rPr>
                <w:rFonts w:hint="eastAsia" w:ascii="宋体" w:hAnsi="宋体" w:cs="宋体"/>
                <w:color w:val="auto"/>
                <w:kern w:val="0"/>
                <w:sz w:val="22"/>
                <w:szCs w:val="22"/>
              </w:rPr>
              <w:t>7</w:t>
            </w:r>
          </w:p>
        </w:tc>
        <w:tc>
          <w:tcPr>
            <w:tcW w:w="764" w:type="dxa"/>
            <w:tcBorders>
              <w:top w:val="nil"/>
              <w:left w:val="nil"/>
              <w:bottom w:val="single" w:color="auto" w:sz="4" w:space="0"/>
              <w:right w:val="single" w:color="auto" w:sz="4" w:space="0"/>
            </w:tcBorders>
            <w:noWrap/>
            <w:vAlign w:val="center"/>
          </w:tcPr>
          <w:p w14:paraId="3AB7D79F">
            <w:pPr>
              <w:jc w:val="center"/>
              <w:textAlignment w:val="center"/>
              <w:rPr>
                <w:rFonts w:ascii="宋体" w:hAnsi="宋体" w:cs="宋体"/>
                <w:color w:val="auto"/>
                <w:sz w:val="24"/>
              </w:rPr>
            </w:pPr>
            <w:r>
              <w:rPr>
                <w:rFonts w:hint="eastAsia" w:ascii="宋体" w:hAnsi="宋体" w:cs="宋体"/>
                <w:color w:val="auto"/>
                <w:kern w:val="0"/>
                <w:sz w:val="22"/>
                <w:szCs w:val="22"/>
              </w:rPr>
              <w:t>30807</w:t>
            </w:r>
          </w:p>
        </w:tc>
        <w:tc>
          <w:tcPr>
            <w:tcW w:w="706" w:type="dxa"/>
            <w:tcBorders>
              <w:top w:val="nil"/>
              <w:left w:val="nil"/>
              <w:bottom w:val="single" w:color="auto" w:sz="4" w:space="0"/>
              <w:right w:val="single" w:color="auto" w:sz="4" w:space="0"/>
            </w:tcBorders>
            <w:noWrap/>
            <w:vAlign w:val="center"/>
          </w:tcPr>
          <w:p w14:paraId="05131200">
            <w:pPr>
              <w:jc w:val="center"/>
              <w:textAlignment w:val="center"/>
              <w:rPr>
                <w:rFonts w:ascii="宋体" w:hAnsi="宋体" w:cs="宋体"/>
                <w:color w:val="auto"/>
                <w:sz w:val="24"/>
              </w:rPr>
            </w:pPr>
            <w:r>
              <w:rPr>
                <w:rFonts w:hint="eastAsia" w:ascii="宋体" w:hAnsi="宋体" w:cs="宋体"/>
                <w:color w:val="auto"/>
                <w:kern w:val="0"/>
                <w:sz w:val="22"/>
                <w:szCs w:val="22"/>
              </w:rPr>
              <w:t>23741</w:t>
            </w:r>
          </w:p>
        </w:tc>
        <w:tc>
          <w:tcPr>
            <w:tcW w:w="1029" w:type="dxa"/>
            <w:tcBorders>
              <w:top w:val="nil"/>
              <w:left w:val="nil"/>
              <w:bottom w:val="single" w:color="auto" w:sz="4" w:space="0"/>
              <w:right w:val="single" w:color="auto" w:sz="4" w:space="0"/>
            </w:tcBorders>
            <w:noWrap/>
            <w:vAlign w:val="center"/>
          </w:tcPr>
          <w:p w14:paraId="2F037D0C">
            <w:pPr>
              <w:jc w:val="center"/>
              <w:textAlignment w:val="center"/>
              <w:rPr>
                <w:rFonts w:ascii="宋体" w:hAnsi="宋体" w:cs="宋体"/>
                <w:color w:val="auto"/>
                <w:sz w:val="24"/>
              </w:rPr>
            </w:pPr>
            <w:r>
              <w:rPr>
                <w:rFonts w:hint="eastAsia" w:ascii="宋体" w:hAnsi="宋体" w:cs="宋体"/>
                <w:color w:val="auto"/>
                <w:kern w:val="0"/>
                <w:sz w:val="22"/>
                <w:szCs w:val="22"/>
              </w:rPr>
              <w:t>7066</w:t>
            </w:r>
          </w:p>
        </w:tc>
        <w:tc>
          <w:tcPr>
            <w:tcW w:w="878" w:type="dxa"/>
            <w:tcBorders>
              <w:top w:val="nil"/>
              <w:left w:val="nil"/>
              <w:bottom w:val="single" w:color="auto" w:sz="4" w:space="0"/>
              <w:right w:val="single" w:color="auto" w:sz="4" w:space="0"/>
            </w:tcBorders>
            <w:noWrap/>
            <w:vAlign w:val="center"/>
          </w:tcPr>
          <w:p w14:paraId="671F5466">
            <w:pPr>
              <w:jc w:val="center"/>
              <w:textAlignment w:val="center"/>
              <w:rPr>
                <w:rFonts w:ascii="宋体" w:hAnsi="宋体" w:cs="宋体"/>
                <w:color w:val="auto"/>
                <w:sz w:val="24"/>
              </w:rPr>
            </w:pPr>
            <w:r>
              <w:rPr>
                <w:rFonts w:hint="eastAsia" w:ascii="宋体" w:hAnsi="宋体" w:cs="宋体"/>
                <w:color w:val="auto"/>
                <w:kern w:val="0"/>
                <w:sz w:val="22"/>
                <w:szCs w:val="22"/>
              </w:rPr>
              <w:t>172517</w:t>
            </w:r>
          </w:p>
        </w:tc>
        <w:tc>
          <w:tcPr>
            <w:tcW w:w="878" w:type="dxa"/>
            <w:tcBorders>
              <w:top w:val="nil"/>
              <w:left w:val="nil"/>
              <w:bottom w:val="single" w:color="auto" w:sz="4" w:space="0"/>
              <w:right w:val="single" w:color="auto" w:sz="4" w:space="0"/>
            </w:tcBorders>
            <w:noWrap/>
            <w:vAlign w:val="center"/>
          </w:tcPr>
          <w:p w14:paraId="41B2BD0A">
            <w:pPr>
              <w:jc w:val="center"/>
              <w:textAlignment w:val="center"/>
              <w:rPr>
                <w:rFonts w:ascii="宋体" w:hAnsi="宋体" w:cs="宋体"/>
                <w:color w:val="auto"/>
                <w:sz w:val="22"/>
                <w:szCs w:val="22"/>
              </w:rPr>
            </w:pPr>
            <w:r>
              <w:rPr>
                <w:rFonts w:hint="eastAsia" w:ascii="宋体" w:hAnsi="宋体" w:cs="宋体"/>
                <w:color w:val="auto"/>
                <w:kern w:val="0"/>
                <w:sz w:val="22"/>
                <w:szCs w:val="22"/>
              </w:rPr>
              <w:t>132954</w:t>
            </w:r>
          </w:p>
        </w:tc>
        <w:tc>
          <w:tcPr>
            <w:tcW w:w="982" w:type="dxa"/>
            <w:tcBorders>
              <w:top w:val="nil"/>
              <w:left w:val="nil"/>
              <w:bottom w:val="single" w:color="auto" w:sz="4" w:space="0"/>
              <w:right w:val="single" w:color="auto" w:sz="4" w:space="0"/>
            </w:tcBorders>
            <w:noWrap/>
            <w:vAlign w:val="center"/>
          </w:tcPr>
          <w:p w14:paraId="2E167C33">
            <w:pPr>
              <w:jc w:val="center"/>
              <w:textAlignment w:val="center"/>
              <w:rPr>
                <w:rFonts w:ascii="宋体" w:hAnsi="宋体" w:cs="宋体"/>
                <w:color w:val="auto"/>
                <w:sz w:val="22"/>
                <w:szCs w:val="22"/>
              </w:rPr>
            </w:pPr>
            <w:r>
              <w:rPr>
                <w:rFonts w:hint="eastAsia" w:ascii="宋体" w:hAnsi="宋体" w:cs="宋体"/>
                <w:color w:val="auto"/>
                <w:kern w:val="0"/>
                <w:sz w:val="22"/>
                <w:szCs w:val="22"/>
              </w:rPr>
              <w:t>39563</w:t>
            </w:r>
          </w:p>
        </w:tc>
        <w:tc>
          <w:tcPr>
            <w:tcW w:w="1115" w:type="dxa"/>
            <w:tcBorders>
              <w:top w:val="nil"/>
              <w:left w:val="nil"/>
              <w:bottom w:val="single" w:color="auto" w:sz="4" w:space="0"/>
              <w:right w:val="single" w:color="auto" w:sz="4" w:space="0"/>
            </w:tcBorders>
            <w:noWrap/>
            <w:vAlign w:val="center"/>
          </w:tcPr>
          <w:p w14:paraId="23DEB7D7">
            <w:pPr>
              <w:jc w:val="center"/>
              <w:textAlignment w:val="center"/>
              <w:rPr>
                <w:rFonts w:ascii="宋体" w:hAnsi="宋体" w:cs="宋体"/>
                <w:color w:val="auto"/>
                <w:sz w:val="24"/>
              </w:rPr>
            </w:pPr>
            <w:r>
              <w:rPr>
                <w:rFonts w:hint="eastAsia" w:ascii="宋体" w:hAnsi="宋体" w:cs="宋体"/>
                <w:color w:val="auto"/>
                <w:kern w:val="0"/>
                <w:sz w:val="22"/>
                <w:szCs w:val="22"/>
              </w:rPr>
              <w:t>365.8</w:t>
            </w:r>
          </w:p>
        </w:tc>
        <w:tc>
          <w:tcPr>
            <w:tcW w:w="803" w:type="dxa"/>
            <w:tcBorders>
              <w:top w:val="nil"/>
              <w:left w:val="nil"/>
              <w:bottom w:val="single" w:color="auto" w:sz="4" w:space="0"/>
              <w:right w:val="single" w:color="auto" w:sz="4" w:space="0"/>
            </w:tcBorders>
            <w:noWrap/>
            <w:vAlign w:val="center"/>
          </w:tcPr>
          <w:p w14:paraId="5D1E8770">
            <w:pPr>
              <w:jc w:val="center"/>
              <w:textAlignment w:val="center"/>
              <w:rPr>
                <w:rFonts w:ascii="宋体" w:hAnsi="宋体" w:cs="宋体"/>
                <w:color w:val="auto"/>
                <w:sz w:val="22"/>
                <w:szCs w:val="22"/>
              </w:rPr>
            </w:pPr>
            <w:r>
              <w:rPr>
                <w:rFonts w:hint="eastAsia" w:ascii="宋体" w:hAnsi="宋体" w:cs="宋体"/>
                <w:color w:val="auto"/>
                <w:kern w:val="0"/>
                <w:sz w:val="22"/>
                <w:szCs w:val="22"/>
              </w:rPr>
              <w:t>118.5</w:t>
            </w:r>
          </w:p>
        </w:tc>
        <w:tc>
          <w:tcPr>
            <w:tcW w:w="1124" w:type="dxa"/>
            <w:tcBorders>
              <w:top w:val="nil"/>
              <w:left w:val="nil"/>
              <w:bottom w:val="single" w:color="auto" w:sz="4" w:space="0"/>
              <w:right w:val="single" w:color="auto" w:sz="4" w:space="0"/>
            </w:tcBorders>
            <w:noWrap/>
            <w:vAlign w:val="center"/>
          </w:tcPr>
          <w:p w14:paraId="1C84AF12">
            <w:pPr>
              <w:jc w:val="center"/>
              <w:textAlignment w:val="center"/>
              <w:rPr>
                <w:rFonts w:ascii="宋体" w:hAnsi="宋体" w:cs="宋体"/>
                <w:color w:val="auto"/>
                <w:sz w:val="22"/>
                <w:szCs w:val="22"/>
              </w:rPr>
            </w:pPr>
            <w:r>
              <w:rPr>
                <w:rFonts w:hint="eastAsia" w:ascii="宋体" w:hAnsi="宋体" w:cs="宋体"/>
                <w:color w:val="auto"/>
                <w:kern w:val="0"/>
                <w:sz w:val="22"/>
                <w:szCs w:val="22"/>
              </w:rPr>
              <w:t>247.3</w:t>
            </w:r>
          </w:p>
        </w:tc>
        <w:tc>
          <w:tcPr>
            <w:tcW w:w="1384" w:type="dxa"/>
            <w:tcBorders>
              <w:top w:val="nil"/>
              <w:left w:val="nil"/>
              <w:bottom w:val="single" w:color="auto" w:sz="4" w:space="0"/>
              <w:right w:val="single" w:color="auto" w:sz="4" w:space="0"/>
            </w:tcBorders>
            <w:noWrap/>
            <w:vAlign w:val="center"/>
          </w:tcPr>
          <w:p w14:paraId="01AA1D24">
            <w:pPr>
              <w:jc w:val="center"/>
              <w:textAlignment w:val="center"/>
              <w:rPr>
                <w:rFonts w:ascii="宋体" w:hAnsi="宋体" w:cs="宋体"/>
                <w:color w:val="auto"/>
                <w:sz w:val="24"/>
              </w:rPr>
            </w:pPr>
            <w:r>
              <w:rPr>
                <w:rFonts w:hint="eastAsia" w:ascii="宋体" w:hAnsi="宋体" w:cs="宋体"/>
                <w:color w:val="auto"/>
                <w:kern w:val="0"/>
                <w:sz w:val="22"/>
                <w:szCs w:val="22"/>
              </w:rPr>
              <w:t>6830</w:t>
            </w:r>
          </w:p>
        </w:tc>
      </w:tr>
      <w:tr w14:paraId="25941C0C">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3AEF229E">
            <w:pPr>
              <w:jc w:val="center"/>
              <w:textAlignment w:val="center"/>
              <w:rPr>
                <w:rFonts w:ascii="宋体" w:hAnsi="宋体" w:cs="宋体"/>
                <w:color w:val="auto"/>
                <w:sz w:val="24"/>
              </w:rPr>
            </w:pPr>
            <w:r>
              <w:rPr>
                <w:rFonts w:hint="eastAsia" w:ascii="宋体" w:hAnsi="宋体" w:cs="宋体"/>
                <w:color w:val="auto"/>
                <w:kern w:val="0"/>
                <w:sz w:val="24"/>
              </w:rPr>
              <w:t>15</w:t>
            </w:r>
          </w:p>
        </w:tc>
        <w:tc>
          <w:tcPr>
            <w:tcW w:w="1064" w:type="dxa"/>
            <w:tcBorders>
              <w:top w:val="nil"/>
              <w:left w:val="nil"/>
              <w:bottom w:val="single" w:color="auto" w:sz="4" w:space="0"/>
              <w:right w:val="single" w:color="auto" w:sz="4" w:space="0"/>
            </w:tcBorders>
            <w:noWrap/>
            <w:vAlign w:val="center"/>
          </w:tcPr>
          <w:p w14:paraId="77C9F75D">
            <w:pPr>
              <w:jc w:val="center"/>
              <w:textAlignment w:val="center"/>
              <w:rPr>
                <w:rFonts w:ascii="宋体" w:hAnsi="宋体" w:cs="宋体"/>
                <w:color w:val="auto"/>
                <w:sz w:val="24"/>
              </w:rPr>
            </w:pPr>
            <w:r>
              <w:rPr>
                <w:rFonts w:hint="eastAsia" w:ascii="宋体" w:hAnsi="宋体" w:cs="宋体"/>
                <w:color w:val="auto"/>
                <w:kern w:val="0"/>
                <w:sz w:val="24"/>
              </w:rPr>
              <w:t>兰巨乡</w:t>
            </w:r>
          </w:p>
        </w:tc>
        <w:tc>
          <w:tcPr>
            <w:tcW w:w="642" w:type="dxa"/>
            <w:tcBorders>
              <w:top w:val="nil"/>
              <w:left w:val="nil"/>
              <w:bottom w:val="single" w:color="auto" w:sz="4" w:space="0"/>
              <w:right w:val="single" w:color="auto" w:sz="4" w:space="0"/>
            </w:tcBorders>
            <w:noWrap/>
            <w:vAlign w:val="center"/>
          </w:tcPr>
          <w:p w14:paraId="278CA07E">
            <w:pPr>
              <w:jc w:val="center"/>
              <w:textAlignment w:val="center"/>
              <w:rPr>
                <w:rFonts w:ascii="宋体" w:hAnsi="宋体" w:cs="宋体"/>
                <w:color w:val="auto"/>
                <w:sz w:val="24"/>
              </w:rPr>
            </w:pPr>
            <w:r>
              <w:rPr>
                <w:rFonts w:hint="eastAsia" w:ascii="宋体" w:hAnsi="宋体" w:cs="宋体"/>
                <w:color w:val="auto"/>
                <w:kern w:val="0"/>
                <w:sz w:val="22"/>
                <w:szCs w:val="22"/>
              </w:rPr>
              <w:t>15</w:t>
            </w:r>
          </w:p>
        </w:tc>
        <w:tc>
          <w:tcPr>
            <w:tcW w:w="641" w:type="dxa"/>
            <w:tcBorders>
              <w:top w:val="nil"/>
              <w:left w:val="nil"/>
              <w:bottom w:val="single" w:color="auto" w:sz="4" w:space="0"/>
              <w:right w:val="single" w:color="auto" w:sz="4" w:space="0"/>
            </w:tcBorders>
            <w:noWrap/>
            <w:vAlign w:val="center"/>
          </w:tcPr>
          <w:p w14:paraId="1C1E7A7E">
            <w:pPr>
              <w:jc w:val="center"/>
              <w:textAlignment w:val="center"/>
              <w:rPr>
                <w:rFonts w:ascii="宋体" w:hAnsi="宋体" w:cs="宋体"/>
                <w:color w:val="auto"/>
                <w:sz w:val="24"/>
              </w:rPr>
            </w:pPr>
            <w:r>
              <w:rPr>
                <w:rFonts w:hint="eastAsia" w:ascii="宋体" w:hAnsi="宋体" w:cs="宋体"/>
                <w:color w:val="auto"/>
                <w:kern w:val="0"/>
                <w:sz w:val="22"/>
                <w:szCs w:val="22"/>
              </w:rPr>
              <w:t>12</w:t>
            </w:r>
          </w:p>
        </w:tc>
        <w:tc>
          <w:tcPr>
            <w:tcW w:w="1089" w:type="dxa"/>
            <w:tcBorders>
              <w:top w:val="nil"/>
              <w:left w:val="nil"/>
              <w:bottom w:val="single" w:color="auto" w:sz="4" w:space="0"/>
              <w:right w:val="single" w:color="auto" w:sz="4" w:space="0"/>
            </w:tcBorders>
            <w:noWrap/>
            <w:vAlign w:val="center"/>
          </w:tcPr>
          <w:p w14:paraId="0E4B58B9">
            <w:pPr>
              <w:jc w:val="center"/>
              <w:textAlignment w:val="center"/>
              <w:rPr>
                <w:rFonts w:ascii="宋体" w:hAnsi="宋体" w:cs="宋体"/>
                <w:color w:val="auto"/>
                <w:sz w:val="24"/>
              </w:rPr>
            </w:pPr>
            <w:r>
              <w:rPr>
                <w:rFonts w:hint="eastAsia" w:ascii="宋体" w:hAnsi="宋体" w:cs="宋体"/>
                <w:color w:val="auto"/>
                <w:kern w:val="0"/>
                <w:sz w:val="22"/>
                <w:szCs w:val="22"/>
              </w:rPr>
              <w:t>3</w:t>
            </w:r>
          </w:p>
        </w:tc>
        <w:tc>
          <w:tcPr>
            <w:tcW w:w="764" w:type="dxa"/>
            <w:tcBorders>
              <w:top w:val="nil"/>
              <w:left w:val="nil"/>
              <w:bottom w:val="single" w:color="auto" w:sz="4" w:space="0"/>
              <w:right w:val="single" w:color="auto" w:sz="4" w:space="0"/>
            </w:tcBorders>
            <w:noWrap/>
            <w:vAlign w:val="center"/>
          </w:tcPr>
          <w:p w14:paraId="5646CB54">
            <w:pPr>
              <w:jc w:val="center"/>
              <w:textAlignment w:val="center"/>
              <w:rPr>
                <w:rFonts w:ascii="宋体" w:hAnsi="宋体" w:cs="宋体"/>
                <w:color w:val="auto"/>
                <w:sz w:val="24"/>
              </w:rPr>
            </w:pPr>
            <w:r>
              <w:rPr>
                <w:rFonts w:hint="eastAsia" w:ascii="宋体" w:hAnsi="宋体" w:cs="宋体"/>
                <w:color w:val="auto"/>
                <w:kern w:val="0"/>
                <w:sz w:val="22"/>
                <w:szCs w:val="22"/>
              </w:rPr>
              <w:t>15255</w:t>
            </w:r>
          </w:p>
        </w:tc>
        <w:tc>
          <w:tcPr>
            <w:tcW w:w="706" w:type="dxa"/>
            <w:tcBorders>
              <w:top w:val="nil"/>
              <w:left w:val="nil"/>
              <w:bottom w:val="single" w:color="auto" w:sz="4" w:space="0"/>
              <w:right w:val="single" w:color="auto" w:sz="4" w:space="0"/>
            </w:tcBorders>
            <w:noWrap/>
            <w:vAlign w:val="center"/>
          </w:tcPr>
          <w:p w14:paraId="36622AAD">
            <w:pPr>
              <w:jc w:val="center"/>
              <w:textAlignment w:val="center"/>
              <w:rPr>
                <w:rFonts w:ascii="宋体" w:hAnsi="宋体" w:cs="宋体"/>
                <w:color w:val="auto"/>
                <w:sz w:val="22"/>
                <w:szCs w:val="22"/>
              </w:rPr>
            </w:pPr>
            <w:r>
              <w:rPr>
                <w:rFonts w:hint="eastAsia" w:ascii="宋体" w:hAnsi="宋体" w:cs="宋体"/>
                <w:color w:val="auto"/>
                <w:kern w:val="0"/>
                <w:sz w:val="22"/>
                <w:szCs w:val="22"/>
              </w:rPr>
              <w:t>11600</w:t>
            </w:r>
          </w:p>
        </w:tc>
        <w:tc>
          <w:tcPr>
            <w:tcW w:w="1029" w:type="dxa"/>
            <w:tcBorders>
              <w:top w:val="nil"/>
              <w:left w:val="nil"/>
              <w:bottom w:val="single" w:color="auto" w:sz="4" w:space="0"/>
              <w:right w:val="single" w:color="auto" w:sz="4" w:space="0"/>
            </w:tcBorders>
            <w:noWrap/>
            <w:vAlign w:val="center"/>
          </w:tcPr>
          <w:p w14:paraId="66DD1BBA">
            <w:pPr>
              <w:jc w:val="center"/>
              <w:textAlignment w:val="center"/>
              <w:rPr>
                <w:rFonts w:ascii="宋体" w:hAnsi="宋体" w:cs="宋体"/>
                <w:color w:val="auto"/>
                <w:sz w:val="22"/>
                <w:szCs w:val="22"/>
              </w:rPr>
            </w:pPr>
            <w:r>
              <w:rPr>
                <w:rFonts w:hint="eastAsia" w:ascii="宋体" w:hAnsi="宋体" w:cs="宋体"/>
                <w:color w:val="auto"/>
                <w:kern w:val="0"/>
                <w:sz w:val="22"/>
                <w:szCs w:val="22"/>
              </w:rPr>
              <w:t>3655</w:t>
            </w:r>
          </w:p>
        </w:tc>
        <w:tc>
          <w:tcPr>
            <w:tcW w:w="878" w:type="dxa"/>
            <w:tcBorders>
              <w:top w:val="nil"/>
              <w:left w:val="nil"/>
              <w:bottom w:val="single" w:color="auto" w:sz="4" w:space="0"/>
              <w:right w:val="single" w:color="auto" w:sz="4" w:space="0"/>
            </w:tcBorders>
            <w:noWrap/>
            <w:vAlign w:val="center"/>
          </w:tcPr>
          <w:p w14:paraId="51CF81C7">
            <w:pPr>
              <w:jc w:val="center"/>
              <w:textAlignment w:val="center"/>
              <w:rPr>
                <w:rFonts w:ascii="宋体" w:hAnsi="宋体" w:cs="宋体"/>
                <w:color w:val="auto"/>
                <w:sz w:val="24"/>
              </w:rPr>
            </w:pPr>
            <w:r>
              <w:rPr>
                <w:rFonts w:hint="eastAsia" w:ascii="宋体" w:hAnsi="宋体" w:cs="宋体"/>
                <w:color w:val="auto"/>
                <w:kern w:val="0"/>
                <w:sz w:val="22"/>
                <w:szCs w:val="22"/>
              </w:rPr>
              <w:t>85427</w:t>
            </w:r>
          </w:p>
        </w:tc>
        <w:tc>
          <w:tcPr>
            <w:tcW w:w="878" w:type="dxa"/>
            <w:tcBorders>
              <w:top w:val="nil"/>
              <w:left w:val="nil"/>
              <w:bottom w:val="single" w:color="auto" w:sz="4" w:space="0"/>
              <w:right w:val="single" w:color="auto" w:sz="4" w:space="0"/>
            </w:tcBorders>
            <w:noWrap/>
            <w:vAlign w:val="center"/>
          </w:tcPr>
          <w:p w14:paraId="5704AF25">
            <w:pPr>
              <w:jc w:val="center"/>
              <w:textAlignment w:val="center"/>
              <w:rPr>
                <w:rFonts w:ascii="宋体" w:hAnsi="宋体" w:cs="宋体"/>
                <w:color w:val="auto"/>
                <w:sz w:val="24"/>
              </w:rPr>
            </w:pPr>
            <w:r>
              <w:rPr>
                <w:rFonts w:hint="eastAsia" w:ascii="宋体" w:hAnsi="宋体" w:cs="宋体"/>
                <w:color w:val="auto"/>
                <w:kern w:val="0"/>
                <w:sz w:val="22"/>
                <w:szCs w:val="22"/>
              </w:rPr>
              <w:t>64962</w:t>
            </w:r>
          </w:p>
        </w:tc>
        <w:tc>
          <w:tcPr>
            <w:tcW w:w="982" w:type="dxa"/>
            <w:tcBorders>
              <w:top w:val="nil"/>
              <w:left w:val="nil"/>
              <w:bottom w:val="single" w:color="auto" w:sz="4" w:space="0"/>
              <w:right w:val="single" w:color="auto" w:sz="4" w:space="0"/>
            </w:tcBorders>
            <w:noWrap/>
            <w:vAlign w:val="center"/>
          </w:tcPr>
          <w:p w14:paraId="74011392">
            <w:pPr>
              <w:jc w:val="center"/>
              <w:textAlignment w:val="center"/>
              <w:rPr>
                <w:rFonts w:ascii="宋体" w:hAnsi="宋体" w:cs="宋体"/>
                <w:color w:val="auto"/>
                <w:sz w:val="24"/>
              </w:rPr>
            </w:pPr>
            <w:r>
              <w:rPr>
                <w:rFonts w:hint="eastAsia" w:ascii="宋体" w:hAnsi="宋体" w:cs="宋体"/>
                <w:color w:val="auto"/>
                <w:kern w:val="0"/>
                <w:sz w:val="22"/>
                <w:szCs w:val="22"/>
              </w:rPr>
              <w:t>20465</w:t>
            </w:r>
          </w:p>
        </w:tc>
        <w:tc>
          <w:tcPr>
            <w:tcW w:w="1115" w:type="dxa"/>
            <w:tcBorders>
              <w:top w:val="nil"/>
              <w:left w:val="nil"/>
              <w:bottom w:val="single" w:color="auto" w:sz="4" w:space="0"/>
              <w:right w:val="single" w:color="auto" w:sz="4" w:space="0"/>
            </w:tcBorders>
            <w:noWrap/>
            <w:vAlign w:val="center"/>
          </w:tcPr>
          <w:p w14:paraId="7EFCBEFA">
            <w:pPr>
              <w:jc w:val="center"/>
              <w:textAlignment w:val="center"/>
              <w:rPr>
                <w:rFonts w:ascii="宋体" w:hAnsi="宋体" w:cs="宋体"/>
                <w:color w:val="auto"/>
                <w:sz w:val="24"/>
              </w:rPr>
            </w:pPr>
            <w:r>
              <w:rPr>
                <w:rFonts w:hint="eastAsia" w:ascii="宋体" w:hAnsi="宋体" w:cs="宋体"/>
                <w:color w:val="auto"/>
                <w:kern w:val="0"/>
                <w:sz w:val="22"/>
                <w:szCs w:val="22"/>
              </w:rPr>
              <w:t>145.6</w:t>
            </w:r>
          </w:p>
        </w:tc>
        <w:tc>
          <w:tcPr>
            <w:tcW w:w="803" w:type="dxa"/>
            <w:tcBorders>
              <w:top w:val="nil"/>
              <w:left w:val="nil"/>
              <w:bottom w:val="single" w:color="auto" w:sz="4" w:space="0"/>
              <w:right w:val="single" w:color="auto" w:sz="4" w:space="0"/>
            </w:tcBorders>
            <w:noWrap/>
            <w:vAlign w:val="center"/>
          </w:tcPr>
          <w:p w14:paraId="469C6B39">
            <w:pPr>
              <w:jc w:val="center"/>
              <w:textAlignment w:val="center"/>
              <w:rPr>
                <w:rFonts w:ascii="宋体" w:hAnsi="宋体" w:cs="宋体"/>
                <w:color w:val="auto"/>
                <w:sz w:val="24"/>
              </w:rPr>
            </w:pPr>
            <w:r>
              <w:rPr>
                <w:rFonts w:hint="eastAsia" w:ascii="宋体" w:hAnsi="宋体" w:cs="宋体"/>
                <w:color w:val="auto"/>
                <w:kern w:val="0"/>
                <w:sz w:val="22"/>
                <w:szCs w:val="22"/>
              </w:rPr>
              <w:t>87.9</w:t>
            </w:r>
          </w:p>
        </w:tc>
        <w:tc>
          <w:tcPr>
            <w:tcW w:w="1124" w:type="dxa"/>
            <w:tcBorders>
              <w:top w:val="nil"/>
              <w:left w:val="nil"/>
              <w:bottom w:val="single" w:color="auto" w:sz="4" w:space="0"/>
              <w:right w:val="single" w:color="auto" w:sz="4" w:space="0"/>
            </w:tcBorders>
            <w:noWrap/>
            <w:vAlign w:val="center"/>
          </w:tcPr>
          <w:p w14:paraId="3BE6E50F">
            <w:pPr>
              <w:jc w:val="center"/>
              <w:textAlignment w:val="center"/>
              <w:rPr>
                <w:rFonts w:ascii="宋体" w:hAnsi="宋体" w:cs="宋体"/>
                <w:color w:val="auto"/>
                <w:sz w:val="24"/>
              </w:rPr>
            </w:pPr>
            <w:r>
              <w:rPr>
                <w:rFonts w:hint="eastAsia" w:ascii="宋体" w:hAnsi="宋体" w:cs="宋体"/>
                <w:color w:val="auto"/>
                <w:kern w:val="0"/>
                <w:sz w:val="22"/>
                <w:szCs w:val="22"/>
              </w:rPr>
              <w:t>57.7</w:t>
            </w:r>
          </w:p>
        </w:tc>
        <w:tc>
          <w:tcPr>
            <w:tcW w:w="1384" w:type="dxa"/>
            <w:tcBorders>
              <w:top w:val="nil"/>
              <w:left w:val="nil"/>
              <w:bottom w:val="single" w:color="auto" w:sz="4" w:space="0"/>
              <w:right w:val="single" w:color="auto" w:sz="4" w:space="0"/>
            </w:tcBorders>
            <w:noWrap/>
            <w:vAlign w:val="center"/>
          </w:tcPr>
          <w:p w14:paraId="3DC77F76">
            <w:pPr>
              <w:jc w:val="center"/>
              <w:textAlignment w:val="center"/>
              <w:rPr>
                <w:rFonts w:ascii="宋体" w:hAnsi="宋体" w:cs="宋体"/>
                <w:color w:val="auto"/>
                <w:sz w:val="24"/>
              </w:rPr>
            </w:pPr>
            <w:r>
              <w:rPr>
                <w:rFonts w:hint="eastAsia" w:ascii="宋体" w:hAnsi="宋体" w:cs="宋体"/>
                <w:color w:val="auto"/>
                <w:kern w:val="0"/>
                <w:sz w:val="22"/>
                <w:szCs w:val="22"/>
              </w:rPr>
              <w:t>3480</w:t>
            </w:r>
          </w:p>
        </w:tc>
      </w:tr>
      <w:tr w14:paraId="5BE37199">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3909E28D">
            <w:pPr>
              <w:jc w:val="center"/>
              <w:textAlignment w:val="center"/>
              <w:rPr>
                <w:rFonts w:ascii="宋体" w:hAnsi="宋体" w:cs="宋体"/>
                <w:color w:val="auto"/>
                <w:sz w:val="24"/>
              </w:rPr>
            </w:pPr>
            <w:r>
              <w:rPr>
                <w:rFonts w:hint="eastAsia" w:ascii="宋体" w:hAnsi="宋体" w:cs="宋体"/>
                <w:color w:val="auto"/>
                <w:kern w:val="0"/>
                <w:sz w:val="24"/>
              </w:rPr>
              <w:t>16</w:t>
            </w:r>
          </w:p>
        </w:tc>
        <w:tc>
          <w:tcPr>
            <w:tcW w:w="1064" w:type="dxa"/>
            <w:tcBorders>
              <w:top w:val="nil"/>
              <w:left w:val="nil"/>
              <w:bottom w:val="single" w:color="auto" w:sz="4" w:space="0"/>
              <w:right w:val="single" w:color="auto" w:sz="4" w:space="0"/>
            </w:tcBorders>
            <w:noWrap/>
            <w:vAlign w:val="center"/>
          </w:tcPr>
          <w:p w14:paraId="79FCBEC2">
            <w:pPr>
              <w:jc w:val="center"/>
              <w:textAlignment w:val="center"/>
              <w:rPr>
                <w:rFonts w:ascii="宋体" w:hAnsi="宋体" w:cs="宋体"/>
                <w:color w:val="auto"/>
                <w:sz w:val="24"/>
              </w:rPr>
            </w:pPr>
            <w:r>
              <w:rPr>
                <w:rFonts w:hint="eastAsia" w:ascii="宋体" w:hAnsi="宋体" w:cs="宋体"/>
                <w:color w:val="auto"/>
                <w:kern w:val="0"/>
                <w:sz w:val="24"/>
              </w:rPr>
              <w:t>宝溪乡</w:t>
            </w:r>
          </w:p>
        </w:tc>
        <w:tc>
          <w:tcPr>
            <w:tcW w:w="642" w:type="dxa"/>
            <w:tcBorders>
              <w:top w:val="nil"/>
              <w:left w:val="nil"/>
              <w:bottom w:val="single" w:color="auto" w:sz="4" w:space="0"/>
              <w:right w:val="single" w:color="auto" w:sz="4" w:space="0"/>
            </w:tcBorders>
            <w:noWrap/>
            <w:vAlign w:val="center"/>
          </w:tcPr>
          <w:p w14:paraId="03E47AD9">
            <w:pPr>
              <w:jc w:val="center"/>
              <w:textAlignment w:val="center"/>
              <w:rPr>
                <w:rFonts w:ascii="宋体" w:hAnsi="宋体" w:cs="宋体"/>
                <w:color w:val="auto"/>
                <w:sz w:val="24"/>
              </w:rPr>
            </w:pPr>
            <w:r>
              <w:rPr>
                <w:rFonts w:hint="eastAsia" w:ascii="宋体" w:hAnsi="宋体" w:cs="宋体"/>
                <w:color w:val="auto"/>
                <w:kern w:val="0"/>
                <w:sz w:val="22"/>
                <w:szCs w:val="22"/>
              </w:rPr>
              <w:t>42</w:t>
            </w:r>
          </w:p>
        </w:tc>
        <w:tc>
          <w:tcPr>
            <w:tcW w:w="641" w:type="dxa"/>
            <w:tcBorders>
              <w:top w:val="nil"/>
              <w:left w:val="nil"/>
              <w:bottom w:val="single" w:color="auto" w:sz="4" w:space="0"/>
              <w:right w:val="single" w:color="auto" w:sz="4" w:space="0"/>
            </w:tcBorders>
            <w:noWrap/>
            <w:vAlign w:val="center"/>
          </w:tcPr>
          <w:p w14:paraId="47734D98">
            <w:pPr>
              <w:jc w:val="center"/>
              <w:textAlignment w:val="center"/>
              <w:rPr>
                <w:rFonts w:ascii="宋体" w:hAnsi="宋体" w:cs="宋体"/>
                <w:color w:val="auto"/>
                <w:sz w:val="24"/>
              </w:rPr>
            </w:pPr>
            <w:r>
              <w:rPr>
                <w:rFonts w:hint="eastAsia" w:ascii="宋体" w:hAnsi="宋体" w:cs="宋体"/>
                <w:color w:val="auto"/>
                <w:kern w:val="0"/>
                <w:sz w:val="22"/>
                <w:szCs w:val="22"/>
              </w:rPr>
              <w:t>14</w:t>
            </w:r>
          </w:p>
        </w:tc>
        <w:tc>
          <w:tcPr>
            <w:tcW w:w="1089" w:type="dxa"/>
            <w:tcBorders>
              <w:top w:val="nil"/>
              <w:left w:val="nil"/>
              <w:bottom w:val="single" w:color="auto" w:sz="4" w:space="0"/>
              <w:right w:val="single" w:color="auto" w:sz="4" w:space="0"/>
            </w:tcBorders>
            <w:noWrap/>
            <w:vAlign w:val="center"/>
          </w:tcPr>
          <w:p w14:paraId="608D3E65">
            <w:pPr>
              <w:jc w:val="center"/>
              <w:textAlignment w:val="center"/>
              <w:rPr>
                <w:rFonts w:ascii="宋体" w:hAnsi="宋体" w:cs="宋体"/>
                <w:color w:val="auto"/>
                <w:sz w:val="24"/>
              </w:rPr>
            </w:pPr>
            <w:r>
              <w:rPr>
                <w:rFonts w:hint="eastAsia" w:ascii="宋体" w:hAnsi="宋体" w:cs="宋体"/>
                <w:color w:val="auto"/>
                <w:kern w:val="0"/>
                <w:sz w:val="22"/>
                <w:szCs w:val="22"/>
              </w:rPr>
              <w:t>28</w:t>
            </w:r>
          </w:p>
        </w:tc>
        <w:tc>
          <w:tcPr>
            <w:tcW w:w="764" w:type="dxa"/>
            <w:tcBorders>
              <w:top w:val="nil"/>
              <w:left w:val="nil"/>
              <w:bottom w:val="single" w:color="auto" w:sz="4" w:space="0"/>
              <w:right w:val="single" w:color="auto" w:sz="4" w:space="0"/>
            </w:tcBorders>
            <w:noWrap/>
            <w:vAlign w:val="center"/>
          </w:tcPr>
          <w:p w14:paraId="0CB12432">
            <w:pPr>
              <w:jc w:val="center"/>
              <w:textAlignment w:val="center"/>
              <w:rPr>
                <w:rFonts w:ascii="宋体" w:hAnsi="宋体" w:cs="宋体"/>
                <w:color w:val="auto"/>
                <w:sz w:val="24"/>
              </w:rPr>
            </w:pPr>
            <w:r>
              <w:rPr>
                <w:rFonts w:hint="eastAsia" w:ascii="宋体" w:hAnsi="宋体" w:cs="宋体"/>
                <w:color w:val="auto"/>
                <w:kern w:val="0"/>
                <w:sz w:val="22"/>
                <w:szCs w:val="22"/>
              </w:rPr>
              <w:t>65495</w:t>
            </w:r>
          </w:p>
        </w:tc>
        <w:tc>
          <w:tcPr>
            <w:tcW w:w="706" w:type="dxa"/>
            <w:tcBorders>
              <w:top w:val="nil"/>
              <w:left w:val="nil"/>
              <w:bottom w:val="single" w:color="auto" w:sz="4" w:space="0"/>
              <w:right w:val="single" w:color="auto" w:sz="4" w:space="0"/>
            </w:tcBorders>
            <w:noWrap/>
            <w:vAlign w:val="center"/>
          </w:tcPr>
          <w:p w14:paraId="40D68975">
            <w:pPr>
              <w:jc w:val="center"/>
              <w:textAlignment w:val="center"/>
              <w:rPr>
                <w:rFonts w:ascii="宋体" w:hAnsi="宋体" w:cs="宋体"/>
                <w:color w:val="auto"/>
                <w:sz w:val="24"/>
              </w:rPr>
            </w:pPr>
            <w:r>
              <w:rPr>
                <w:rFonts w:hint="eastAsia" w:ascii="宋体" w:hAnsi="宋体" w:cs="宋体"/>
                <w:color w:val="auto"/>
                <w:kern w:val="0"/>
                <w:sz w:val="22"/>
                <w:szCs w:val="22"/>
              </w:rPr>
              <w:t>29023</w:t>
            </w:r>
          </w:p>
        </w:tc>
        <w:tc>
          <w:tcPr>
            <w:tcW w:w="1029" w:type="dxa"/>
            <w:tcBorders>
              <w:top w:val="nil"/>
              <w:left w:val="nil"/>
              <w:bottom w:val="single" w:color="auto" w:sz="4" w:space="0"/>
              <w:right w:val="single" w:color="auto" w:sz="4" w:space="0"/>
            </w:tcBorders>
            <w:noWrap/>
            <w:vAlign w:val="center"/>
          </w:tcPr>
          <w:p w14:paraId="7C3640EC">
            <w:pPr>
              <w:jc w:val="center"/>
              <w:textAlignment w:val="center"/>
              <w:rPr>
                <w:rFonts w:ascii="宋体" w:hAnsi="宋体" w:cs="宋体"/>
                <w:color w:val="auto"/>
                <w:sz w:val="24"/>
              </w:rPr>
            </w:pPr>
            <w:r>
              <w:rPr>
                <w:rFonts w:hint="eastAsia" w:ascii="宋体" w:hAnsi="宋体" w:cs="宋体"/>
                <w:color w:val="auto"/>
                <w:kern w:val="0"/>
                <w:sz w:val="22"/>
                <w:szCs w:val="22"/>
              </w:rPr>
              <w:t>36472</w:t>
            </w:r>
          </w:p>
        </w:tc>
        <w:tc>
          <w:tcPr>
            <w:tcW w:w="878" w:type="dxa"/>
            <w:tcBorders>
              <w:top w:val="nil"/>
              <w:left w:val="nil"/>
              <w:bottom w:val="single" w:color="auto" w:sz="4" w:space="0"/>
              <w:right w:val="single" w:color="auto" w:sz="4" w:space="0"/>
            </w:tcBorders>
            <w:noWrap/>
            <w:vAlign w:val="center"/>
          </w:tcPr>
          <w:p w14:paraId="231E2C26">
            <w:pPr>
              <w:jc w:val="center"/>
              <w:textAlignment w:val="center"/>
              <w:rPr>
                <w:rFonts w:ascii="宋体" w:hAnsi="宋体" w:cs="宋体"/>
                <w:color w:val="auto"/>
                <w:sz w:val="24"/>
              </w:rPr>
            </w:pPr>
            <w:r>
              <w:rPr>
                <w:rFonts w:hint="eastAsia" w:ascii="宋体" w:hAnsi="宋体" w:cs="宋体"/>
                <w:color w:val="auto"/>
                <w:kern w:val="0"/>
                <w:sz w:val="22"/>
                <w:szCs w:val="22"/>
              </w:rPr>
              <w:t>366772</w:t>
            </w:r>
          </w:p>
        </w:tc>
        <w:tc>
          <w:tcPr>
            <w:tcW w:w="878" w:type="dxa"/>
            <w:tcBorders>
              <w:top w:val="nil"/>
              <w:left w:val="nil"/>
              <w:bottom w:val="single" w:color="auto" w:sz="4" w:space="0"/>
              <w:right w:val="single" w:color="auto" w:sz="4" w:space="0"/>
            </w:tcBorders>
            <w:noWrap/>
            <w:vAlign w:val="center"/>
          </w:tcPr>
          <w:p w14:paraId="69928679">
            <w:pPr>
              <w:jc w:val="center"/>
              <w:textAlignment w:val="center"/>
              <w:rPr>
                <w:rFonts w:ascii="宋体" w:hAnsi="宋体" w:cs="宋体"/>
                <w:color w:val="auto"/>
                <w:sz w:val="22"/>
                <w:szCs w:val="22"/>
              </w:rPr>
            </w:pPr>
            <w:r>
              <w:rPr>
                <w:rFonts w:hint="eastAsia" w:ascii="宋体" w:hAnsi="宋体" w:cs="宋体"/>
                <w:color w:val="auto"/>
                <w:kern w:val="0"/>
                <w:sz w:val="22"/>
                <w:szCs w:val="22"/>
              </w:rPr>
              <w:t>162529</w:t>
            </w:r>
          </w:p>
        </w:tc>
        <w:tc>
          <w:tcPr>
            <w:tcW w:w="982" w:type="dxa"/>
            <w:tcBorders>
              <w:top w:val="nil"/>
              <w:left w:val="nil"/>
              <w:bottom w:val="single" w:color="auto" w:sz="4" w:space="0"/>
              <w:right w:val="single" w:color="auto" w:sz="4" w:space="0"/>
            </w:tcBorders>
            <w:noWrap/>
            <w:vAlign w:val="center"/>
          </w:tcPr>
          <w:p w14:paraId="5F11A0CA">
            <w:pPr>
              <w:jc w:val="center"/>
              <w:textAlignment w:val="center"/>
              <w:rPr>
                <w:rFonts w:ascii="宋体" w:hAnsi="宋体" w:cs="宋体"/>
                <w:color w:val="auto"/>
                <w:sz w:val="22"/>
                <w:szCs w:val="22"/>
              </w:rPr>
            </w:pPr>
            <w:r>
              <w:rPr>
                <w:rFonts w:hint="eastAsia" w:ascii="宋体" w:hAnsi="宋体" w:cs="宋体"/>
                <w:color w:val="auto"/>
                <w:kern w:val="0"/>
                <w:sz w:val="22"/>
                <w:szCs w:val="22"/>
              </w:rPr>
              <w:t>204243</w:t>
            </w:r>
          </w:p>
        </w:tc>
        <w:tc>
          <w:tcPr>
            <w:tcW w:w="1115" w:type="dxa"/>
            <w:tcBorders>
              <w:top w:val="nil"/>
              <w:left w:val="nil"/>
              <w:bottom w:val="single" w:color="auto" w:sz="4" w:space="0"/>
              <w:right w:val="single" w:color="auto" w:sz="4" w:space="0"/>
            </w:tcBorders>
            <w:noWrap/>
            <w:vAlign w:val="center"/>
          </w:tcPr>
          <w:p w14:paraId="70FE3D93">
            <w:pPr>
              <w:jc w:val="center"/>
              <w:textAlignment w:val="center"/>
              <w:rPr>
                <w:rFonts w:ascii="宋体" w:hAnsi="宋体" w:cs="宋体"/>
                <w:color w:val="auto"/>
                <w:sz w:val="24"/>
              </w:rPr>
            </w:pPr>
            <w:r>
              <w:rPr>
                <w:rFonts w:hint="eastAsia" w:ascii="宋体" w:hAnsi="宋体" w:cs="宋体"/>
                <w:color w:val="auto"/>
                <w:kern w:val="0"/>
                <w:sz w:val="22"/>
                <w:szCs w:val="22"/>
              </w:rPr>
              <w:t>1029.9</w:t>
            </w:r>
          </w:p>
        </w:tc>
        <w:tc>
          <w:tcPr>
            <w:tcW w:w="803" w:type="dxa"/>
            <w:tcBorders>
              <w:top w:val="nil"/>
              <w:left w:val="nil"/>
              <w:bottom w:val="single" w:color="auto" w:sz="4" w:space="0"/>
              <w:right w:val="single" w:color="auto" w:sz="4" w:space="0"/>
            </w:tcBorders>
            <w:noWrap/>
            <w:vAlign w:val="center"/>
          </w:tcPr>
          <w:p w14:paraId="3F8E0FE1">
            <w:pPr>
              <w:jc w:val="center"/>
              <w:textAlignment w:val="center"/>
              <w:rPr>
                <w:rFonts w:ascii="宋体" w:hAnsi="宋体" w:cs="宋体"/>
                <w:color w:val="auto"/>
                <w:sz w:val="24"/>
              </w:rPr>
            </w:pPr>
            <w:r>
              <w:rPr>
                <w:rFonts w:hint="eastAsia" w:ascii="宋体" w:hAnsi="宋体" w:cs="宋体"/>
                <w:color w:val="auto"/>
                <w:kern w:val="0"/>
                <w:sz w:val="22"/>
                <w:szCs w:val="22"/>
              </w:rPr>
              <w:t>145.1</w:t>
            </w:r>
          </w:p>
        </w:tc>
        <w:tc>
          <w:tcPr>
            <w:tcW w:w="1124" w:type="dxa"/>
            <w:tcBorders>
              <w:top w:val="nil"/>
              <w:left w:val="nil"/>
              <w:bottom w:val="single" w:color="auto" w:sz="4" w:space="0"/>
              <w:right w:val="single" w:color="auto" w:sz="4" w:space="0"/>
            </w:tcBorders>
            <w:noWrap/>
            <w:vAlign w:val="center"/>
          </w:tcPr>
          <w:p w14:paraId="3D924F4C">
            <w:pPr>
              <w:jc w:val="center"/>
              <w:textAlignment w:val="center"/>
              <w:rPr>
                <w:rFonts w:ascii="宋体" w:hAnsi="宋体" w:cs="宋体"/>
                <w:color w:val="auto"/>
                <w:sz w:val="24"/>
              </w:rPr>
            </w:pPr>
            <w:r>
              <w:rPr>
                <w:rFonts w:hint="eastAsia" w:ascii="宋体" w:hAnsi="宋体" w:cs="宋体"/>
                <w:color w:val="auto"/>
                <w:kern w:val="0"/>
                <w:sz w:val="22"/>
                <w:szCs w:val="22"/>
              </w:rPr>
              <w:t>884.8</w:t>
            </w:r>
          </w:p>
        </w:tc>
        <w:tc>
          <w:tcPr>
            <w:tcW w:w="1384" w:type="dxa"/>
            <w:tcBorders>
              <w:top w:val="nil"/>
              <w:left w:val="nil"/>
              <w:bottom w:val="single" w:color="auto" w:sz="4" w:space="0"/>
              <w:right w:val="single" w:color="auto" w:sz="4" w:space="0"/>
            </w:tcBorders>
            <w:noWrap/>
            <w:vAlign w:val="center"/>
          </w:tcPr>
          <w:p w14:paraId="6FFF701A">
            <w:pPr>
              <w:jc w:val="center"/>
              <w:textAlignment w:val="center"/>
              <w:rPr>
                <w:rFonts w:ascii="宋体" w:hAnsi="宋体" w:cs="宋体"/>
                <w:color w:val="auto"/>
                <w:sz w:val="24"/>
              </w:rPr>
            </w:pPr>
            <w:r>
              <w:rPr>
                <w:rFonts w:hint="eastAsia" w:ascii="宋体" w:hAnsi="宋体" w:cs="宋体"/>
                <w:color w:val="auto"/>
                <w:kern w:val="0"/>
                <w:sz w:val="22"/>
                <w:szCs w:val="22"/>
              </w:rPr>
              <w:t>6960</w:t>
            </w:r>
          </w:p>
        </w:tc>
      </w:tr>
      <w:tr w14:paraId="397BE69B">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42FD7C80">
            <w:pPr>
              <w:jc w:val="center"/>
              <w:textAlignment w:val="center"/>
              <w:rPr>
                <w:rFonts w:ascii="宋体" w:hAnsi="宋体" w:cs="宋体"/>
                <w:color w:val="auto"/>
                <w:sz w:val="24"/>
              </w:rPr>
            </w:pPr>
            <w:r>
              <w:rPr>
                <w:rFonts w:hint="eastAsia" w:ascii="宋体" w:hAnsi="宋体" w:cs="宋体"/>
                <w:color w:val="auto"/>
                <w:kern w:val="0"/>
                <w:sz w:val="24"/>
              </w:rPr>
              <w:t>17</w:t>
            </w:r>
          </w:p>
        </w:tc>
        <w:tc>
          <w:tcPr>
            <w:tcW w:w="1064" w:type="dxa"/>
            <w:tcBorders>
              <w:top w:val="nil"/>
              <w:left w:val="nil"/>
              <w:bottom w:val="single" w:color="auto" w:sz="4" w:space="0"/>
              <w:right w:val="single" w:color="auto" w:sz="4" w:space="0"/>
            </w:tcBorders>
            <w:noWrap/>
            <w:vAlign w:val="center"/>
          </w:tcPr>
          <w:p w14:paraId="5A0C2D03">
            <w:pPr>
              <w:jc w:val="center"/>
              <w:textAlignment w:val="center"/>
              <w:rPr>
                <w:rFonts w:ascii="宋体" w:hAnsi="宋体" w:cs="宋体"/>
                <w:color w:val="auto"/>
                <w:sz w:val="24"/>
              </w:rPr>
            </w:pPr>
            <w:r>
              <w:rPr>
                <w:rFonts w:hint="eastAsia" w:ascii="宋体" w:hAnsi="宋体" w:cs="宋体"/>
                <w:color w:val="auto"/>
                <w:kern w:val="0"/>
                <w:sz w:val="24"/>
              </w:rPr>
              <w:t>屏南镇</w:t>
            </w:r>
          </w:p>
        </w:tc>
        <w:tc>
          <w:tcPr>
            <w:tcW w:w="642" w:type="dxa"/>
            <w:tcBorders>
              <w:top w:val="nil"/>
              <w:left w:val="nil"/>
              <w:bottom w:val="single" w:color="auto" w:sz="4" w:space="0"/>
              <w:right w:val="single" w:color="auto" w:sz="4" w:space="0"/>
            </w:tcBorders>
            <w:noWrap/>
            <w:vAlign w:val="center"/>
          </w:tcPr>
          <w:p w14:paraId="4BB65EFC">
            <w:pPr>
              <w:jc w:val="center"/>
              <w:textAlignment w:val="center"/>
              <w:rPr>
                <w:rFonts w:ascii="宋体" w:hAnsi="宋体" w:cs="宋体"/>
                <w:color w:val="auto"/>
                <w:sz w:val="24"/>
              </w:rPr>
            </w:pPr>
            <w:r>
              <w:rPr>
                <w:rFonts w:hint="eastAsia" w:ascii="宋体" w:hAnsi="宋体" w:cs="宋体"/>
                <w:color w:val="auto"/>
                <w:kern w:val="0"/>
                <w:sz w:val="22"/>
                <w:szCs w:val="22"/>
              </w:rPr>
              <w:t>15</w:t>
            </w:r>
          </w:p>
        </w:tc>
        <w:tc>
          <w:tcPr>
            <w:tcW w:w="641" w:type="dxa"/>
            <w:tcBorders>
              <w:top w:val="nil"/>
              <w:left w:val="nil"/>
              <w:bottom w:val="single" w:color="auto" w:sz="4" w:space="0"/>
              <w:right w:val="single" w:color="auto" w:sz="4" w:space="0"/>
            </w:tcBorders>
            <w:noWrap/>
            <w:vAlign w:val="center"/>
          </w:tcPr>
          <w:p w14:paraId="66D41B7D">
            <w:pPr>
              <w:jc w:val="center"/>
              <w:textAlignment w:val="center"/>
              <w:rPr>
                <w:rFonts w:ascii="宋体" w:hAnsi="宋体" w:cs="宋体"/>
                <w:color w:val="auto"/>
                <w:sz w:val="24"/>
              </w:rPr>
            </w:pPr>
            <w:r>
              <w:rPr>
                <w:rFonts w:hint="eastAsia" w:ascii="宋体" w:hAnsi="宋体" w:cs="宋体"/>
                <w:color w:val="auto"/>
                <w:kern w:val="0"/>
                <w:sz w:val="22"/>
                <w:szCs w:val="22"/>
              </w:rPr>
              <w:t>15</w:t>
            </w:r>
          </w:p>
        </w:tc>
        <w:tc>
          <w:tcPr>
            <w:tcW w:w="1089" w:type="dxa"/>
            <w:tcBorders>
              <w:top w:val="nil"/>
              <w:left w:val="nil"/>
              <w:bottom w:val="single" w:color="auto" w:sz="4" w:space="0"/>
              <w:right w:val="single" w:color="auto" w:sz="4" w:space="0"/>
            </w:tcBorders>
            <w:noWrap/>
            <w:vAlign w:val="center"/>
          </w:tcPr>
          <w:p w14:paraId="73A3FD77">
            <w:pPr>
              <w:jc w:val="center"/>
              <w:textAlignment w:val="center"/>
              <w:rPr>
                <w:rFonts w:ascii="宋体" w:hAnsi="宋体" w:cs="宋体"/>
                <w:color w:val="auto"/>
                <w:sz w:val="24"/>
              </w:rPr>
            </w:pPr>
            <w:r>
              <w:rPr>
                <w:rFonts w:hint="eastAsia" w:ascii="宋体" w:hAnsi="宋体" w:cs="宋体"/>
                <w:color w:val="auto"/>
                <w:kern w:val="0"/>
                <w:sz w:val="22"/>
                <w:szCs w:val="22"/>
              </w:rPr>
              <w:t>0</w:t>
            </w:r>
          </w:p>
        </w:tc>
        <w:tc>
          <w:tcPr>
            <w:tcW w:w="764" w:type="dxa"/>
            <w:tcBorders>
              <w:top w:val="nil"/>
              <w:left w:val="nil"/>
              <w:bottom w:val="single" w:color="auto" w:sz="4" w:space="0"/>
              <w:right w:val="single" w:color="auto" w:sz="4" w:space="0"/>
            </w:tcBorders>
            <w:noWrap/>
            <w:vAlign w:val="center"/>
          </w:tcPr>
          <w:p w14:paraId="19764979">
            <w:pPr>
              <w:jc w:val="center"/>
              <w:textAlignment w:val="center"/>
              <w:rPr>
                <w:rFonts w:ascii="宋体" w:hAnsi="宋体" w:cs="宋体"/>
                <w:color w:val="auto"/>
                <w:sz w:val="24"/>
              </w:rPr>
            </w:pPr>
            <w:r>
              <w:rPr>
                <w:rFonts w:hint="eastAsia" w:ascii="宋体" w:hAnsi="宋体" w:cs="宋体"/>
                <w:color w:val="auto"/>
                <w:kern w:val="0"/>
                <w:sz w:val="22"/>
                <w:szCs w:val="22"/>
              </w:rPr>
              <w:t>19915</w:t>
            </w:r>
          </w:p>
        </w:tc>
        <w:tc>
          <w:tcPr>
            <w:tcW w:w="706" w:type="dxa"/>
            <w:tcBorders>
              <w:top w:val="nil"/>
              <w:left w:val="nil"/>
              <w:bottom w:val="single" w:color="auto" w:sz="4" w:space="0"/>
              <w:right w:val="single" w:color="auto" w:sz="4" w:space="0"/>
            </w:tcBorders>
            <w:noWrap/>
            <w:vAlign w:val="center"/>
          </w:tcPr>
          <w:p w14:paraId="0884D3B7">
            <w:pPr>
              <w:jc w:val="center"/>
              <w:textAlignment w:val="center"/>
              <w:rPr>
                <w:rFonts w:ascii="宋体" w:hAnsi="宋体" w:cs="宋体"/>
                <w:color w:val="auto"/>
                <w:sz w:val="22"/>
                <w:szCs w:val="22"/>
              </w:rPr>
            </w:pPr>
            <w:r>
              <w:rPr>
                <w:rFonts w:hint="eastAsia" w:ascii="宋体" w:hAnsi="宋体" w:cs="宋体"/>
                <w:color w:val="auto"/>
                <w:kern w:val="0"/>
                <w:sz w:val="22"/>
                <w:szCs w:val="22"/>
              </w:rPr>
              <w:t>19915</w:t>
            </w:r>
          </w:p>
        </w:tc>
        <w:tc>
          <w:tcPr>
            <w:tcW w:w="1029" w:type="dxa"/>
            <w:tcBorders>
              <w:top w:val="nil"/>
              <w:left w:val="nil"/>
              <w:bottom w:val="single" w:color="auto" w:sz="4" w:space="0"/>
              <w:right w:val="single" w:color="auto" w:sz="4" w:space="0"/>
            </w:tcBorders>
            <w:noWrap/>
            <w:vAlign w:val="center"/>
          </w:tcPr>
          <w:p w14:paraId="16DCD61D">
            <w:pPr>
              <w:jc w:val="center"/>
              <w:textAlignment w:val="center"/>
              <w:rPr>
                <w:rFonts w:ascii="宋体" w:hAnsi="宋体" w:cs="宋体"/>
                <w:color w:val="auto"/>
                <w:sz w:val="22"/>
                <w:szCs w:val="22"/>
              </w:rPr>
            </w:pPr>
            <w:r>
              <w:rPr>
                <w:rFonts w:hint="eastAsia" w:ascii="宋体" w:hAnsi="宋体" w:cs="宋体"/>
                <w:color w:val="auto"/>
                <w:kern w:val="0"/>
                <w:sz w:val="22"/>
                <w:szCs w:val="22"/>
              </w:rPr>
              <w:t>0</w:t>
            </w:r>
          </w:p>
        </w:tc>
        <w:tc>
          <w:tcPr>
            <w:tcW w:w="878" w:type="dxa"/>
            <w:tcBorders>
              <w:top w:val="nil"/>
              <w:left w:val="nil"/>
              <w:bottom w:val="single" w:color="auto" w:sz="4" w:space="0"/>
              <w:right w:val="single" w:color="auto" w:sz="4" w:space="0"/>
            </w:tcBorders>
            <w:noWrap/>
            <w:vAlign w:val="center"/>
          </w:tcPr>
          <w:p w14:paraId="0CCE2896">
            <w:pPr>
              <w:jc w:val="center"/>
              <w:textAlignment w:val="center"/>
              <w:rPr>
                <w:rFonts w:ascii="宋体" w:hAnsi="宋体" w:cs="宋体"/>
                <w:color w:val="auto"/>
                <w:sz w:val="24"/>
              </w:rPr>
            </w:pPr>
            <w:r>
              <w:rPr>
                <w:rFonts w:hint="eastAsia" w:ascii="宋体" w:hAnsi="宋体" w:cs="宋体"/>
                <w:color w:val="auto"/>
                <w:kern w:val="0"/>
                <w:sz w:val="22"/>
                <w:szCs w:val="22"/>
              </w:rPr>
              <w:t>111521</w:t>
            </w:r>
          </w:p>
        </w:tc>
        <w:tc>
          <w:tcPr>
            <w:tcW w:w="878" w:type="dxa"/>
            <w:tcBorders>
              <w:top w:val="nil"/>
              <w:left w:val="nil"/>
              <w:bottom w:val="single" w:color="auto" w:sz="4" w:space="0"/>
              <w:right w:val="single" w:color="auto" w:sz="4" w:space="0"/>
            </w:tcBorders>
            <w:noWrap/>
            <w:vAlign w:val="center"/>
          </w:tcPr>
          <w:p w14:paraId="7612A900">
            <w:pPr>
              <w:jc w:val="center"/>
              <w:textAlignment w:val="center"/>
              <w:rPr>
                <w:rFonts w:ascii="宋体" w:hAnsi="宋体" w:cs="宋体"/>
                <w:color w:val="auto"/>
                <w:sz w:val="22"/>
                <w:szCs w:val="22"/>
              </w:rPr>
            </w:pPr>
            <w:r>
              <w:rPr>
                <w:rFonts w:hint="eastAsia" w:ascii="宋体" w:hAnsi="宋体" w:cs="宋体"/>
                <w:color w:val="auto"/>
                <w:kern w:val="0"/>
                <w:sz w:val="22"/>
                <w:szCs w:val="22"/>
              </w:rPr>
              <w:t>111521</w:t>
            </w:r>
          </w:p>
        </w:tc>
        <w:tc>
          <w:tcPr>
            <w:tcW w:w="982" w:type="dxa"/>
            <w:tcBorders>
              <w:top w:val="nil"/>
              <w:left w:val="nil"/>
              <w:bottom w:val="single" w:color="auto" w:sz="4" w:space="0"/>
              <w:right w:val="single" w:color="auto" w:sz="4" w:space="0"/>
            </w:tcBorders>
            <w:noWrap/>
            <w:vAlign w:val="center"/>
          </w:tcPr>
          <w:p w14:paraId="187007B0">
            <w:pPr>
              <w:jc w:val="center"/>
              <w:textAlignment w:val="center"/>
              <w:rPr>
                <w:rFonts w:ascii="宋体" w:hAnsi="宋体" w:cs="宋体"/>
                <w:color w:val="auto"/>
                <w:sz w:val="22"/>
                <w:szCs w:val="22"/>
              </w:rPr>
            </w:pPr>
            <w:r>
              <w:rPr>
                <w:rFonts w:hint="eastAsia" w:ascii="宋体" w:hAnsi="宋体" w:cs="宋体"/>
                <w:color w:val="auto"/>
                <w:kern w:val="0"/>
                <w:sz w:val="22"/>
                <w:szCs w:val="22"/>
              </w:rPr>
              <w:t>0</w:t>
            </w:r>
          </w:p>
        </w:tc>
        <w:tc>
          <w:tcPr>
            <w:tcW w:w="1115" w:type="dxa"/>
            <w:tcBorders>
              <w:top w:val="nil"/>
              <w:left w:val="nil"/>
              <w:bottom w:val="single" w:color="auto" w:sz="4" w:space="0"/>
              <w:right w:val="single" w:color="auto" w:sz="4" w:space="0"/>
            </w:tcBorders>
            <w:noWrap/>
            <w:vAlign w:val="center"/>
          </w:tcPr>
          <w:p w14:paraId="6F7E1FFC">
            <w:pPr>
              <w:jc w:val="center"/>
              <w:textAlignment w:val="center"/>
              <w:rPr>
                <w:rFonts w:ascii="宋体" w:hAnsi="宋体" w:cs="宋体"/>
                <w:color w:val="auto"/>
                <w:sz w:val="24"/>
              </w:rPr>
            </w:pPr>
            <w:r>
              <w:rPr>
                <w:rFonts w:hint="eastAsia" w:ascii="宋体" w:hAnsi="宋体" w:cs="宋体"/>
                <w:color w:val="auto"/>
                <w:kern w:val="0"/>
                <w:sz w:val="22"/>
                <w:szCs w:val="22"/>
              </w:rPr>
              <w:t>99.5</w:t>
            </w:r>
          </w:p>
        </w:tc>
        <w:tc>
          <w:tcPr>
            <w:tcW w:w="803" w:type="dxa"/>
            <w:tcBorders>
              <w:top w:val="nil"/>
              <w:left w:val="nil"/>
              <w:bottom w:val="single" w:color="auto" w:sz="4" w:space="0"/>
              <w:right w:val="single" w:color="auto" w:sz="4" w:space="0"/>
            </w:tcBorders>
            <w:noWrap/>
            <w:vAlign w:val="center"/>
          </w:tcPr>
          <w:p w14:paraId="7FF32F22">
            <w:pPr>
              <w:jc w:val="center"/>
              <w:textAlignment w:val="center"/>
              <w:rPr>
                <w:rFonts w:ascii="宋体" w:hAnsi="宋体" w:cs="宋体"/>
                <w:color w:val="auto"/>
                <w:sz w:val="22"/>
                <w:szCs w:val="22"/>
              </w:rPr>
            </w:pPr>
            <w:r>
              <w:rPr>
                <w:rFonts w:hint="eastAsia" w:ascii="宋体" w:hAnsi="宋体" w:cs="宋体"/>
                <w:color w:val="auto"/>
                <w:kern w:val="0"/>
                <w:sz w:val="22"/>
                <w:szCs w:val="22"/>
              </w:rPr>
              <w:t>99.5</w:t>
            </w:r>
          </w:p>
        </w:tc>
        <w:tc>
          <w:tcPr>
            <w:tcW w:w="1124" w:type="dxa"/>
            <w:tcBorders>
              <w:top w:val="nil"/>
              <w:left w:val="nil"/>
              <w:bottom w:val="single" w:color="auto" w:sz="4" w:space="0"/>
              <w:right w:val="single" w:color="auto" w:sz="4" w:space="0"/>
            </w:tcBorders>
            <w:noWrap/>
            <w:vAlign w:val="center"/>
          </w:tcPr>
          <w:p w14:paraId="0248A708">
            <w:pPr>
              <w:jc w:val="center"/>
              <w:textAlignment w:val="center"/>
              <w:rPr>
                <w:rFonts w:ascii="宋体" w:hAnsi="宋体" w:cs="宋体"/>
                <w:color w:val="auto"/>
                <w:sz w:val="22"/>
                <w:szCs w:val="22"/>
              </w:rPr>
            </w:pPr>
            <w:r>
              <w:rPr>
                <w:rFonts w:hint="eastAsia" w:ascii="宋体" w:hAnsi="宋体" w:cs="宋体"/>
                <w:color w:val="auto"/>
                <w:kern w:val="0"/>
                <w:sz w:val="22"/>
                <w:szCs w:val="22"/>
              </w:rPr>
              <w:t>0</w:t>
            </w:r>
          </w:p>
        </w:tc>
        <w:tc>
          <w:tcPr>
            <w:tcW w:w="1384" w:type="dxa"/>
            <w:tcBorders>
              <w:top w:val="nil"/>
              <w:left w:val="nil"/>
              <w:bottom w:val="single" w:color="auto" w:sz="4" w:space="0"/>
              <w:right w:val="single" w:color="auto" w:sz="4" w:space="0"/>
            </w:tcBorders>
            <w:noWrap/>
            <w:vAlign w:val="center"/>
          </w:tcPr>
          <w:p w14:paraId="78D5BE7F">
            <w:pPr>
              <w:jc w:val="center"/>
              <w:textAlignment w:val="center"/>
              <w:rPr>
                <w:rFonts w:ascii="宋体" w:hAnsi="宋体" w:cs="宋体"/>
                <w:color w:val="auto"/>
                <w:sz w:val="24"/>
              </w:rPr>
            </w:pPr>
            <w:r>
              <w:rPr>
                <w:rFonts w:hint="eastAsia" w:ascii="宋体" w:hAnsi="宋体" w:cs="宋体"/>
                <w:color w:val="auto"/>
                <w:kern w:val="0"/>
                <w:sz w:val="22"/>
                <w:szCs w:val="22"/>
              </w:rPr>
              <w:t>3480</w:t>
            </w:r>
          </w:p>
        </w:tc>
      </w:tr>
      <w:tr w14:paraId="594F04C8">
        <w:tblPrEx>
          <w:tblCellMar>
            <w:top w:w="0" w:type="dxa"/>
            <w:left w:w="108" w:type="dxa"/>
            <w:bottom w:w="0" w:type="dxa"/>
            <w:right w:w="108" w:type="dxa"/>
          </w:tblCellMar>
        </w:tblPrEx>
        <w:trPr>
          <w:trHeight w:val="424" w:hRule="atLeast"/>
        </w:trPr>
        <w:tc>
          <w:tcPr>
            <w:tcW w:w="698" w:type="dxa"/>
            <w:tcBorders>
              <w:top w:val="nil"/>
              <w:left w:val="single" w:color="auto" w:sz="4" w:space="0"/>
              <w:bottom w:val="single" w:color="auto" w:sz="4" w:space="0"/>
              <w:right w:val="single" w:color="auto" w:sz="4" w:space="0"/>
            </w:tcBorders>
            <w:noWrap/>
            <w:vAlign w:val="center"/>
          </w:tcPr>
          <w:p w14:paraId="5E5596FC">
            <w:pPr>
              <w:jc w:val="center"/>
              <w:textAlignment w:val="center"/>
              <w:rPr>
                <w:rFonts w:ascii="宋体" w:hAnsi="宋体" w:cs="宋体"/>
                <w:color w:val="auto"/>
                <w:sz w:val="24"/>
              </w:rPr>
            </w:pPr>
            <w:r>
              <w:rPr>
                <w:rFonts w:hint="eastAsia" w:ascii="宋体" w:hAnsi="宋体" w:cs="宋体"/>
                <w:color w:val="auto"/>
                <w:kern w:val="0"/>
                <w:sz w:val="24"/>
              </w:rPr>
              <w:t>18</w:t>
            </w:r>
          </w:p>
        </w:tc>
        <w:tc>
          <w:tcPr>
            <w:tcW w:w="1064" w:type="dxa"/>
            <w:tcBorders>
              <w:top w:val="nil"/>
              <w:left w:val="nil"/>
              <w:bottom w:val="single" w:color="auto" w:sz="4" w:space="0"/>
              <w:right w:val="single" w:color="auto" w:sz="4" w:space="0"/>
            </w:tcBorders>
            <w:noWrap/>
            <w:vAlign w:val="center"/>
          </w:tcPr>
          <w:p w14:paraId="19E4ECE0">
            <w:pPr>
              <w:jc w:val="center"/>
              <w:textAlignment w:val="center"/>
              <w:rPr>
                <w:rFonts w:ascii="宋体" w:hAnsi="宋体" w:cs="宋体"/>
                <w:color w:val="auto"/>
                <w:sz w:val="24"/>
              </w:rPr>
            </w:pPr>
            <w:r>
              <w:rPr>
                <w:rFonts w:hint="eastAsia" w:ascii="宋体" w:hAnsi="宋体" w:cs="宋体"/>
                <w:color w:val="auto"/>
                <w:kern w:val="0"/>
                <w:sz w:val="24"/>
              </w:rPr>
              <w:t>龙南乡</w:t>
            </w:r>
          </w:p>
        </w:tc>
        <w:tc>
          <w:tcPr>
            <w:tcW w:w="642" w:type="dxa"/>
            <w:tcBorders>
              <w:top w:val="nil"/>
              <w:left w:val="nil"/>
              <w:bottom w:val="single" w:color="auto" w:sz="4" w:space="0"/>
              <w:right w:val="single" w:color="auto" w:sz="4" w:space="0"/>
            </w:tcBorders>
            <w:noWrap/>
            <w:vAlign w:val="center"/>
          </w:tcPr>
          <w:p w14:paraId="75B4B50B">
            <w:pPr>
              <w:jc w:val="center"/>
              <w:textAlignment w:val="center"/>
              <w:rPr>
                <w:rFonts w:ascii="宋体" w:hAnsi="宋体" w:cs="宋体"/>
                <w:color w:val="auto"/>
                <w:sz w:val="24"/>
              </w:rPr>
            </w:pPr>
            <w:r>
              <w:rPr>
                <w:rFonts w:hint="eastAsia" w:ascii="宋体" w:hAnsi="宋体" w:cs="宋体"/>
                <w:color w:val="auto"/>
                <w:kern w:val="0"/>
                <w:sz w:val="22"/>
                <w:szCs w:val="22"/>
              </w:rPr>
              <w:t>18</w:t>
            </w:r>
          </w:p>
        </w:tc>
        <w:tc>
          <w:tcPr>
            <w:tcW w:w="641" w:type="dxa"/>
            <w:tcBorders>
              <w:top w:val="nil"/>
              <w:left w:val="nil"/>
              <w:bottom w:val="single" w:color="auto" w:sz="4" w:space="0"/>
              <w:right w:val="single" w:color="auto" w:sz="4" w:space="0"/>
            </w:tcBorders>
            <w:noWrap/>
            <w:vAlign w:val="center"/>
          </w:tcPr>
          <w:p w14:paraId="126E4221">
            <w:pPr>
              <w:jc w:val="center"/>
              <w:textAlignment w:val="center"/>
              <w:rPr>
                <w:rFonts w:ascii="宋体" w:hAnsi="宋体" w:cs="宋体"/>
                <w:color w:val="auto"/>
                <w:sz w:val="24"/>
              </w:rPr>
            </w:pPr>
            <w:r>
              <w:rPr>
                <w:rFonts w:hint="eastAsia" w:ascii="宋体" w:hAnsi="宋体" w:cs="宋体"/>
                <w:color w:val="auto"/>
                <w:kern w:val="0"/>
                <w:sz w:val="22"/>
                <w:szCs w:val="22"/>
              </w:rPr>
              <w:t>17</w:t>
            </w:r>
          </w:p>
        </w:tc>
        <w:tc>
          <w:tcPr>
            <w:tcW w:w="1089" w:type="dxa"/>
            <w:tcBorders>
              <w:top w:val="nil"/>
              <w:left w:val="nil"/>
              <w:bottom w:val="single" w:color="auto" w:sz="4" w:space="0"/>
              <w:right w:val="single" w:color="auto" w:sz="4" w:space="0"/>
            </w:tcBorders>
            <w:noWrap/>
            <w:vAlign w:val="center"/>
          </w:tcPr>
          <w:p w14:paraId="00BAD582">
            <w:pPr>
              <w:jc w:val="center"/>
              <w:textAlignment w:val="center"/>
              <w:rPr>
                <w:rFonts w:ascii="宋体" w:hAnsi="宋体" w:cs="宋体"/>
                <w:color w:val="auto"/>
                <w:sz w:val="24"/>
              </w:rPr>
            </w:pPr>
            <w:r>
              <w:rPr>
                <w:rFonts w:hint="eastAsia" w:ascii="宋体" w:hAnsi="宋体" w:cs="宋体"/>
                <w:color w:val="auto"/>
                <w:kern w:val="0"/>
                <w:sz w:val="22"/>
                <w:szCs w:val="22"/>
              </w:rPr>
              <w:t>1</w:t>
            </w:r>
          </w:p>
        </w:tc>
        <w:tc>
          <w:tcPr>
            <w:tcW w:w="764" w:type="dxa"/>
            <w:tcBorders>
              <w:top w:val="nil"/>
              <w:left w:val="nil"/>
              <w:bottom w:val="single" w:color="auto" w:sz="4" w:space="0"/>
              <w:right w:val="single" w:color="auto" w:sz="4" w:space="0"/>
            </w:tcBorders>
            <w:noWrap/>
            <w:vAlign w:val="center"/>
          </w:tcPr>
          <w:p w14:paraId="4DAEF7CE">
            <w:pPr>
              <w:jc w:val="center"/>
              <w:textAlignment w:val="center"/>
              <w:rPr>
                <w:rFonts w:ascii="宋体" w:hAnsi="宋体" w:cs="宋体"/>
                <w:color w:val="auto"/>
                <w:sz w:val="24"/>
              </w:rPr>
            </w:pPr>
            <w:r>
              <w:rPr>
                <w:rFonts w:hint="eastAsia" w:ascii="宋体" w:hAnsi="宋体" w:cs="宋体"/>
                <w:color w:val="auto"/>
                <w:kern w:val="0"/>
                <w:sz w:val="22"/>
                <w:szCs w:val="22"/>
              </w:rPr>
              <w:t>24113</w:t>
            </w:r>
          </w:p>
        </w:tc>
        <w:tc>
          <w:tcPr>
            <w:tcW w:w="706" w:type="dxa"/>
            <w:tcBorders>
              <w:top w:val="nil"/>
              <w:left w:val="nil"/>
              <w:bottom w:val="single" w:color="auto" w:sz="4" w:space="0"/>
              <w:right w:val="single" w:color="auto" w:sz="4" w:space="0"/>
            </w:tcBorders>
            <w:noWrap/>
            <w:vAlign w:val="center"/>
          </w:tcPr>
          <w:p w14:paraId="7E066598">
            <w:pPr>
              <w:jc w:val="center"/>
              <w:textAlignment w:val="center"/>
              <w:rPr>
                <w:rFonts w:ascii="宋体" w:hAnsi="宋体" w:cs="宋体"/>
                <w:color w:val="auto"/>
                <w:sz w:val="22"/>
                <w:szCs w:val="22"/>
              </w:rPr>
            </w:pPr>
            <w:r>
              <w:rPr>
                <w:rFonts w:hint="eastAsia" w:ascii="宋体" w:hAnsi="宋体" w:cs="宋体"/>
                <w:color w:val="auto"/>
                <w:kern w:val="0"/>
                <w:sz w:val="22"/>
                <w:szCs w:val="22"/>
              </w:rPr>
              <w:t>21955</w:t>
            </w:r>
          </w:p>
        </w:tc>
        <w:tc>
          <w:tcPr>
            <w:tcW w:w="1029" w:type="dxa"/>
            <w:tcBorders>
              <w:top w:val="nil"/>
              <w:left w:val="nil"/>
              <w:bottom w:val="single" w:color="auto" w:sz="4" w:space="0"/>
              <w:right w:val="single" w:color="auto" w:sz="4" w:space="0"/>
            </w:tcBorders>
            <w:noWrap/>
            <w:vAlign w:val="center"/>
          </w:tcPr>
          <w:p w14:paraId="11E31F91">
            <w:pPr>
              <w:jc w:val="center"/>
              <w:textAlignment w:val="center"/>
              <w:rPr>
                <w:rFonts w:ascii="宋体" w:hAnsi="宋体" w:cs="宋体"/>
                <w:color w:val="auto"/>
                <w:sz w:val="22"/>
                <w:szCs w:val="22"/>
              </w:rPr>
            </w:pPr>
            <w:r>
              <w:rPr>
                <w:rFonts w:hint="eastAsia" w:ascii="宋体" w:hAnsi="宋体" w:cs="宋体"/>
                <w:color w:val="auto"/>
                <w:kern w:val="0"/>
                <w:sz w:val="22"/>
                <w:szCs w:val="22"/>
              </w:rPr>
              <w:t>2158</w:t>
            </w:r>
          </w:p>
        </w:tc>
        <w:tc>
          <w:tcPr>
            <w:tcW w:w="878" w:type="dxa"/>
            <w:tcBorders>
              <w:top w:val="nil"/>
              <w:left w:val="nil"/>
              <w:bottom w:val="single" w:color="auto" w:sz="4" w:space="0"/>
              <w:right w:val="single" w:color="auto" w:sz="4" w:space="0"/>
            </w:tcBorders>
            <w:noWrap/>
            <w:vAlign w:val="center"/>
          </w:tcPr>
          <w:p w14:paraId="40AF6BE8">
            <w:pPr>
              <w:jc w:val="center"/>
              <w:textAlignment w:val="center"/>
              <w:rPr>
                <w:rFonts w:ascii="宋体" w:hAnsi="宋体" w:cs="宋体"/>
                <w:color w:val="auto"/>
                <w:sz w:val="24"/>
              </w:rPr>
            </w:pPr>
            <w:r>
              <w:rPr>
                <w:rFonts w:hint="eastAsia" w:ascii="宋体" w:hAnsi="宋体" w:cs="宋体"/>
                <w:color w:val="auto"/>
                <w:kern w:val="0"/>
                <w:sz w:val="22"/>
                <w:szCs w:val="22"/>
              </w:rPr>
              <w:t>135035</w:t>
            </w:r>
          </w:p>
        </w:tc>
        <w:tc>
          <w:tcPr>
            <w:tcW w:w="878" w:type="dxa"/>
            <w:tcBorders>
              <w:top w:val="nil"/>
              <w:left w:val="nil"/>
              <w:bottom w:val="single" w:color="auto" w:sz="4" w:space="0"/>
              <w:right w:val="single" w:color="auto" w:sz="4" w:space="0"/>
            </w:tcBorders>
            <w:noWrap/>
            <w:vAlign w:val="center"/>
          </w:tcPr>
          <w:p w14:paraId="18F92954">
            <w:pPr>
              <w:jc w:val="center"/>
              <w:textAlignment w:val="center"/>
              <w:rPr>
                <w:rFonts w:ascii="宋体" w:hAnsi="宋体" w:cs="宋体"/>
                <w:color w:val="auto"/>
                <w:sz w:val="22"/>
                <w:szCs w:val="22"/>
              </w:rPr>
            </w:pPr>
            <w:r>
              <w:rPr>
                <w:rFonts w:hint="eastAsia" w:ascii="宋体" w:hAnsi="宋体" w:cs="宋体"/>
                <w:color w:val="auto"/>
                <w:kern w:val="0"/>
                <w:sz w:val="22"/>
                <w:szCs w:val="22"/>
              </w:rPr>
              <w:t>122950</w:t>
            </w:r>
          </w:p>
        </w:tc>
        <w:tc>
          <w:tcPr>
            <w:tcW w:w="982" w:type="dxa"/>
            <w:tcBorders>
              <w:top w:val="nil"/>
              <w:left w:val="nil"/>
              <w:bottom w:val="single" w:color="auto" w:sz="4" w:space="0"/>
              <w:right w:val="single" w:color="auto" w:sz="4" w:space="0"/>
            </w:tcBorders>
            <w:noWrap/>
            <w:vAlign w:val="center"/>
          </w:tcPr>
          <w:p w14:paraId="240811AE">
            <w:pPr>
              <w:jc w:val="center"/>
              <w:textAlignment w:val="center"/>
              <w:rPr>
                <w:rFonts w:ascii="宋体" w:hAnsi="宋体" w:cs="宋体"/>
                <w:color w:val="auto"/>
                <w:sz w:val="22"/>
                <w:szCs w:val="22"/>
              </w:rPr>
            </w:pPr>
            <w:r>
              <w:rPr>
                <w:rFonts w:hint="eastAsia" w:ascii="宋体" w:hAnsi="宋体" w:cs="宋体"/>
                <w:color w:val="auto"/>
                <w:kern w:val="0"/>
                <w:sz w:val="22"/>
                <w:szCs w:val="22"/>
              </w:rPr>
              <w:t>12085</w:t>
            </w:r>
          </w:p>
        </w:tc>
        <w:tc>
          <w:tcPr>
            <w:tcW w:w="1115" w:type="dxa"/>
            <w:tcBorders>
              <w:top w:val="nil"/>
              <w:left w:val="nil"/>
              <w:bottom w:val="single" w:color="auto" w:sz="4" w:space="0"/>
              <w:right w:val="single" w:color="auto" w:sz="4" w:space="0"/>
            </w:tcBorders>
            <w:noWrap/>
            <w:vAlign w:val="center"/>
          </w:tcPr>
          <w:p w14:paraId="353C97BF">
            <w:pPr>
              <w:jc w:val="center"/>
              <w:textAlignment w:val="center"/>
              <w:rPr>
                <w:rFonts w:ascii="宋体" w:hAnsi="宋体" w:cs="宋体"/>
                <w:color w:val="auto"/>
                <w:sz w:val="24"/>
              </w:rPr>
            </w:pPr>
            <w:r>
              <w:rPr>
                <w:rFonts w:hint="eastAsia" w:ascii="宋体" w:hAnsi="宋体" w:cs="宋体"/>
                <w:color w:val="auto"/>
                <w:kern w:val="0"/>
                <w:sz w:val="22"/>
                <w:szCs w:val="22"/>
              </w:rPr>
              <w:t>185.4</w:t>
            </w:r>
          </w:p>
        </w:tc>
        <w:tc>
          <w:tcPr>
            <w:tcW w:w="803" w:type="dxa"/>
            <w:tcBorders>
              <w:top w:val="nil"/>
              <w:left w:val="nil"/>
              <w:bottom w:val="single" w:color="auto" w:sz="4" w:space="0"/>
              <w:right w:val="single" w:color="auto" w:sz="4" w:space="0"/>
            </w:tcBorders>
            <w:noWrap/>
            <w:vAlign w:val="center"/>
          </w:tcPr>
          <w:p w14:paraId="6D6D2EC1">
            <w:pPr>
              <w:jc w:val="center"/>
              <w:textAlignment w:val="center"/>
              <w:rPr>
                <w:rFonts w:ascii="宋体" w:hAnsi="宋体" w:cs="宋体"/>
                <w:color w:val="auto"/>
                <w:sz w:val="24"/>
              </w:rPr>
            </w:pPr>
            <w:r>
              <w:rPr>
                <w:rFonts w:hint="eastAsia" w:ascii="宋体" w:hAnsi="宋体" w:cs="宋体"/>
                <w:color w:val="auto"/>
                <w:kern w:val="0"/>
                <w:sz w:val="22"/>
                <w:szCs w:val="22"/>
              </w:rPr>
              <w:t>109.9</w:t>
            </w:r>
          </w:p>
        </w:tc>
        <w:tc>
          <w:tcPr>
            <w:tcW w:w="1124" w:type="dxa"/>
            <w:tcBorders>
              <w:top w:val="nil"/>
              <w:left w:val="nil"/>
              <w:bottom w:val="single" w:color="auto" w:sz="4" w:space="0"/>
              <w:right w:val="single" w:color="auto" w:sz="4" w:space="0"/>
            </w:tcBorders>
            <w:noWrap/>
            <w:vAlign w:val="center"/>
          </w:tcPr>
          <w:p w14:paraId="2CBB9B19">
            <w:pPr>
              <w:jc w:val="center"/>
              <w:textAlignment w:val="center"/>
              <w:rPr>
                <w:rFonts w:ascii="宋体" w:hAnsi="宋体" w:cs="宋体"/>
                <w:color w:val="auto"/>
                <w:sz w:val="24"/>
              </w:rPr>
            </w:pPr>
            <w:r>
              <w:rPr>
                <w:rFonts w:hint="eastAsia" w:ascii="宋体" w:hAnsi="宋体" w:cs="宋体"/>
                <w:color w:val="auto"/>
                <w:kern w:val="0"/>
                <w:sz w:val="22"/>
                <w:szCs w:val="22"/>
              </w:rPr>
              <w:t>75.5</w:t>
            </w:r>
          </w:p>
        </w:tc>
        <w:tc>
          <w:tcPr>
            <w:tcW w:w="1384" w:type="dxa"/>
            <w:tcBorders>
              <w:top w:val="nil"/>
              <w:left w:val="nil"/>
              <w:bottom w:val="single" w:color="auto" w:sz="4" w:space="0"/>
              <w:right w:val="single" w:color="auto" w:sz="4" w:space="0"/>
            </w:tcBorders>
            <w:noWrap/>
            <w:vAlign w:val="center"/>
          </w:tcPr>
          <w:p w14:paraId="545DE384">
            <w:pPr>
              <w:jc w:val="center"/>
              <w:textAlignment w:val="center"/>
              <w:rPr>
                <w:rFonts w:ascii="宋体" w:hAnsi="宋体" w:cs="宋体"/>
                <w:color w:val="auto"/>
                <w:sz w:val="24"/>
              </w:rPr>
            </w:pPr>
            <w:r>
              <w:rPr>
                <w:rFonts w:hint="eastAsia" w:ascii="宋体" w:hAnsi="宋体" w:cs="宋体"/>
                <w:color w:val="auto"/>
                <w:kern w:val="0"/>
                <w:sz w:val="22"/>
                <w:szCs w:val="22"/>
              </w:rPr>
              <w:t>4830</w:t>
            </w:r>
          </w:p>
        </w:tc>
      </w:tr>
      <w:tr w14:paraId="07272995">
        <w:tblPrEx>
          <w:tblCellMar>
            <w:top w:w="0" w:type="dxa"/>
            <w:left w:w="108" w:type="dxa"/>
            <w:bottom w:w="0" w:type="dxa"/>
            <w:right w:w="108" w:type="dxa"/>
          </w:tblCellMar>
        </w:tblPrEx>
        <w:trPr>
          <w:trHeight w:val="453" w:hRule="atLeast"/>
        </w:trPr>
        <w:tc>
          <w:tcPr>
            <w:tcW w:w="1762" w:type="dxa"/>
            <w:gridSpan w:val="2"/>
            <w:tcBorders>
              <w:top w:val="single" w:color="auto" w:sz="4" w:space="0"/>
              <w:left w:val="single" w:color="auto" w:sz="4" w:space="0"/>
              <w:bottom w:val="single" w:color="auto" w:sz="4" w:space="0"/>
              <w:right w:val="single" w:color="auto" w:sz="4" w:space="0"/>
            </w:tcBorders>
            <w:noWrap/>
            <w:vAlign w:val="center"/>
          </w:tcPr>
          <w:p w14:paraId="1BA961C8">
            <w:pPr>
              <w:jc w:val="center"/>
              <w:textAlignment w:val="center"/>
              <w:rPr>
                <w:rFonts w:ascii="宋体" w:hAnsi="宋体" w:cs="宋体"/>
                <w:b/>
                <w:bCs/>
                <w:color w:val="auto"/>
                <w:sz w:val="22"/>
                <w:szCs w:val="22"/>
              </w:rPr>
            </w:pPr>
            <w:r>
              <w:rPr>
                <w:rFonts w:hint="eastAsia" w:ascii="宋体" w:hAnsi="宋体" w:cs="宋体"/>
                <w:b/>
                <w:bCs/>
                <w:color w:val="auto"/>
                <w:kern w:val="0"/>
                <w:sz w:val="22"/>
                <w:szCs w:val="22"/>
              </w:rPr>
              <w:t>合计</w:t>
            </w:r>
          </w:p>
        </w:tc>
        <w:tc>
          <w:tcPr>
            <w:tcW w:w="642" w:type="dxa"/>
            <w:tcBorders>
              <w:top w:val="nil"/>
              <w:left w:val="nil"/>
              <w:bottom w:val="single" w:color="auto" w:sz="4" w:space="0"/>
              <w:right w:val="single" w:color="auto" w:sz="4" w:space="0"/>
            </w:tcBorders>
            <w:noWrap/>
            <w:vAlign w:val="center"/>
          </w:tcPr>
          <w:p w14:paraId="51D8F195">
            <w:pPr>
              <w:jc w:val="right"/>
              <w:textAlignment w:val="center"/>
              <w:rPr>
                <w:rFonts w:ascii="宋体" w:hAnsi="宋体" w:cs="宋体"/>
                <w:b/>
                <w:bCs/>
                <w:color w:val="auto"/>
                <w:sz w:val="24"/>
              </w:rPr>
            </w:pPr>
            <w:r>
              <w:rPr>
                <w:rFonts w:hint="eastAsia" w:ascii="宋体" w:hAnsi="宋体" w:cs="宋体"/>
                <w:color w:val="auto"/>
                <w:kern w:val="0"/>
                <w:sz w:val="22"/>
                <w:szCs w:val="22"/>
              </w:rPr>
              <w:t>695</w:t>
            </w:r>
          </w:p>
        </w:tc>
        <w:tc>
          <w:tcPr>
            <w:tcW w:w="641" w:type="dxa"/>
            <w:tcBorders>
              <w:top w:val="nil"/>
              <w:left w:val="nil"/>
              <w:bottom w:val="single" w:color="auto" w:sz="4" w:space="0"/>
              <w:right w:val="single" w:color="auto" w:sz="4" w:space="0"/>
            </w:tcBorders>
            <w:noWrap/>
            <w:vAlign w:val="center"/>
          </w:tcPr>
          <w:p w14:paraId="137E4095">
            <w:pPr>
              <w:jc w:val="right"/>
              <w:textAlignment w:val="center"/>
              <w:rPr>
                <w:rFonts w:ascii="宋体" w:hAnsi="宋体" w:cs="宋体"/>
                <w:b/>
                <w:bCs/>
                <w:color w:val="auto"/>
                <w:sz w:val="24"/>
              </w:rPr>
            </w:pPr>
            <w:r>
              <w:rPr>
                <w:rFonts w:hint="eastAsia" w:ascii="宋体" w:hAnsi="宋体" w:cs="宋体"/>
                <w:color w:val="auto"/>
                <w:kern w:val="0"/>
                <w:sz w:val="22"/>
                <w:szCs w:val="22"/>
              </w:rPr>
              <w:t>455</w:t>
            </w:r>
          </w:p>
        </w:tc>
        <w:tc>
          <w:tcPr>
            <w:tcW w:w="1089" w:type="dxa"/>
            <w:tcBorders>
              <w:top w:val="nil"/>
              <w:left w:val="nil"/>
              <w:bottom w:val="single" w:color="auto" w:sz="4" w:space="0"/>
              <w:right w:val="single" w:color="auto" w:sz="4" w:space="0"/>
            </w:tcBorders>
            <w:noWrap/>
            <w:vAlign w:val="center"/>
          </w:tcPr>
          <w:p w14:paraId="3DF8C2EC">
            <w:pPr>
              <w:jc w:val="right"/>
              <w:textAlignment w:val="center"/>
              <w:rPr>
                <w:rFonts w:ascii="宋体" w:hAnsi="宋体" w:cs="宋体"/>
                <w:b/>
                <w:bCs/>
                <w:color w:val="auto"/>
                <w:sz w:val="24"/>
              </w:rPr>
            </w:pPr>
            <w:r>
              <w:rPr>
                <w:rFonts w:hint="eastAsia" w:ascii="宋体" w:hAnsi="宋体" w:cs="宋体"/>
                <w:color w:val="auto"/>
                <w:kern w:val="0"/>
                <w:sz w:val="22"/>
                <w:szCs w:val="22"/>
              </w:rPr>
              <w:t>240</w:t>
            </w:r>
          </w:p>
        </w:tc>
        <w:tc>
          <w:tcPr>
            <w:tcW w:w="764" w:type="dxa"/>
            <w:tcBorders>
              <w:top w:val="nil"/>
              <w:left w:val="nil"/>
              <w:bottom w:val="single" w:color="auto" w:sz="4" w:space="0"/>
              <w:right w:val="single" w:color="auto" w:sz="4" w:space="0"/>
            </w:tcBorders>
            <w:noWrap/>
            <w:vAlign w:val="center"/>
          </w:tcPr>
          <w:p w14:paraId="50F71CA1">
            <w:pPr>
              <w:jc w:val="right"/>
              <w:textAlignment w:val="center"/>
              <w:rPr>
                <w:rFonts w:ascii="宋体" w:hAnsi="宋体" w:cs="宋体"/>
                <w:b/>
                <w:bCs/>
                <w:color w:val="auto"/>
                <w:sz w:val="22"/>
                <w:szCs w:val="22"/>
              </w:rPr>
            </w:pPr>
            <w:r>
              <w:rPr>
                <w:rFonts w:hint="eastAsia" w:ascii="宋体" w:hAnsi="宋体" w:cs="宋体"/>
                <w:color w:val="auto"/>
                <w:kern w:val="0"/>
                <w:sz w:val="22"/>
                <w:szCs w:val="22"/>
              </w:rPr>
              <w:t>815623.6232</w:t>
            </w:r>
          </w:p>
        </w:tc>
        <w:tc>
          <w:tcPr>
            <w:tcW w:w="706" w:type="dxa"/>
            <w:tcBorders>
              <w:top w:val="nil"/>
              <w:left w:val="nil"/>
              <w:bottom w:val="single" w:color="auto" w:sz="4" w:space="0"/>
              <w:right w:val="single" w:color="auto" w:sz="4" w:space="0"/>
            </w:tcBorders>
            <w:noWrap/>
            <w:vAlign w:val="center"/>
          </w:tcPr>
          <w:p w14:paraId="74088B58">
            <w:pPr>
              <w:jc w:val="right"/>
              <w:textAlignment w:val="center"/>
              <w:rPr>
                <w:rFonts w:ascii="宋体" w:hAnsi="宋体" w:cs="宋体"/>
                <w:b/>
                <w:bCs/>
                <w:color w:val="auto"/>
                <w:sz w:val="22"/>
                <w:szCs w:val="22"/>
              </w:rPr>
            </w:pPr>
            <w:r>
              <w:rPr>
                <w:rFonts w:hint="eastAsia" w:ascii="宋体" w:hAnsi="宋体" w:cs="宋体"/>
                <w:color w:val="auto"/>
                <w:kern w:val="0"/>
                <w:sz w:val="22"/>
                <w:szCs w:val="22"/>
              </w:rPr>
              <w:t>517726.9232</w:t>
            </w:r>
          </w:p>
        </w:tc>
        <w:tc>
          <w:tcPr>
            <w:tcW w:w="1029" w:type="dxa"/>
            <w:tcBorders>
              <w:top w:val="nil"/>
              <w:left w:val="nil"/>
              <w:bottom w:val="single" w:color="auto" w:sz="4" w:space="0"/>
              <w:right w:val="single" w:color="auto" w:sz="4" w:space="0"/>
            </w:tcBorders>
            <w:noWrap/>
            <w:vAlign w:val="center"/>
          </w:tcPr>
          <w:p w14:paraId="2AD70B1A">
            <w:pPr>
              <w:jc w:val="right"/>
              <w:textAlignment w:val="center"/>
              <w:rPr>
                <w:rFonts w:ascii="宋体" w:hAnsi="宋体" w:cs="宋体"/>
                <w:b/>
                <w:bCs/>
                <w:color w:val="auto"/>
                <w:sz w:val="22"/>
                <w:szCs w:val="22"/>
              </w:rPr>
            </w:pPr>
            <w:r>
              <w:rPr>
                <w:rFonts w:hint="eastAsia" w:ascii="宋体" w:hAnsi="宋体" w:cs="宋体"/>
                <w:color w:val="auto"/>
                <w:kern w:val="0"/>
                <w:sz w:val="22"/>
                <w:szCs w:val="22"/>
              </w:rPr>
              <w:t>297896.7</w:t>
            </w:r>
          </w:p>
        </w:tc>
        <w:tc>
          <w:tcPr>
            <w:tcW w:w="878" w:type="dxa"/>
            <w:tcBorders>
              <w:top w:val="nil"/>
              <w:left w:val="nil"/>
              <w:bottom w:val="single" w:color="auto" w:sz="4" w:space="0"/>
              <w:right w:val="single" w:color="auto" w:sz="4" w:space="0"/>
            </w:tcBorders>
            <w:noWrap/>
            <w:vAlign w:val="center"/>
          </w:tcPr>
          <w:p w14:paraId="471B7490">
            <w:pPr>
              <w:jc w:val="right"/>
              <w:textAlignment w:val="center"/>
              <w:rPr>
                <w:rFonts w:ascii="宋体" w:hAnsi="宋体" w:cs="宋体"/>
                <w:b/>
                <w:bCs/>
                <w:color w:val="auto"/>
                <w:sz w:val="24"/>
              </w:rPr>
            </w:pPr>
            <w:r>
              <w:rPr>
                <w:rFonts w:hint="eastAsia" w:ascii="宋体" w:hAnsi="宋体" w:cs="宋体"/>
                <w:color w:val="auto"/>
                <w:kern w:val="0"/>
                <w:sz w:val="22"/>
                <w:szCs w:val="22"/>
              </w:rPr>
              <w:t>4567446.091</w:t>
            </w:r>
          </w:p>
        </w:tc>
        <w:tc>
          <w:tcPr>
            <w:tcW w:w="878" w:type="dxa"/>
            <w:tcBorders>
              <w:top w:val="nil"/>
              <w:left w:val="nil"/>
              <w:bottom w:val="single" w:color="auto" w:sz="4" w:space="0"/>
              <w:right w:val="single" w:color="auto" w:sz="4" w:space="0"/>
            </w:tcBorders>
            <w:noWrap/>
            <w:vAlign w:val="center"/>
          </w:tcPr>
          <w:p w14:paraId="4FBEC0FA">
            <w:pPr>
              <w:jc w:val="right"/>
              <w:textAlignment w:val="center"/>
              <w:rPr>
                <w:rFonts w:ascii="宋体" w:hAnsi="宋体" w:cs="宋体"/>
                <w:b/>
                <w:bCs/>
                <w:color w:val="auto"/>
                <w:sz w:val="24"/>
              </w:rPr>
            </w:pPr>
            <w:r>
              <w:rPr>
                <w:rFonts w:hint="eastAsia" w:ascii="宋体" w:hAnsi="宋体" w:cs="宋体"/>
                <w:color w:val="auto"/>
                <w:kern w:val="0"/>
                <w:sz w:val="22"/>
                <w:szCs w:val="22"/>
              </w:rPr>
              <w:t>2789252.572</w:t>
            </w:r>
          </w:p>
        </w:tc>
        <w:tc>
          <w:tcPr>
            <w:tcW w:w="982" w:type="dxa"/>
            <w:tcBorders>
              <w:top w:val="nil"/>
              <w:left w:val="nil"/>
              <w:bottom w:val="single" w:color="auto" w:sz="4" w:space="0"/>
              <w:right w:val="single" w:color="auto" w:sz="4" w:space="0"/>
            </w:tcBorders>
            <w:noWrap/>
            <w:vAlign w:val="center"/>
          </w:tcPr>
          <w:p w14:paraId="20E7CCAB">
            <w:pPr>
              <w:jc w:val="right"/>
              <w:textAlignment w:val="center"/>
              <w:rPr>
                <w:rFonts w:ascii="宋体" w:hAnsi="宋体" w:cs="宋体"/>
                <w:b/>
                <w:bCs/>
                <w:color w:val="auto"/>
                <w:sz w:val="24"/>
              </w:rPr>
            </w:pPr>
            <w:r>
              <w:rPr>
                <w:rFonts w:hint="eastAsia" w:ascii="宋体" w:hAnsi="宋体" w:cs="宋体"/>
                <w:color w:val="auto"/>
                <w:kern w:val="0"/>
                <w:sz w:val="22"/>
                <w:szCs w:val="22"/>
              </w:rPr>
              <w:t>1778193.519</w:t>
            </w:r>
          </w:p>
        </w:tc>
        <w:tc>
          <w:tcPr>
            <w:tcW w:w="1115" w:type="dxa"/>
            <w:tcBorders>
              <w:top w:val="nil"/>
              <w:left w:val="nil"/>
              <w:bottom w:val="single" w:color="auto" w:sz="4" w:space="0"/>
              <w:right w:val="single" w:color="auto" w:sz="4" w:space="0"/>
            </w:tcBorders>
            <w:noWrap/>
            <w:vAlign w:val="center"/>
          </w:tcPr>
          <w:p w14:paraId="22615361">
            <w:pPr>
              <w:jc w:val="right"/>
              <w:textAlignment w:val="center"/>
              <w:rPr>
                <w:rFonts w:ascii="宋体" w:hAnsi="宋体" w:cs="宋体"/>
                <w:b/>
                <w:bCs/>
                <w:color w:val="auto"/>
                <w:sz w:val="24"/>
              </w:rPr>
            </w:pPr>
            <w:r>
              <w:rPr>
                <w:rFonts w:hint="eastAsia" w:ascii="宋体" w:hAnsi="宋体" w:cs="宋体"/>
                <w:color w:val="auto"/>
                <w:kern w:val="0"/>
                <w:sz w:val="22"/>
                <w:szCs w:val="22"/>
              </w:rPr>
              <w:t>9093.245</w:t>
            </w:r>
          </w:p>
        </w:tc>
        <w:tc>
          <w:tcPr>
            <w:tcW w:w="803" w:type="dxa"/>
            <w:tcBorders>
              <w:top w:val="nil"/>
              <w:left w:val="nil"/>
              <w:bottom w:val="single" w:color="auto" w:sz="4" w:space="0"/>
              <w:right w:val="single" w:color="auto" w:sz="4" w:space="0"/>
            </w:tcBorders>
            <w:noWrap/>
            <w:vAlign w:val="center"/>
          </w:tcPr>
          <w:p w14:paraId="557E01CE">
            <w:pPr>
              <w:jc w:val="right"/>
              <w:textAlignment w:val="center"/>
              <w:rPr>
                <w:rFonts w:ascii="宋体" w:hAnsi="宋体" w:cs="宋体"/>
                <w:b/>
                <w:bCs/>
                <w:color w:val="auto"/>
                <w:sz w:val="24"/>
              </w:rPr>
            </w:pPr>
            <w:r>
              <w:rPr>
                <w:rFonts w:hint="eastAsia" w:ascii="宋体" w:hAnsi="宋体" w:cs="宋体"/>
                <w:color w:val="auto"/>
                <w:kern w:val="0"/>
                <w:sz w:val="22"/>
                <w:szCs w:val="22"/>
              </w:rPr>
              <w:t>2671.305</w:t>
            </w:r>
          </w:p>
        </w:tc>
        <w:tc>
          <w:tcPr>
            <w:tcW w:w="1124" w:type="dxa"/>
            <w:tcBorders>
              <w:top w:val="nil"/>
              <w:left w:val="nil"/>
              <w:bottom w:val="single" w:color="auto" w:sz="4" w:space="0"/>
              <w:right w:val="single" w:color="auto" w:sz="4" w:space="0"/>
            </w:tcBorders>
            <w:noWrap/>
            <w:vAlign w:val="center"/>
          </w:tcPr>
          <w:p w14:paraId="25D700BF">
            <w:pPr>
              <w:jc w:val="right"/>
              <w:textAlignment w:val="center"/>
              <w:rPr>
                <w:rFonts w:ascii="宋体" w:hAnsi="宋体" w:cs="宋体"/>
                <w:b/>
                <w:bCs/>
                <w:color w:val="auto"/>
                <w:sz w:val="24"/>
              </w:rPr>
            </w:pPr>
            <w:r>
              <w:rPr>
                <w:rFonts w:hint="eastAsia" w:ascii="宋体" w:hAnsi="宋体" w:cs="宋体"/>
                <w:color w:val="auto"/>
                <w:kern w:val="0"/>
                <w:sz w:val="22"/>
                <w:szCs w:val="22"/>
              </w:rPr>
              <w:t>6421.94</w:t>
            </w:r>
          </w:p>
        </w:tc>
        <w:tc>
          <w:tcPr>
            <w:tcW w:w="1384" w:type="dxa"/>
            <w:tcBorders>
              <w:top w:val="nil"/>
              <w:left w:val="nil"/>
              <w:bottom w:val="single" w:color="auto" w:sz="4" w:space="0"/>
              <w:right w:val="single" w:color="auto" w:sz="4" w:space="0"/>
            </w:tcBorders>
            <w:noWrap/>
            <w:vAlign w:val="center"/>
          </w:tcPr>
          <w:p w14:paraId="7231FB56">
            <w:pPr>
              <w:jc w:val="right"/>
              <w:textAlignment w:val="center"/>
              <w:rPr>
                <w:rFonts w:ascii="宋体" w:hAnsi="宋体" w:cs="宋体"/>
                <w:b/>
                <w:bCs/>
                <w:color w:val="auto"/>
                <w:sz w:val="22"/>
                <w:szCs w:val="22"/>
              </w:rPr>
            </w:pPr>
            <w:r>
              <w:rPr>
                <w:rFonts w:hint="eastAsia" w:ascii="宋体" w:hAnsi="宋体" w:cs="宋体"/>
                <w:color w:val="auto"/>
                <w:kern w:val="0"/>
                <w:sz w:val="22"/>
                <w:szCs w:val="22"/>
              </w:rPr>
              <w:t>156993</w:t>
            </w:r>
          </w:p>
        </w:tc>
      </w:tr>
    </w:tbl>
    <w:p w14:paraId="40760043">
      <w:pPr>
        <w:rPr>
          <w:color w:val="auto"/>
        </w:rPr>
        <w:sectPr>
          <w:pgSz w:w="16838" w:h="11906" w:orient="landscape"/>
          <w:pgMar w:top="1800" w:right="1440" w:bottom="1800" w:left="1440" w:header="851" w:footer="992" w:gutter="0"/>
          <w:cols w:space="425" w:num="1"/>
          <w:docGrid w:type="lines" w:linePitch="312" w:charSpace="0"/>
        </w:sectPr>
      </w:pPr>
    </w:p>
    <w:p w14:paraId="2398B306">
      <w:pPr>
        <w:jc w:val="center"/>
        <w:rPr>
          <w:rFonts w:eastAsia="黑体" w:cs="黑体"/>
          <w:color w:val="auto"/>
          <w:sz w:val="30"/>
          <w:szCs w:val="30"/>
        </w:rPr>
      </w:pPr>
      <w:r>
        <w:rPr>
          <w:rFonts w:hint="eastAsia" w:eastAsia="黑体" w:cs="黑体"/>
          <w:color w:val="auto"/>
          <w:sz w:val="30"/>
          <w:szCs w:val="30"/>
          <w:lang w:eastAsia="zh-CN"/>
        </w:rPr>
        <w:t>2024-2028</w:t>
      </w:r>
      <w:r>
        <w:rPr>
          <w:rFonts w:hint="eastAsia" w:eastAsia="黑体" w:cs="黑体"/>
          <w:color w:val="auto"/>
          <w:sz w:val="30"/>
          <w:szCs w:val="30"/>
        </w:rPr>
        <w:t>年龙泉市竹初加工点建设规划详表</w:t>
      </w:r>
    </w:p>
    <w:tbl>
      <w:tblPr>
        <w:tblStyle w:val="21"/>
        <w:tblW w:w="4996" w:type="pct"/>
        <w:tblInd w:w="0" w:type="dxa"/>
        <w:tblLayout w:type="autofit"/>
        <w:tblCellMar>
          <w:top w:w="0" w:type="dxa"/>
          <w:left w:w="108" w:type="dxa"/>
          <w:bottom w:w="0" w:type="dxa"/>
          <w:right w:w="108" w:type="dxa"/>
        </w:tblCellMar>
      </w:tblPr>
      <w:tblGrid>
        <w:gridCol w:w="989"/>
        <w:gridCol w:w="1991"/>
        <w:gridCol w:w="1235"/>
        <w:gridCol w:w="1232"/>
        <w:gridCol w:w="1235"/>
        <w:gridCol w:w="1232"/>
        <w:gridCol w:w="1232"/>
        <w:gridCol w:w="1232"/>
        <w:gridCol w:w="1280"/>
        <w:gridCol w:w="1232"/>
        <w:gridCol w:w="1273"/>
      </w:tblGrid>
      <w:tr w14:paraId="4A08BCC8">
        <w:tblPrEx>
          <w:tblCellMar>
            <w:top w:w="0" w:type="dxa"/>
            <w:left w:w="108" w:type="dxa"/>
            <w:bottom w:w="0" w:type="dxa"/>
            <w:right w:w="108" w:type="dxa"/>
          </w:tblCellMar>
        </w:tblPrEx>
        <w:trPr>
          <w:trHeight w:val="285" w:hRule="atLeast"/>
        </w:trPr>
        <w:tc>
          <w:tcPr>
            <w:tcW w:w="34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1FAD4AA">
            <w:pPr>
              <w:jc w:val="center"/>
              <w:textAlignment w:val="center"/>
              <w:rPr>
                <w:rFonts w:ascii="宋体" w:hAnsi="宋体" w:cs="宋体"/>
                <w:b/>
                <w:bCs/>
                <w:color w:val="auto"/>
                <w:sz w:val="22"/>
                <w:szCs w:val="22"/>
              </w:rPr>
            </w:pPr>
            <w:r>
              <w:rPr>
                <w:rStyle w:val="43"/>
                <w:rFonts w:hint="default"/>
                <w:color w:val="auto"/>
              </w:rPr>
              <w:t>序号</w:t>
            </w:r>
          </w:p>
        </w:tc>
        <w:tc>
          <w:tcPr>
            <w:tcW w:w="703" w:type="pct"/>
            <w:vMerge w:val="restart"/>
            <w:tcBorders>
              <w:top w:val="single" w:color="000000" w:sz="8" w:space="0"/>
              <w:left w:val="nil"/>
              <w:bottom w:val="single" w:color="000000" w:sz="8" w:space="0"/>
              <w:right w:val="single" w:color="000000" w:sz="8" w:space="0"/>
            </w:tcBorders>
            <w:shd w:val="clear" w:color="auto" w:fill="auto"/>
            <w:vAlign w:val="center"/>
          </w:tcPr>
          <w:p w14:paraId="58EF9062">
            <w:pPr>
              <w:jc w:val="center"/>
              <w:textAlignment w:val="center"/>
              <w:rPr>
                <w:rFonts w:ascii="宋体" w:hAnsi="宋体" w:cs="宋体"/>
                <w:b/>
                <w:bCs/>
                <w:color w:val="auto"/>
                <w:sz w:val="22"/>
                <w:szCs w:val="22"/>
              </w:rPr>
            </w:pPr>
            <w:r>
              <w:rPr>
                <w:rStyle w:val="43"/>
                <w:rFonts w:hint="default"/>
                <w:color w:val="auto"/>
              </w:rPr>
              <w:t>加工点名称</w:t>
            </w:r>
          </w:p>
        </w:tc>
        <w:tc>
          <w:tcPr>
            <w:tcW w:w="436" w:type="pct"/>
            <w:tcBorders>
              <w:top w:val="single" w:color="000000" w:sz="8" w:space="0"/>
              <w:left w:val="nil"/>
              <w:bottom w:val="nil"/>
              <w:right w:val="single" w:color="000000" w:sz="8" w:space="0"/>
            </w:tcBorders>
            <w:shd w:val="clear" w:color="auto" w:fill="auto"/>
            <w:vAlign w:val="center"/>
          </w:tcPr>
          <w:p w14:paraId="4D16DA6D">
            <w:pPr>
              <w:jc w:val="center"/>
              <w:textAlignment w:val="center"/>
              <w:rPr>
                <w:rFonts w:ascii="宋体" w:hAnsi="宋体" w:cs="宋体"/>
                <w:b/>
                <w:bCs/>
                <w:color w:val="auto"/>
                <w:sz w:val="22"/>
                <w:szCs w:val="22"/>
              </w:rPr>
            </w:pPr>
            <w:r>
              <w:rPr>
                <w:rStyle w:val="43"/>
                <w:rFonts w:hint="default"/>
                <w:color w:val="auto"/>
              </w:rPr>
              <w:t>建设规模</w:t>
            </w:r>
          </w:p>
        </w:tc>
        <w:tc>
          <w:tcPr>
            <w:tcW w:w="435" w:type="pct"/>
            <w:vMerge w:val="restart"/>
            <w:tcBorders>
              <w:top w:val="single" w:color="000000" w:sz="8" w:space="0"/>
              <w:left w:val="nil"/>
              <w:bottom w:val="single" w:color="000000" w:sz="8" w:space="0"/>
              <w:right w:val="single" w:color="000000" w:sz="8" w:space="0"/>
            </w:tcBorders>
            <w:shd w:val="clear" w:color="auto" w:fill="auto"/>
            <w:vAlign w:val="center"/>
          </w:tcPr>
          <w:p w14:paraId="5A4DEA3D">
            <w:pPr>
              <w:jc w:val="center"/>
              <w:textAlignment w:val="center"/>
              <w:rPr>
                <w:rFonts w:ascii="宋体" w:hAnsi="宋体" w:cs="宋体"/>
                <w:b/>
                <w:bCs/>
                <w:color w:val="auto"/>
                <w:sz w:val="22"/>
                <w:szCs w:val="22"/>
              </w:rPr>
            </w:pPr>
            <w:r>
              <w:rPr>
                <w:rStyle w:val="43"/>
                <w:rFonts w:hint="default"/>
                <w:color w:val="auto"/>
              </w:rPr>
              <w:t>主要产品</w:t>
            </w:r>
          </w:p>
        </w:tc>
        <w:tc>
          <w:tcPr>
            <w:tcW w:w="436" w:type="pct"/>
            <w:vMerge w:val="restart"/>
            <w:tcBorders>
              <w:top w:val="single" w:color="000000" w:sz="8" w:space="0"/>
              <w:left w:val="nil"/>
              <w:bottom w:val="single" w:color="000000" w:sz="8" w:space="0"/>
              <w:right w:val="single" w:color="000000" w:sz="8" w:space="0"/>
            </w:tcBorders>
            <w:shd w:val="clear" w:color="auto" w:fill="auto"/>
            <w:vAlign w:val="center"/>
          </w:tcPr>
          <w:p w14:paraId="0A275E2B">
            <w:pPr>
              <w:jc w:val="center"/>
              <w:textAlignment w:val="center"/>
              <w:rPr>
                <w:rFonts w:ascii="宋体" w:hAnsi="宋体" w:cs="宋体"/>
                <w:b/>
                <w:bCs/>
                <w:color w:val="auto"/>
                <w:sz w:val="22"/>
                <w:szCs w:val="22"/>
              </w:rPr>
            </w:pPr>
            <w:r>
              <w:rPr>
                <w:rStyle w:val="43"/>
                <w:rFonts w:hint="default"/>
                <w:color w:val="auto"/>
              </w:rPr>
              <w:t>年生产量</w:t>
            </w:r>
          </w:p>
        </w:tc>
        <w:tc>
          <w:tcPr>
            <w:tcW w:w="435" w:type="pct"/>
            <w:vMerge w:val="restart"/>
            <w:tcBorders>
              <w:top w:val="single" w:color="000000" w:sz="8" w:space="0"/>
              <w:left w:val="nil"/>
              <w:bottom w:val="single" w:color="000000" w:sz="8" w:space="0"/>
              <w:right w:val="single" w:color="000000" w:sz="8" w:space="0"/>
            </w:tcBorders>
            <w:shd w:val="clear" w:color="auto" w:fill="auto"/>
            <w:vAlign w:val="center"/>
          </w:tcPr>
          <w:p w14:paraId="793A5DB1">
            <w:pPr>
              <w:jc w:val="center"/>
              <w:textAlignment w:val="center"/>
              <w:rPr>
                <w:rFonts w:ascii="宋体" w:hAnsi="宋体" w:cs="宋体"/>
                <w:b/>
                <w:bCs/>
                <w:color w:val="auto"/>
                <w:sz w:val="22"/>
                <w:szCs w:val="22"/>
              </w:rPr>
            </w:pPr>
            <w:r>
              <w:rPr>
                <w:rStyle w:val="43"/>
                <w:rFonts w:hint="default"/>
                <w:color w:val="auto"/>
              </w:rPr>
              <w:t>主要机器设备</w:t>
            </w:r>
          </w:p>
        </w:tc>
        <w:tc>
          <w:tcPr>
            <w:tcW w:w="435" w:type="pct"/>
            <w:tcBorders>
              <w:top w:val="single" w:color="000000" w:sz="8" w:space="0"/>
              <w:left w:val="nil"/>
              <w:bottom w:val="nil"/>
              <w:right w:val="single" w:color="000000" w:sz="8" w:space="0"/>
            </w:tcBorders>
            <w:shd w:val="clear" w:color="auto" w:fill="auto"/>
            <w:vAlign w:val="center"/>
          </w:tcPr>
          <w:p w14:paraId="35CCD495">
            <w:pPr>
              <w:jc w:val="center"/>
              <w:textAlignment w:val="center"/>
              <w:rPr>
                <w:rFonts w:ascii="宋体" w:hAnsi="宋体" w:cs="宋体"/>
                <w:b/>
                <w:bCs/>
                <w:color w:val="auto"/>
                <w:sz w:val="22"/>
                <w:szCs w:val="22"/>
              </w:rPr>
            </w:pPr>
            <w:r>
              <w:rPr>
                <w:rStyle w:val="43"/>
                <w:rFonts w:hint="default"/>
                <w:color w:val="auto"/>
              </w:rPr>
              <w:t>投资</w:t>
            </w:r>
          </w:p>
        </w:tc>
        <w:tc>
          <w:tcPr>
            <w:tcW w:w="435" w:type="pct"/>
            <w:vMerge w:val="restart"/>
            <w:tcBorders>
              <w:top w:val="single" w:color="000000" w:sz="8" w:space="0"/>
              <w:left w:val="nil"/>
              <w:bottom w:val="single" w:color="000000" w:sz="8" w:space="0"/>
              <w:right w:val="single" w:color="000000" w:sz="8" w:space="0"/>
            </w:tcBorders>
            <w:shd w:val="clear" w:color="auto" w:fill="auto"/>
            <w:vAlign w:val="center"/>
          </w:tcPr>
          <w:p w14:paraId="0820F5A4">
            <w:pPr>
              <w:jc w:val="center"/>
              <w:textAlignment w:val="center"/>
              <w:rPr>
                <w:rFonts w:ascii="宋体" w:hAnsi="宋体" w:cs="宋体"/>
                <w:b/>
                <w:bCs/>
                <w:color w:val="auto"/>
                <w:sz w:val="22"/>
                <w:szCs w:val="22"/>
              </w:rPr>
            </w:pPr>
            <w:r>
              <w:rPr>
                <w:rStyle w:val="43"/>
                <w:rFonts w:hint="default"/>
                <w:color w:val="auto"/>
              </w:rPr>
              <w:t>投资主体</w:t>
            </w:r>
          </w:p>
        </w:tc>
        <w:tc>
          <w:tcPr>
            <w:tcW w:w="452" w:type="pct"/>
            <w:vMerge w:val="restart"/>
            <w:tcBorders>
              <w:top w:val="single" w:color="000000" w:sz="8" w:space="0"/>
              <w:left w:val="nil"/>
              <w:bottom w:val="single" w:color="000000" w:sz="8" w:space="0"/>
              <w:right w:val="single" w:color="000000" w:sz="8" w:space="0"/>
            </w:tcBorders>
            <w:shd w:val="clear" w:color="auto" w:fill="auto"/>
            <w:vAlign w:val="center"/>
          </w:tcPr>
          <w:p w14:paraId="376FEBC6">
            <w:pPr>
              <w:jc w:val="center"/>
              <w:textAlignment w:val="center"/>
              <w:rPr>
                <w:rFonts w:ascii="宋体" w:hAnsi="宋体" w:cs="宋体"/>
                <w:b/>
                <w:bCs/>
                <w:color w:val="auto"/>
                <w:sz w:val="22"/>
                <w:szCs w:val="22"/>
              </w:rPr>
            </w:pPr>
            <w:r>
              <w:rPr>
                <w:rStyle w:val="43"/>
                <w:rFonts w:hint="default"/>
                <w:color w:val="auto"/>
              </w:rPr>
              <w:t>拟建年度</w:t>
            </w:r>
          </w:p>
        </w:tc>
        <w:tc>
          <w:tcPr>
            <w:tcW w:w="435" w:type="pct"/>
            <w:vMerge w:val="restart"/>
            <w:tcBorders>
              <w:top w:val="single" w:color="000000" w:sz="8" w:space="0"/>
              <w:left w:val="nil"/>
              <w:bottom w:val="single" w:color="000000" w:sz="8" w:space="0"/>
              <w:right w:val="single" w:color="000000" w:sz="8" w:space="0"/>
            </w:tcBorders>
            <w:shd w:val="clear" w:color="auto" w:fill="auto"/>
            <w:vAlign w:val="center"/>
          </w:tcPr>
          <w:p w14:paraId="5F269F4F">
            <w:pPr>
              <w:jc w:val="center"/>
              <w:textAlignment w:val="center"/>
              <w:rPr>
                <w:rFonts w:ascii="宋体" w:hAnsi="宋体" w:cs="宋体"/>
                <w:b/>
                <w:bCs/>
                <w:color w:val="auto"/>
                <w:sz w:val="22"/>
                <w:szCs w:val="22"/>
              </w:rPr>
            </w:pPr>
            <w:r>
              <w:rPr>
                <w:rStyle w:val="43"/>
                <w:rFonts w:hint="default"/>
                <w:color w:val="auto"/>
              </w:rPr>
              <w:t>行政村</w:t>
            </w:r>
          </w:p>
        </w:tc>
        <w:tc>
          <w:tcPr>
            <w:tcW w:w="441" w:type="pct"/>
            <w:vMerge w:val="restart"/>
            <w:tcBorders>
              <w:top w:val="single" w:color="000000" w:sz="8" w:space="0"/>
              <w:left w:val="nil"/>
              <w:bottom w:val="single" w:color="000000" w:sz="8" w:space="0"/>
              <w:right w:val="single" w:color="000000" w:sz="8" w:space="0"/>
            </w:tcBorders>
            <w:shd w:val="clear" w:color="auto" w:fill="auto"/>
            <w:vAlign w:val="center"/>
          </w:tcPr>
          <w:p w14:paraId="6AF059BB">
            <w:pPr>
              <w:jc w:val="center"/>
              <w:textAlignment w:val="center"/>
              <w:rPr>
                <w:rFonts w:ascii="宋体" w:hAnsi="宋体" w:cs="宋体"/>
                <w:b/>
                <w:bCs/>
                <w:color w:val="auto"/>
                <w:sz w:val="22"/>
                <w:szCs w:val="22"/>
              </w:rPr>
            </w:pPr>
            <w:r>
              <w:rPr>
                <w:rStyle w:val="43"/>
                <w:rFonts w:hint="default"/>
                <w:color w:val="auto"/>
              </w:rPr>
              <w:t>乡镇</w:t>
            </w:r>
          </w:p>
        </w:tc>
      </w:tr>
      <w:tr w14:paraId="1686CD92">
        <w:tblPrEx>
          <w:tblCellMar>
            <w:top w:w="0" w:type="dxa"/>
            <w:left w:w="108" w:type="dxa"/>
            <w:bottom w:w="0" w:type="dxa"/>
            <w:right w:w="108" w:type="dxa"/>
          </w:tblCellMar>
        </w:tblPrEx>
        <w:trPr>
          <w:trHeight w:val="285" w:hRule="atLeast"/>
        </w:trPr>
        <w:tc>
          <w:tcPr>
            <w:tcW w:w="3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D0FFDAB">
            <w:pPr>
              <w:jc w:val="center"/>
              <w:rPr>
                <w:rFonts w:ascii="宋体" w:hAnsi="宋体" w:cs="宋体"/>
                <w:b/>
                <w:bCs/>
                <w:color w:val="auto"/>
                <w:sz w:val="22"/>
                <w:szCs w:val="22"/>
              </w:rPr>
            </w:pPr>
          </w:p>
        </w:tc>
        <w:tc>
          <w:tcPr>
            <w:tcW w:w="703" w:type="pct"/>
            <w:vMerge w:val="continue"/>
            <w:tcBorders>
              <w:top w:val="single" w:color="000000" w:sz="8" w:space="0"/>
              <w:left w:val="nil"/>
              <w:bottom w:val="single" w:color="000000" w:sz="8" w:space="0"/>
              <w:right w:val="single" w:color="000000" w:sz="8" w:space="0"/>
            </w:tcBorders>
            <w:shd w:val="clear" w:color="auto" w:fill="auto"/>
            <w:vAlign w:val="center"/>
          </w:tcPr>
          <w:p w14:paraId="28A2EB76">
            <w:pPr>
              <w:jc w:val="center"/>
              <w:rPr>
                <w:rFonts w:ascii="宋体" w:hAnsi="宋体" w:cs="宋体"/>
                <w:b/>
                <w:bCs/>
                <w:color w:val="auto"/>
                <w:sz w:val="22"/>
                <w:szCs w:val="22"/>
              </w:rPr>
            </w:pPr>
          </w:p>
        </w:tc>
        <w:tc>
          <w:tcPr>
            <w:tcW w:w="436" w:type="pct"/>
            <w:tcBorders>
              <w:top w:val="nil"/>
              <w:left w:val="nil"/>
              <w:bottom w:val="single" w:color="000000" w:sz="8" w:space="0"/>
              <w:right w:val="single" w:color="000000" w:sz="8" w:space="0"/>
            </w:tcBorders>
            <w:shd w:val="clear" w:color="auto" w:fill="auto"/>
            <w:vAlign w:val="center"/>
          </w:tcPr>
          <w:p w14:paraId="137791EA">
            <w:pPr>
              <w:jc w:val="center"/>
              <w:textAlignment w:val="center"/>
              <w:rPr>
                <w:rFonts w:ascii="宋体" w:hAnsi="宋体" w:cs="宋体"/>
                <w:b/>
                <w:bCs/>
                <w:color w:val="auto"/>
                <w:sz w:val="22"/>
                <w:szCs w:val="22"/>
              </w:rPr>
            </w:pPr>
            <w:r>
              <w:rPr>
                <w:rStyle w:val="43"/>
                <w:rFonts w:hint="default"/>
                <w:color w:val="auto"/>
              </w:rPr>
              <w:t>（亩）</w:t>
            </w:r>
          </w:p>
        </w:tc>
        <w:tc>
          <w:tcPr>
            <w:tcW w:w="435" w:type="pct"/>
            <w:vMerge w:val="continue"/>
            <w:tcBorders>
              <w:top w:val="single" w:color="000000" w:sz="8" w:space="0"/>
              <w:left w:val="nil"/>
              <w:bottom w:val="single" w:color="000000" w:sz="8" w:space="0"/>
              <w:right w:val="single" w:color="000000" w:sz="8" w:space="0"/>
            </w:tcBorders>
            <w:shd w:val="clear" w:color="auto" w:fill="auto"/>
            <w:vAlign w:val="center"/>
          </w:tcPr>
          <w:p w14:paraId="61A9F0E9">
            <w:pPr>
              <w:jc w:val="center"/>
              <w:rPr>
                <w:rFonts w:ascii="宋体" w:hAnsi="宋体" w:cs="宋体"/>
                <w:b/>
                <w:bCs/>
                <w:color w:val="auto"/>
                <w:sz w:val="22"/>
                <w:szCs w:val="22"/>
              </w:rPr>
            </w:pPr>
          </w:p>
        </w:tc>
        <w:tc>
          <w:tcPr>
            <w:tcW w:w="436" w:type="pct"/>
            <w:vMerge w:val="continue"/>
            <w:tcBorders>
              <w:top w:val="single" w:color="000000" w:sz="8" w:space="0"/>
              <w:left w:val="nil"/>
              <w:bottom w:val="single" w:color="000000" w:sz="8" w:space="0"/>
              <w:right w:val="single" w:color="000000" w:sz="8" w:space="0"/>
            </w:tcBorders>
            <w:shd w:val="clear" w:color="auto" w:fill="auto"/>
            <w:vAlign w:val="center"/>
          </w:tcPr>
          <w:p w14:paraId="5839897E">
            <w:pPr>
              <w:jc w:val="center"/>
              <w:rPr>
                <w:rFonts w:ascii="宋体" w:hAnsi="宋体" w:cs="宋体"/>
                <w:b/>
                <w:bCs/>
                <w:color w:val="auto"/>
                <w:sz w:val="22"/>
                <w:szCs w:val="22"/>
              </w:rPr>
            </w:pPr>
          </w:p>
        </w:tc>
        <w:tc>
          <w:tcPr>
            <w:tcW w:w="435" w:type="pct"/>
            <w:vMerge w:val="continue"/>
            <w:tcBorders>
              <w:top w:val="single" w:color="000000" w:sz="8" w:space="0"/>
              <w:left w:val="nil"/>
              <w:bottom w:val="single" w:color="000000" w:sz="8" w:space="0"/>
              <w:right w:val="single" w:color="000000" w:sz="8" w:space="0"/>
            </w:tcBorders>
            <w:shd w:val="clear" w:color="auto" w:fill="auto"/>
            <w:vAlign w:val="center"/>
          </w:tcPr>
          <w:p w14:paraId="7F373FFB">
            <w:pPr>
              <w:jc w:val="center"/>
              <w:rPr>
                <w:rFonts w:ascii="宋体" w:hAnsi="宋体" w:cs="宋体"/>
                <w:b/>
                <w:bCs/>
                <w:color w:val="auto"/>
                <w:sz w:val="22"/>
                <w:szCs w:val="22"/>
              </w:rPr>
            </w:pPr>
          </w:p>
        </w:tc>
        <w:tc>
          <w:tcPr>
            <w:tcW w:w="435" w:type="pct"/>
            <w:tcBorders>
              <w:top w:val="nil"/>
              <w:left w:val="nil"/>
              <w:bottom w:val="single" w:color="000000" w:sz="8" w:space="0"/>
              <w:right w:val="single" w:color="000000" w:sz="8" w:space="0"/>
            </w:tcBorders>
            <w:shd w:val="clear" w:color="auto" w:fill="auto"/>
            <w:vAlign w:val="center"/>
          </w:tcPr>
          <w:p w14:paraId="2171E14C">
            <w:pPr>
              <w:jc w:val="center"/>
              <w:textAlignment w:val="center"/>
              <w:rPr>
                <w:rFonts w:ascii="宋体" w:hAnsi="宋体" w:cs="宋体"/>
                <w:b/>
                <w:bCs/>
                <w:color w:val="auto"/>
                <w:sz w:val="22"/>
                <w:szCs w:val="22"/>
              </w:rPr>
            </w:pPr>
            <w:r>
              <w:rPr>
                <w:rStyle w:val="43"/>
                <w:rFonts w:hint="default"/>
                <w:color w:val="auto"/>
              </w:rPr>
              <w:t>（万元）</w:t>
            </w:r>
          </w:p>
        </w:tc>
        <w:tc>
          <w:tcPr>
            <w:tcW w:w="435" w:type="pct"/>
            <w:vMerge w:val="continue"/>
            <w:tcBorders>
              <w:top w:val="single" w:color="000000" w:sz="8" w:space="0"/>
              <w:left w:val="nil"/>
              <w:bottom w:val="single" w:color="000000" w:sz="8" w:space="0"/>
              <w:right w:val="single" w:color="000000" w:sz="8" w:space="0"/>
            </w:tcBorders>
            <w:shd w:val="clear" w:color="auto" w:fill="auto"/>
            <w:vAlign w:val="center"/>
          </w:tcPr>
          <w:p w14:paraId="043EAF81">
            <w:pPr>
              <w:jc w:val="center"/>
              <w:rPr>
                <w:rFonts w:ascii="宋体" w:hAnsi="宋体" w:cs="宋体"/>
                <w:b/>
                <w:bCs/>
                <w:color w:val="auto"/>
                <w:sz w:val="22"/>
                <w:szCs w:val="22"/>
              </w:rPr>
            </w:pPr>
          </w:p>
        </w:tc>
        <w:tc>
          <w:tcPr>
            <w:tcW w:w="452" w:type="pct"/>
            <w:vMerge w:val="continue"/>
            <w:tcBorders>
              <w:top w:val="single" w:color="000000" w:sz="8" w:space="0"/>
              <w:left w:val="nil"/>
              <w:bottom w:val="single" w:color="000000" w:sz="8" w:space="0"/>
              <w:right w:val="single" w:color="000000" w:sz="8" w:space="0"/>
            </w:tcBorders>
            <w:shd w:val="clear" w:color="auto" w:fill="auto"/>
            <w:vAlign w:val="center"/>
          </w:tcPr>
          <w:p w14:paraId="4D17EDDB">
            <w:pPr>
              <w:jc w:val="center"/>
              <w:rPr>
                <w:rFonts w:ascii="宋体" w:hAnsi="宋体" w:cs="宋体"/>
                <w:b/>
                <w:bCs/>
                <w:color w:val="auto"/>
                <w:sz w:val="22"/>
                <w:szCs w:val="22"/>
              </w:rPr>
            </w:pPr>
          </w:p>
        </w:tc>
        <w:tc>
          <w:tcPr>
            <w:tcW w:w="435" w:type="pct"/>
            <w:vMerge w:val="continue"/>
            <w:tcBorders>
              <w:top w:val="single" w:color="000000" w:sz="8" w:space="0"/>
              <w:left w:val="nil"/>
              <w:bottom w:val="single" w:color="000000" w:sz="8" w:space="0"/>
              <w:right w:val="single" w:color="000000" w:sz="8" w:space="0"/>
            </w:tcBorders>
            <w:shd w:val="clear" w:color="auto" w:fill="auto"/>
            <w:vAlign w:val="center"/>
          </w:tcPr>
          <w:p w14:paraId="7E88B26F">
            <w:pPr>
              <w:jc w:val="center"/>
              <w:rPr>
                <w:rFonts w:ascii="宋体" w:hAnsi="宋体" w:cs="宋体"/>
                <w:b/>
                <w:bCs/>
                <w:color w:val="auto"/>
                <w:sz w:val="22"/>
                <w:szCs w:val="22"/>
              </w:rPr>
            </w:pPr>
          </w:p>
        </w:tc>
        <w:tc>
          <w:tcPr>
            <w:tcW w:w="441" w:type="pct"/>
            <w:vMerge w:val="continue"/>
            <w:tcBorders>
              <w:top w:val="single" w:color="000000" w:sz="8" w:space="0"/>
              <w:left w:val="nil"/>
              <w:bottom w:val="single" w:color="000000" w:sz="8" w:space="0"/>
              <w:right w:val="single" w:color="000000" w:sz="8" w:space="0"/>
            </w:tcBorders>
            <w:shd w:val="clear" w:color="auto" w:fill="auto"/>
            <w:vAlign w:val="center"/>
          </w:tcPr>
          <w:p w14:paraId="3AE2748B">
            <w:pPr>
              <w:jc w:val="center"/>
              <w:rPr>
                <w:rFonts w:ascii="宋体" w:hAnsi="宋体" w:cs="宋体"/>
                <w:b/>
                <w:bCs/>
                <w:color w:val="auto"/>
                <w:sz w:val="22"/>
                <w:szCs w:val="22"/>
              </w:rPr>
            </w:pPr>
          </w:p>
        </w:tc>
      </w:tr>
      <w:tr w14:paraId="316072E2">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E1D1F56">
            <w:pPr>
              <w:jc w:val="center"/>
              <w:textAlignment w:val="center"/>
              <w:rPr>
                <w:rFonts w:ascii="宋体" w:hAnsi="宋体" w:cs="宋体"/>
                <w:color w:val="auto"/>
                <w:sz w:val="22"/>
                <w:szCs w:val="22"/>
              </w:rPr>
            </w:pPr>
            <w:r>
              <w:rPr>
                <w:rFonts w:hint="eastAsia" w:ascii="宋体" w:hAnsi="宋体" w:cs="宋体"/>
                <w:color w:val="auto"/>
                <w:kern w:val="0"/>
                <w:sz w:val="22"/>
                <w:szCs w:val="22"/>
              </w:rPr>
              <w:t>1</w:t>
            </w:r>
          </w:p>
        </w:tc>
        <w:tc>
          <w:tcPr>
            <w:tcW w:w="703" w:type="pct"/>
            <w:tcBorders>
              <w:top w:val="nil"/>
              <w:left w:val="nil"/>
              <w:bottom w:val="single" w:color="000000" w:sz="8" w:space="0"/>
              <w:right w:val="single" w:color="000000" w:sz="8" w:space="0"/>
            </w:tcBorders>
            <w:shd w:val="clear" w:color="auto" w:fill="auto"/>
            <w:vAlign w:val="center"/>
          </w:tcPr>
          <w:p w14:paraId="46D9E6BE">
            <w:pPr>
              <w:jc w:val="center"/>
              <w:textAlignment w:val="center"/>
              <w:rPr>
                <w:rFonts w:ascii="宋体" w:hAnsi="宋体" w:cs="宋体"/>
                <w:color w:val="auto"/>
                <w:sz w:val="20"/>
                <w:szCs w:val="20"/>
              </w:rPr>
            </w:pPr>
            <w:r>
              <w:rPr>
                <w:rStyle w:val="44"/>
                <w:rFonts w:hint="default"/>
                <w:color w:val="auto"/>
              </w:rPr>
              <w:t>大坑公路外加工点</w:t>
            </w:r>
          </w:p>
        </w:tc>
        <w:tc>
          <w:tcPr>
            <w:tcW w:w="436" w:type="pct"/>
            <w:tcBorders>
              <w:top w:val="nil"/>
              <w:left w:val="nil"/>
              <w:bottom w:val="single" w:color="000000" w:sz="8" w:space="0"/>
              <w:right w:val="single" w:color="000000" w:sz="8" w:space="0"/>
            </w:tcBorders>
            <w:shd w:val="clear" w:color="auto" w:fill="auto"/>
            <w:vAlign w:val="center"/>
          </w:tcPr>
          <w:p w14:paraId="67CB459D">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3E5D4D50">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1167C447">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77279354">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273DCF48">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35C2D3F9">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26F181DA">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6ADA78D2">
            <w:pPr>
              <w:jc w:val="center"/>
              <w:textAlignment w:val="center"/>
              <w:rPr>
                <w:rFonts w:ascii="宋体" w:hAnsi="宋体" w:cs="宋体"/>
                <w:color w:val="auto"/>
                <w:sz w:val="20"/>
                <w:szCs w:val="20"/>
              </w:rPr>
            </w:pPr>
            <w:r>
              <w:rPr>
                <w:rStyle w:val="44"/>
                <w:rFonts w:hint="default"/>
                <w:color w:val="auto"/>
              </w:rPr>
              <w:t>临江村</w:t>
            </w:r>
          </w:p>
        </w:tc>
        <w:tc>
          <w:tcPr>
            <w:tcW w:w="441" w:type="pct"/>
            <w:tcBorders>
              <w:top w:val="nil"/>
              <w:left w:val="nil"/>
              <w:bottom w:val="single" w:color="000000" w:sz="8" w:space="0"/>
              <w:right w:val="single" w:color="000000" w:sz="8" w:space="0"/>
            </w:tcBorders>
            <w:shd w:val="clear" w:color="auto" w:fill="auto"/>
            <w:vAlign w:val="center"/>
          </w:tcPr>
          <w:p w14:paraId="5CB0893E">
            <w:pPr>
              <w:jc w:val="center"/>
              <w:textAlignment w:val="center"/>
              <w:rPr>
                <w:rFonts w:ascii="宋体" w:hAnsi="宋体" w:cs="宋体"/>
                <w:color w:val="auto"/>
                <w:sz w:val="20"/>
                <w:szCs w:val="20"/>
              </w:rPr>
            </w:pPr>
            <w:r>
              <w:rPr>
                <w:rStyle w:val="44"/>
                <w:rFonts w:hint="default"/>
                <w:color w:val="auto"/>
              </w:rPr>
              <w:t>龙渊街道</w:t>
            </w:r>
          </w:p>
        </w:tc>
      </w:tr>
      <w:tr w14:paraId="6BD766F4">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678FEB5E">
            <w:pPr>
              <w:jc w:val="center"/>
              <w:rPr>
                <w:rFonts w:ascii="宋体" w:hAnsi="宋体" w:cs="宋体"/>
                <w:color w:val="auto"/>
                <w:sz w:val="20"/>
                <w:szCs w:val="20"/>
              </w:rPr>
            </w:pPr>
          </w:p>
        </w:tc>
      </w:tr>
      <w:tr w14:paraId="291015B6">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CCF7F33">
            <w:pPr>
              <w:jc w:val="center"/>
              <w:textAlignment w:val="center"/>
              <w:rPr>
                <w:rFonts w:ascii="宋体" w:hAnsi="宋体" w:cs="宋体"/>
                <w:color w:val="auto"/>
                <w:sz w:val="22"/>
                <w:szCs w:val="22"/>
              </w:rPr>
            </w:pPr>
            <w:r>
              <w:rPr>
                <w:rFonts w:hint="eastAsia" w:ascii="宋体" w:hAnsi="宋体" w:cs="宋体"/>
                <w:color w:val="auto"/>
                <w:kern w:val="0"/>
                <w:sz w:val="22"/>
                <w:szCs w:val="22"/>
              </w:rPr>
              <w:t>2</w:t>
            </w:r>
          </w:p>
        </w:tc>
        <w:tc>
          <w:tcPr>
            <w:tcW w:w="703" w:type="pct"/>
            <w:tcBorders>
              <w:top w:val="nil"/>
              <w:left w:val="nil"/>
              <w:bottom w:val="single" w:color="000000" w:sz="8" w:space="0"/>
              <w:right w:val="single" w:color="000000" w:sz="8" w:space="0"/>
            </w:tcBorders>
            <w:shd w:val="clear" w:color="auto" w:fill="auto"/>
            <w:vAlign w:val="center"/>
          </w:tcPr>
          <w:p w14:paraId="5194C3D6">
            <w:pPr>
              <w:jc w:val="center"/>
              <w:textAlignment w:val="center"/>
              <w:rPr>
                <w:rFonts w:ascii="宋体" w:hAnsi="宋体" w:cs="宋体"/>
                <w:color w:val="auto"/>
                <w:sz w:val="20"/>
                <w:szCs w:val="20"/>
              </w:rPr>
            </w:pPr>
            <w:r>
              <w:rPr>
                <w:rStyle w:val="44"/>
                <w:rFonts w:hint="default"/>
                <w:color w:val="auto"/>
              </w:rPr>
              <w:t>公路边竹木加工点</w:t>
            </w:r>
          </w:p>
        </w:tc>
        <w:tc>
          <w:tcPr>
            <w:tcW w:w="436" w:type="pct"/>
            <w:tcBorders>
              <w:top w:val="nil"/>
              <w:left w:val="nil"/>
              <w:bottom w:val="single" w:color="000000" w:sz="8" w:space="0"/>
              <w:right w:val="single" w:color="000000" w:sz="8" w:space="0"/>
            </w:tcBorders>
            <w:shd w:val="clear" w:color="auto" w:fill="auto"/>
            <w:vAlign w:val="center"/>
          </w:tcPr>
          <w:p w14:paraId="6DE8231D">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1DEDB2A3">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657CD013">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6357C46B">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7B81BF30">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457A032C">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75083F3D">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32AFA205">
            <w:pPr>
              <w:jc w:val="center"/>
              <w:textAlignment w:val="center"/>
              <w:rPr>
                <w:rFonts w:ascii="宋体" w:hAnsi="宋体" w:cs="宋体"/>
                <w:color w:val="auto"/>
                <w:sz w:val="20"/>
                <w:szCs w:val="20"/>
              </w:rPr>
            </w:pPr>
            <w:r>
              <w:rPr>
                <w:rStyle w:val="44"/>
                <w:rFonts w:hint="default"/>
                <w:color w:val="auto"/>
              </w:rPr>
              <w:t>芳野村</w:t>
            </w:r>
          </w:p>
        </w:tc>
        <w:tc>
          <w:tcPr>
            <w:tcW w:w="441" w:type="pct"/>
            <w:tcBorders>
              <w:top w:val="nil"/>
              <w:left w:val="nil"/>
              <w:bottom w:val="single" w:color="000000" w:sz="8" w:space="0"/>
              <w:right w:val="single" w:color="000000" w:sz="8" w:space="0"/>
            </w:tcBorders>
            <w:shd w:val="clear" w:color="auto" w:fill="auto"/>
            <w:vAlign w:val="center"/>
          </w:tcPr>
          <w:p w14:paraId="2FE182D3">
            <w:pPr>
              <w:jc w:val="center"/>
              <w:textAlignment w:val="center"/>
              <w:rPr>
                <w:rFonts w:ascii="宋体" w:hAnsi="宋体" w:cs="宋体"/>
                <w:color w:val="auto"/>
                <w:sz w:val="20"/>
                <w:szCs w:val="20"/>
              </w:rPr>
            </w:pPr>
            <w:r>
              <w:rPr>
                <w:rStyle w:val="44"/>
                <w:rFonts w:hint="default"/>
                <w:color w:val="auto"/>
              </w:rPr>
              <w:t>剑池街道</w:t>
            </w:r>
          </w:p>
        </w:tc>
      </w:tr>
      <w:tr w14:paraId="7EB5B7C5">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49C5F33D">
            <w:pPr>
              <w:jc w:val="center"/>
              <w:rPr>
                <w:rFonts w:ascii="宋体" w:hAnsi="宋体" w:cs="宋体"/>
                <w:color w:val="auto"/>
                <w:sz w:val="20"/>
                <w:szCs w:val="20"/>
              </w:rPr>
            </w:pPr>
          </w:p>
        </w:tc>
      </w:tr>
      <w:tr w14:paraId="067E1924">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0DEBDED0">
            <w:pPr>
              <w:jc w:val="center"/>
              <w:textAlignment w:val="center"/>
              <w:rPr>
                <w:rFonts w:ascii="宋体" w:hAnsi="宋体" w:cs="宋体"/>
                <w:color w:val="auto"/>
                <w:sz w:val="22"/>
                <w:szCs w:val="22"/>
              </w:rPr>
            </w:pPr>
            <w:r>
              <w:rPr>
                <w:rFonts w:hint="eastAsia" w:ascii="宋体" w:hAnsi="宋体" w:cs="宋体"/>
                <w:color w:val="auto"/>
                <w:kern w:val="0"/>
                <w:sz w:val="22"/>
                <w:szCs w:val="22"/>
              </w:rPr>
              <w:t>3</w:t>
            </w:r>
          </w:p>
        </w:tc>
        <w:tc>
          <w:tcPr>
            <w:tcW w:w="703" w:type="pct"/>
            <w:tcBorders>
              <w:top w:val="nil"/>
              <w:left w:val="nil"/>
              <w:bottom w:val="single" w:color="000000" w:sz="8" w:space="0"/>
              <w:right w:val="single" w:color="000000" w:sz="8" w:space="0"/>
            </w:tcBorders>
            <w:shd w:val="clear" w:color="auto" w:fill="auto"/>
            <w:vAlign w:val="center"/>
          </w:tcPr>
          <w:p w14:paraId="46E5341C">
            <w:pPr>
              <w:jc w:val="center"/>
              <w:textAlignment w:val="center"/>
              <w:rPr>
                <w:rFonts w:ascii="宋体" w:hAnsi="宋体" w:cs="宋体"/>
                <w:color w:val="auto"/>
                <w:sz w:val="20"/>
                <w:szCs w:val="20"/>
              </w:rPr>
            </w:pPr>
            <w:r>
              <w:rPr>
                <w:rStyle w:val="44"/>
                <w:rFonts w:hint="default"/>
                <w:color w:val="auto"/>
              </w:rPr>
              <w:t>公路边竹木加工点</w:t>
            </w:r>
          </w:p>
        </w:tc>
        <w:tc>
          <w:tcPr>
            <w:tcW w:w="436" w:type="pct"/>
            <w:tcBorders>
              <w:top w:val="nil"/>
              <w:left w:val="nil"/>
              <w:bottom w:val="single" w:color="000000" w:sz="8" w:space="0"/>
              <w:right w:val="single" w:color="000000" w:sz="8" w:space="0"/>
            </w:tcBorders>
            <w:shd w:val="clear" w:color="auto" w:fill="auto"/>
            <w:vAlign w:val="center"/>
          </w:tcPr>
          <w:p w14:paraId="3A6A5200">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1DF17ACD">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61572EE0">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0721CEBD">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0641171E">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4808A254">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0261A4D6">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459471BD">
            <w:pPr>
              <w:jc w:val="center"/>
              <w:textAlignment w:val="center"/>
              <w:rPr>
                <w:rFonts w:ascii="宋体" w:hAnsi="宋体" w:cs="宋体"/>
                <w:color w:val="auto"/>
                <w:sz w:val="20"/>
                <w:szCs w:val="20"/>
              </w:rPr>
            </w:pPr>
            <w:r>
              <w:rPr>
                <w:rStyle w:val="45"/>
                <w:rFonts w:hint="default"/>
                <w:color w:val="auto"/>
              </w:rPr>
              <w:t>联新村</w:t>
            </w:r>
          </w:p>
        </w:tc>
        <w:tc>
          <w:tcPr>
            <w:tcW w:w="441" w:type="pct"/>
            <w:tcBorders>
              <w:top w:val="nil"/>
              <w:left w:val="nil"/>
              <w:bottom w:val="single" w:color="000000" w:sz="8" w:space="0"/>
              <w:right w:val="single" w:color="000000" w:sz="8" w:space="0"/>
            </w:tcBorders>
            <w:shd w:val="clear" w:color="auto" w:fill="auto"/>
            <w:vAlign w:val="center"/>
          </w:tcPr>
          <w:p w14:paraId="257FDDB4">
            <w:pPr>
              <w:jc w:val="center"/>
              <w:textAlignment w:val="center"/>
              <w:rPr>
                <w:rFonts w:ascii="宋体" w:hAnsi="宋体" w:cs="宋体"/>
                <w:color w:val="auto"/>
                <w:sz w:val="20"/>
                <w:szCs w:val="20"/>
              </w:rPr>
            </w:pPr>
            <w:r>
              <w:rPr>
                <w:rStyle w:val="44"/>
                <w:rFonts w:hint="default"/>
                <w:color w:val="auto"/>
              </w:rPr>
              <w:t>西街街道</w:t>
            </w:r>
          </w:p>
        </w:tc>
      </w:tr>
      <w:tr w14:paraId="6C3F437D">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76211B3E">
            <w:pPr>
              <w:jc w:val="center"/>
              <w:rPr>
                <w:rFonts w:ascii="宋体" w:hAnsi="宋体" w:cs="宋体"/>
                <w:color w:val="auto"/>
                <w:sz w:val="20"/>
                <w:szCs w:val="20"/>
              </w:rPr>
            </w:pPr>
          </w:p>
        </w:tc>
      </w:tr>
      <w:tr w14:paraId="0542E87A">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792DB690">
            <w:pPr>
              <w:jc w:val="center"/>
              <w:textAlignment w:val="center"/>
              <w:rPr>
                <w:rFonts w:ascii="宋体" w:hAnsi="宋体" w:cs="宋体"/>
                <w:color w:val="auto"/>
                <w:sz w:val="22"/>
                <w:szCs w:val="22"/>
              </w:rPr>
            </w:pPr>
            <w:r>
              <w:rPr>
                <w:rFonts w:hint="eastAsia" w:ascii="宋体" w:hAnsi="宋体" w:cs="宋体"/>
                <w:color w:val="auto"/>
                <w:kern w:val="0"/>
                <w:sz w:val="22"/>
                <w:szCs w:val="22"/>
              </w:rPr>
              <w:t>4</w:t>
            </w:r>
          </w:p>
        </w:tc>
        <w:tc>
          <w:tcPr>
            <w:tcW w:w="703" w:type="pct"/>
            <w:tcBorders>
              <w:top w:val="nil"/>
              <w:left w:val="nil"/>
              <w:bottom w:val="single" w:color="000000" w:sz="8" w:space="0"/>
              <w:right w:val="single" w:color="000000" w:sz="8" w:space="0"/>
            </w:tcBorders>
            <w:shd w:val="clear" w:color="auto" w:fill="auto"/>
            <w:vAlign w:val="center"/>
          </w:tcPr>
          <w:p w14:paraId="0FF883DD">
            <w:pPr>
              <w:jc w:val="center"/>
              <w:textAlignment w:val="center"/>
              <w:rPr>
                <w:rFonts w:ascii="宋体" w:hAnsi="宋体" w:cs="宋体"/>
                <w:color w:val="auto"/>
                <w:sz w:val="20"/>
                <w:szCs w:val="20"/>
              </w:rPr>
            </w:pPr>
            <w:r>
              <w:rPr>
                <w:rStyle w:val="44"/>
                <w:rFonts w:hint="default"/>
                <w:color w:val="auto"/>
              </w:rPr>
              <w:t>夫人圩竹木加工厂</w:t>
            </w:r>
          </w:p>
        </w:tc>
        <w:tc>
          <w:tcPr>
            <w:tcW w:w="436" w:type="pct"/>
            <w:tcBorders>
              <w:top w:val="nil"/>
              <w:left w:val="nil"/>
              <w:bottom w:val="single" w:color="000000" w:sz="8" w:space="0"/>
              <w:right w:val="single" w:color="000000" w:sz="8" w:space="0"/>
            </w:tcBorders>
            <w:shd w:val="clear" w:color="auto" w:fill="auto"/>
            <w:vAlign w:val="center"/>
          </w:tcPr>
          <w:p w14:paraId="28146578">
            <w:pPr>
              <w:jc w:val="center"/>
              <w:textAlignment w:val="center"/>
              <w:rPr>
                <w:rFonts w:ascii="宋体" w:hAnsi="宋体" w:cs="宋体"/>
                <w:color w:val="auto"/>
                <w:sz w:val="20"/>
                <w:szCs w:val="20"/>
              </w:rPr>
            </w:pPr>
            <w:r>
              <w:rPr>
                <w:rFonts w:hint="eastAsia" w:ascii="宋体" w:hAnsi="宋体" w:cs="宋体"/>
                <w:color w:val="auto"/>
                <w:kern w:val="0"/>
                <w:sz w:val="20"/>
                <w:szCs w:val="20"/>
              </w:rPr>
              <w:t>8</w:t>
            </w:r>
          </w:p>
        </w:tc>
        <w:tc>
          <w:tcPr>
            <w:tcW w:w="435" w:type="pct"/>
            <w:tcBorders>
              <w:top w:val="nil"/>
              <w:left w:val="nil"/>
              <w:bottom w:val="single" w:color="000000" w:sz="8" w:space="0"/>
              <w:right w:val="single" w:color="000000" w:sz="8" w:space="0"/>
            </w:tcBorders>
            <w:shd w:val="clear" w:color="auto" w:fill="auto"/>
            <w:vAlign w:val="center"/>
          </w:tcPr>
          <w:p w14:paraId="4516C20B">
            <w:pPr>
              <w:jc w:val="center"/>
              <w:textAlignment w:val="center"/>
              <w:rPr>
                <w:rFonts w:ascii="宋体" w:hAnsi="宋体" w:cs="宋体"/>
                <w:color w:val="auto"/>
                <w:sz w:val="20"/>
                <w:szCs w:val="20"/>
              </w:rPr>
            </w:pPr>
            <w:r>
              <w:rPr>
                <w:rStyle w:val="44"/>
                <w:rFonts w:hint="default"/>
                <w:color w:val="auto"/>
              </w:rPr>
              <w:t>竹木加工</w:t>
            </w:r>
          </w:p>
        </w:tc>
        <w:tc>
          <w:tcPr>
            <w:tcW w:w="436" w:type="pct"/>
            <w:tcBorders>
              <w:top w:val="nil"/>
              <w:left w:val="nil"/>
              <w:bottom w:val="single" w:color="000000" w:sz="8" w:space="0"/>
              <w:right w:val="single" w:color="000000" w:sz="8" w:space="0"/>
            </w:tcBorders>
            <w:shd w:val="clear" w:color="auto" w:fill="auto"/>
            <w:vAlign w:val="center"/>
          </w:tcPr>
          <w:p w14:paraId="0EF18CB6">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56B7D261">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0DAB56D0">
            <w:pPr>
              <w:jc w:val="center"/>
              <w:textAlignment w:val="center"/>
              <w:rPr>
                <w:rFonts w:ascii="宋体" w:hAnsi="宋体" w:cs="宋体"/>
                <w:color w:val="auto"/>
                <w:sz w:val="20"/>
                <w:szCs w:val="20"/>
              </w:rPr>
            </w:pPr>
            <w:r>
              <w:rPr>
                <w:rFonts w:hint="eastAsia" w:ascii="宋体" w:hAnsi="宋体" w:cs="宋体"/>
                <w:color w:val="auto"/>
                <w:kern w:val="0"/>
                <w:sz w:val="20"/>
                <w:szCs w:val="20"/>
              </w:rPr>
              <w:t>150</w:t>
            </w:r>
          </w:p>
        </w:tc>
        <w:tc>
          <w:tcPr>
            <w:tcW w:w="435" w:type="pct"/>
            <w:tcBorders>
              <w:top w:val="nil"/>
              <w:left w:val="nil"/>
              <w:bottom w:val="single" w:color="000000" w:sz="8" w:space="0"/>
              <w:right w:val="single" w:color="000000" w:sz="8" w:space="0"/>
            </w:tcBorders>
            <w:shd w:val="clear" w:color="auto" w:fill="auto"/>
            <w:vAlign w:val="center"/>
          </w:tcPr>
          <w:p w14:paraId="0173AB06">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1248AAFA">
            <w:pPr>
              <w:jc w:val="center"/>
              <w:textAlignment w:val="center"/>
              <w:rPr>
                <w:rFonts w:ascii="宋体" w:hAnsi="宋体" w:cs="宋体"/>
                <w:color w:val="auto"/>
                <w:sz w:val="20"/>
                <w:szCs w:val="20"/>
              </w:rPr>
            </w:pPr>
            <w:r>
              <w:rPr>
                <w:rStyle w:val="44"/>
                <w:rFonts w:hint="default"/>
                <w:color w:val="auto"/>
              </w:rPr>
              <w:t>2025年</w:t>
            </w:r>
          </w:p>
        </w:tc>
        <w:tc>
          <w:tcPr>
            <w:tcW w:w="435" w:type="pct"/>
            <w:tcBorders>
              <w:top w:val="nil"/>
              <w:left w:val="nil"/>
              <w:bottom w:val="single" w:color="000000" w:sz="8" w:space="0"/>
              <w:right w:val="single" w:color="000000" w:sz="8" w:space="0"/>
            </w:tcBorders>
            <w:shd w:val="clear" w:color="auto" w:fill="auto"/>
            <w:vAlign w:val="center"/>
          </w:tcPr>
          <w:p w14:paraId="7D019AA9">
            <w:pPr>
              <w:jc w:val="center"/>
              <w:textAlignment w:val="center"/>
              <w:rPr>
                <w:rFonts w:ascii="宋体" w:hAnsi="宋体" w:cs="宋体"/>
                <w:color w:val="auto"/>
                <w:sz w:val="20"/>
                <w:szCs w:val="20"/>
              </w:rPr>
            </w:pPr>
            <w:r>
              <w:rPr>
                <w:rStyle w:val="44"/>
                <w:rFonts w:hint="default"/>
                <w:color w:val="auto"/>
              </w:rPr>
              <w:t>骆庄村</w:t>
            </w:r>
          </w:p>
        </w:tc>
        <w:tc>
          <w:tcPr>
            <w:tcW w:w="441" w:type="pct"/>
            <w:vMerge w:val="restart"/>
            <w:tcBorders>
              <w:top w:val="nil"/>
              <w:left w:val="nil"/>
              <w:bottom w:val="single" w:color="000000" w:sz="8" w:space="0"/>
              <w:right w:val="single" w:color="000000" w:sz="8" w:space="0"/>
            </w:tcBorders>
            <w:shd w:val="clear" w:color="auto" w:fill="auto"/>
            <w:vAlign w:val="center"/>
          </w:tcPr>
          <w:p w14:paraId="0F01ED9F">
            <w:pPr>
              <w:jc w:val="center"/>
              <w:textAlignment w:val="center"/>
              <w:rPr>
                <w:rFonts w:ascii="宋体" w:hAnsi="宋体" w:cs="宋体"/>
                <w:color w:val="auto"/>
                <w:sz w:val="20"/>
                <w:szCs w:val="20"/>
              </w:rPr>
            </w:pPr>
            <w:r>
              <w:rPr>
                <w:rStyle w:val="44"/>
                <w:rFonts w:hint="default"/>
                <w:color w:val="auto"/>
              </w:rPr>
              <w:t>小梅镇</w:t>
            </w:r>
          </w:p>
        </w:tc>
      </w:tr>
      <w:tr w14:paraId="08D0A088">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1631851">
            <w:pPr>
              <w:jc w:val="center"/>
              <w:textAlignment w:val="center"/>
              <w:rPr>
                <w:rFonts w:ascii="宋体" w:hAnsi="宋体" w:cs="宋体"/>
                <w:color w:val="auto"/>
                <w:sz w:val="22"/>
                <w:szCs w:val="22"/>
              </w:rPr>
            </w:pPr>
            <w:r>
              <w:rPr>
                <w:rFonts w:hint="eastAsia" w:ascii="宋体" w:hAnsi="宋体" w:cs="宋体"/>
                <w:color w:val="auto"/>
                <w:kern w:val="0"/>
                <w:sz w:val="22"/>
                <w:szCs w:val="22"/>
              </w:rPr>
              <w:t>5</w:t>
            </w:r>
          </w:p>
        </w:tc>
        <w:tc>
          <w:tcPr>
            <w:tcW w:w="703" w:type="pct"/>
            <w:tcBorders>
              <w:top w:val="nil"/>
              <w:left w:val="nil"/>
              <w:bottom w:val="single" w:color="000000" w:sz="8" w:space="0"/>
              <w:right w:val="single" w:color="000000" w:sz="8" w:space="0"/>
            </w:tcBorders>
            <w:shd w:val="clear" w:color="auto" w:fill="auto"/>
            <w:vAlign w:val="center"/>
          </w:tcPr>
          <w:p w14:paraId="63DC2F37">
            <w:pPr>
              <w:jc w:val="center"/>
              <w:textAlignment w:val="center"/>
              <w:rPr>
                <w:rFonts w:ascii="宋体" w:hAnsi="宋体" w:cs="宋体"/>
                <w:color w:val="auto"/>
                <w:sz w:val="20"/>
                <w:szCs w:val="20"/>
              </w:rPr>
            </w:pPr>
            <w:r>
              <w:rPr>
                <w:rStyle w:val="44"/>
                <w:rFonts w:hint="default"/>
                <w:color w:val="auto"/>
              </w:rPr>
              <w:t>半边月村竹林加工点</w:t>
            </w:r>
          </w:p>
        </w:tc>
        <w:tc>
          <w:tcPr>
            <w:tcW w:w="436" w:type="pct"/>
            <w:tcBorders>
              <w:top w:val="nil"/>
              <w:left w:val="nil"/>
              <w:bottom w:val="single" w:color="000000" w:sz="8" w:space="0"/>
              <w:right w:val="single" w:color="000000" w:sz="8" w:space="0"/>
            </w:tcBorders>
            <w:shd w:val="clear" w:color="auto" w:fill="auto"/>
            <w:vAlign w:val="center"/>
          </w:tcPr>
          <w:p w14:paraId="04B6791A">
            <w:pPr>
              <w:jc w:val="center"/>
              <w:textAlignment w:val="center"/>
              <w:rPr>
                <w:rFonts w:ascii="宋体" w:hAnsi="宋体" w:cs="宋体"/>
                <w:color w:val="auto"/>
                <w:sz w:val="20"/>
                <w:szCs w:val="20"/>
              </w:rPr>
            </w:pPr>
            <w:r>
              <w:rPr>
                <w:rFonts w:hint="eastAsia" w:ascii="宋体" w:hAnsi="宋体" w:cs="宋体"/>
                <w:color w:val="auto"/>
                <w:kern w:val="0"/>
                <w:sz w:val="20"/>
                <w:szCs w:val="20"/>
              </w:rPr>
              <w:t>28</w:t>
            </w:r>
          </w:p>
        </w:tc>
        <w:tc>
          <w:tcPr>
            <w:tcW w:w="435" w:type="pct"/>
            <w:tcBorders>
              <w:top w:val="nil"/>
              <w:left w:val="nil"/>
              <w:bottom w:val="single" w:color="000000" w:sz="8" w:space="0"/>
              <w:right w:val="single" w:color="000000" w:sz="8" w:space="0"/>
            </w:tcBorders>
            <w:shd w:val="clear" w:color="auto" w:fill="auto"/>
            <w:vAlign w:val="center"/>
          </w:tcPr>
          <w:p w14:paraId="7D5A0397">
            <w:pPr>
              <w:jc w:val="center"/>
              <w:textAlignment w:val="center"/>
              <w:rPr>
                <w:rFonts w:ascii="宋体" w:hAnsi="宋体" w:cs="宋体"/>
                <w:color w:val="auto"/>
                <w:sz w:val="20"/>
                <w:szCs w:val="20"/>
              </w:rPr>
            </w:pPr>
            <w:r>
              <w:rPr>
                <w:rStyle w:val="44"/>
                <w:rFonts w:hint="default"/>
                <w:color w:val="auto"/>
              </w:rPr>
              <w:t>竹木</w:t>
            </w:r>
          </w:p>
        </w:tc>
        <w:tc>
          <w:tcPr>
            <w:tcW w:w="436" w:type="pct"/>
            <w:tcBorders>
              <w:top w:val="nil"/>
              <w:left w:val="nil"/>
              <w:bottom w:val="single" w:color="000000" w:sz="8" w:space="0"/>
              <w:right w:val="single" w:color="000000" w:sz="8" w:space="0"/>
            </w:tcBorders>
            <w:shd w:val="clear" w:color="auto" w:fill="auto"/>
            <w:vAlign w:val="center"/>
          </w:tcPr>
          <w:p w14:paraId="218DE151">
            <w:pPr>
              <w:jc w:val="center"/>
              <w:textAlignment w:val="center"/>
              <w:rPr>
                <w:rFonts w:ascii="宋体" w:hAnsi="宋体" w:cs="宋体"/>
                <w:color w:val="auto"/>
                <w:sz w:val="20"/>
                <w:szCs w:val="20"/>
              </w:rPr>
            </w:pPr>
            <w:r>
              <w:rPr>
                <w:rStyle w:val="44"/>
                <w:rFonts w:hint="default"/>
                <w:color w:val="auto"/>
              </w:rPr>
              <w:t>250万支</w:t>
            </w:r>
          </w:p>
        </w:tc>
        <w:tc>
          <w:tcPr>
            <w:tcW w:w="435" w:type="pct"/>
            <w:tcBorders>
              <w:top w:val="nil"/>
              <w:left w:val="nil"/>
              <w:bottom w:val="single" w:color="000000" w:sz="8" w:space="0"/>
              <w:right w:val="single" w:color="000000" w:sz="8" w:space="0"/>
            </w:tcBorders>
            <w:shd w:val="clear" w:color="auto" w:fill="auto"/>
            <w:vAlign w:val="center"/>
          </w:tcPr>
          <w:p w14:paraId="691848A7">
            <w:pPr>
              <w:jc w:val="center"/>
              <w:textAlignment w:val="center"/>
              <w:rPr>
                <w:rFonts w:ascii="宋体" w:hAnsi="宋体" w:cs="宋体"/>
                <w:color w:val="auto"/>
                <w:sz w:val="20"/>
                <w:szCs w:val="20"/>
              </w:rPr>
            </w:pPr>
            <w:r>
              <w:rPr>
                <w:rStyle w:val="44"/>
                <w:rFonts w:hint="default"/>
                <w:color w:val="auto"/>
              </w:rPr>
              <w:t>竹木初加工机器</w:t>
            </w:r>
          </w:p>
        </w:tc>
        <w:tc>
          <w:tcPr>
            <w:tcW w:w="435" w:type="pct"/>
            <w:tcBorders>
              <w:top w:val="nil"/>
              <w:left w:val="nil"/>
              <w:bottom w:val="single" w:color="000000" w:sz="8" w:space="0"/>
              <w:right w:val="single" w:color="000000" w:sz="8" w:space="0"/>
            </w:tcBorders>
            <w:shd w:val="clear" w:color="auto" w:fill="auto"/>
            <w:vAlign w:val="center"/>
          </w:tcPr>
          <w:p w14:paraId="6AECABCC">
            <w:pPr>
              <w:jc w:val="center"/>
              <w:textAlignment w:val="center"/>
              <w:rPr>
                <w:rFonts w:ascii="宋体" w:hAnsi="宋体" w:cs="宋体"/>
                <w:color w:val="auto"/>
                <w:sz w:val="20"/>
                <w:szCs w:val="20"/>
              </w:rPr>
            </w:pPr>
            <w:r>
              <w:rPr>
                <w:rFonts w:hint="eastAsia" w:ascii="宋体" w:hAnsi="宋体" w:cs="宋体"/>
                <w:color w:val="auto"/>
                <w:kern w:val="0"/>
                <w:sz w:val="20"/>
                <w:szCs w:val="20"/>
              </w:rPr>
              <w:t>600</w:t>
            </w:r>
          </w:p>
        </w:tc>
        <w:tc>
          <w:tcPr>
            <w:tcW w:w="435" w:type="pct"/>
            <w:tcBorders>
              <w:top w:val="nil"/>
              <w:left w:val="nil"/>
              <w:bottom w:val="single" w:color="000000" w:sz="8" w:space="0"/>
              <w:right w:val="single" w:color="000000" w:sz="8" w:space="0"/>
            </w:tcBorders>
            <w:shd w:val="clear" w:color="auto" w:fill="auto"/>
            <w:vAlign w:val="center"/>
          </w:tcPr>
          <w:p w14:paraId="3E869EE3">
            <w:pPr>
              <w:jc w:val="center"/>
              <w:textAlignment w:val="center"/>
              <w:rPr>
                <w:rFonts w:ascii="宋体" w:hAnsi="宋体" w:cs="宋体"/>
                <w:color w:val="auto"/>
                <w:sz w:val="20"/>
                <w:szCs w:val="20"/>
              </w:rPr>
            </w:pPr>
            <w:r>
              <w:rPr>
                <w:rStyle w:val="44"/>
                <w:rFonts w:hint="default"/>
                <w:color w:val="auto"/>
              </w:rPr>
              <w:t>半边月村</w:t>
            </w:r>
          </w:p>
        </w:tc>
        <w:tc>
          <w:tcPr>
            <w:tcW w:w="452" w:type="pct"/>
            <w:tcBorders>
              <w:top w:val="nil"/>
              <w:left w:val="nil"/>
              <w:bottom w:val="single" w:color="000000" w:sz="8" w:space="0"/>
              <w:right w:val="single" w:color="000000" w:sz="8" w:space="0"/>
            </w:tcBorders>
            <w:shd w:val="clear" w:color="auto" w:fill="auto"/>
            <w:vAlign w:val="center"/>
          </w:tcPr>
          <w:p w14:paraId="4D6D5B7A">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4104C29D">
            <w:pPr>
              <w:jc w:val="center"/>
              <w:textAlignment w:val="center"/>
              <w:rPr>
                <w:rFonts w:ascii="宋体" w:hAnsi="宋体" w:cs="宋体"/>
                <w:color w:val="auto"/>
                <w:sz w:val="20"/>
                <w:szCs w:val="20"/>
              </w:rPr>
            </w:pPr>
            <w:r>
              <w:rPr>
                <w:rStyle w:val="44"/>
                <w:rFonts w:hint="default"/>
                <w:color w:val="auto"/>
              </w:rPr>
              <w:t>半边月村</w:t>
            </w:r>
          </w:p>
        </w:tc>
        <w:tc>
          <w:tcPr>
            <w:tcW w:w="441" w:type="pct"/>
            <w:vMerge w:val="continue"/>
            <w:tcBorders>
              <w:top w:val="nil"/>
              <w:left w:val="nil"/>
              <w:bottom w:val="single" w:color="000000" w:sz="8" w:space="0"/>
              <w:right w:val="single" w:color="000000" w:sz="8" w:space="0"/>
            </w:tcBorders>
            <w:shd w:val="clear" w:color="auto" w:fill="auto"/>
            <w:vAlign w:val="center"/>
          </w:tcPr>
          <w:p w14:paraId="08EFEEB1">
            <w:pPr>
              <w:jc w:val="center"/>
              <w:rPr>
                <w:rFonts w:ascii="宋体" w:hAnsi="宋体" w:cs="宋体"/>
                <w:color w:val="auto"/>
                <w:sz w:val="20"/>
                <w:szCs w:val="20"/>
              </w:rPr>
            </w:pPr>
          </w:p>
        </w:tc>
      </w:tr>
      <w:tr w14:paraId="01B73C27">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677FB6C8">
            <w:pPr>
              <w:jc w:val="center"/>
              <w:textAlignment w:val="center"/>
              <w:rPr>
                <w:rFonts w:ascii="宋体" w:hAnsi="宋体" w:cs="宋体"/>
                <w:color w:val="auto"/>
                <w:sz w:val="22"/>
                <w:szCs w:val="22"/>
              </w:rPr>
            </w:pPr>
            <w:r>
              <w:rPr>
                <w:rFonts w:hint="eastAsia" w:ascii="宋体" w:hAnsi="宋体" w:cs="宋体"/>
                <w:color w:val="auto"/>
                <w:kern w:val="0"/>
                <w:sz w:val="22"/>
                <w:szCs w:val="22"/>
              </w:rPr>
              <w:t>6</w:t>
            </w:r>
          </w:p>
        </w:tc>
        <w:tc>
          <w:tcPr>
            <w:tcW w:w="703" w:type="pct"/>
            <w:tcBorders>
              <w:top w:val="nil"/>
              <w:left w:val="nil"/>
              <w:bottom w:val="single" w:color="000000" w:sz="8" w:space="0"/>
              <w:right w:val="single" w:color="000000" w:sz="8" w:space="0"/>
            </w:tcBorders>
            <w:shd w:val="clear" w:color="auto" w:fill="auto"/>
            <w:vAlign w:val="center"/>
          </w:tcPr>
          <w:p w14:paraId="0A59002A">
            <w:pPr>
              <w:jc w:val="center"/>
              <w:textAlignment w:val="center"/>
              <w:rPr>
                <w:rFonts w:ascii="宋体" w:hAnsi="宋体" w:cs="宋体"/>
                <w:color w:val="auto"/>
                <w:sz w:val="20"/>
                <w:szCs w:val="20"/>
              </w:rPr>
            </w:pPr>
            <w:r>
              <w:rPr>
                <w:rStyle w:val="44"/>
                <w:rFonts w:hint="default"/>
                <w:color w:val="auto"/>
              </w:rPr>
              <w:t>东垄加工点</w:t>
            </w:r>
          </w:p>
        </w:tc>
        <w:tc>
          <w:tcPr>
            <w:tcW w:w="436" w:type="pct"/>
            <w:tcBorders>
              <w:top w:val="nil"/>
              <w:left w:val="nil"/>
              <w:bottom w:val="single" w:color="000000" w:sz="8" w:space="0"/>
              <w:right w:val="single" w:color="000000" w:sz="8" w:space="0"/>
            </w:tcBorders>
            <w:shd w:val="clear" w:color="auto" w:fill="auto"/>
            <w:vAlign w:val="center"/>
          </w:tcPr>
          <w:p w14:paraId="441502D3">
            <w:pPr>
              <w:jc w:val="center"/>
              <w:textAlignment w:val="center"/>
              <w:rPr>
                <w:rFonts w:ascii="宋体" w:hAnsi="宋体" w:cs="宋体"/>
                <w:color w:val="auto"/>
                <w:sz w:val="20"/>
                <w:szCs w:val="20"/>
              </w:rPr>
            </w:pPr>
            <w:r>
              <w:rPr>
                <w:rFonts w:hint="eastAsia" w:ascii="宋体" w:hAnsi="宋体" w:cs="宋体"/>
                <w:color w:val="auto"/>
                <w:kern w:val="0"/>
                <w:sz w:val="20"/>
                <w:szCs w:val="20"/>
              </w:rPr>
              <w:t>20</w:t>
            </w:r>
          </w:p>
        </w:tc>
        <w:tc>
          <w:tcPr>
            <w:tcW w:w="435" w:type="pct"/>
            <w:tcBorders>
              <w:top w:val="nil"/>
              <w:left w:val="nil"/>
              <w:bottom w:val="single" w:color="000000" w:sz="8" w:space="0"/>
              <w:right w:val="single" w:color="000000" w:sz="8" w:space="0"/>
            </w:tcBorders>
            <w:shd w:val="clear" w:color="auto" w:fill="auto"/>
            <w:vAlign w:val="center"/>
          </w:tcPr>
          <w:p w14:paraId="0DCE335D">
            <w:pPr>
              <w:jc w:val="center"/>
              <w:textAlignment w:val="center"/>
              <w:rPr>
                <w:rFonts w:ascii="宋体" w:hAnsi="宋体" w:cs="宋体"/>
                <w:color w:val="auto"/>
                <w:sz w:val="20"/>
                <w:szCs w:val="20"/>
              </w:rPr>
            </w:pPr>
            <w:r>
              <w:rPr>
                <w:rStyle w:val="44"/>
                <w:rFonts w:hint="default"/>
                <w:color w:val="auto"/>
              </w:rPr>
              <w:t>毛竹粗加工</w:t>
            </w:r>
          </w:p>
        </w:tc>
        <w:tc>
          <w:tcPr>
            <w:tcW w:w="436" w:type="pct"/>
            <w:tcBorders>
              <w:top w:val="nil"/>
              <w:left w:val="nil"/>
              <w:bottom w:val="single" w:color="000000" w:sz="8" w:space="0"/>
              <w:right w:val="single" w:color="000000" w:sz="8" w:space="0"/>
            </w:tcBorders>
            <w:shd w:val="clear" w:color="auto" w:fill="auto"/>
            <w:vAlign w:val="center"/>
          </w:tcPr>
          <w:p w14:paraId="790BC86A">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4A482C68">
            <w:pPr>
              <w:jc w:val="center"/>
              <w:textAlignment w:val="center"/>
              <w:rPr>
                <w:rFonts w:ascii="宋体" w:hAnsi="宋体" w:cs="宋体"/>
                <w:color w:val="auto"/>
                <w:sz w:val="20"/>
                <w:szCs w:val="20"/>
              </w:rPr>
            </w:pPr>
            <w:r>
              <w:rPr>
                <w:rStyle w:val="44"/>
                <w:rFonts w:hint="default"/>
                <w:color w:val="auto"/>
              </w:rPr>
              <w:t>竹粗加工机器</w:t>
            </w:r>
          </w:p>
        </w:tc>
        <w:tc>
          <w:tcPr>
            <w:tcW w:w="435" w:type="pct"/>
            <w:tcBorders>
              <w:top w:val="nil"/>
              <w:left w:val="nil"/>
              <w:bottom w:val="single" w:color="000000" w:sz="8" w:space="0"/>
              <w:right w:val="single" w:color="000000" w:sz="8" w:space="0"/>
            </w:tcBorders>
            <w:shd w:val="clear" w:color="auto" w:fill="auto"/>
            <w:vAlign w:val="center"/>
          </w:tcPr>
          <w:p w14:paraId="429EC1A1">
            <w:pPr>
              <w:jc w:val="center"/>
              <w:textAlignment w:val="center"/>
              <w:rPr>
                <w:rFonts w:ascii="宋体" w:hAnsi="宋体" w:cs="宋体"/>
                <w:color w:val="auto"/>
                <w:sz w:val="20"/>
                <w:szCs w:val="20"/>
              </w:rPr>
            </w:pPr>
            <w:r>
              <w:rPr>
                <w:rFonts w:hint="eastAsia" w:ascii="宋体" w:hAnsi="宋体" w:cs="宋体"/>
                <w:color w:val="auto"/>
                <w:kern w:val="0"/>
                <w:sz w:val="20"/>
                <w:szCs w:val="20"/>
              </w:rPr>
              <w:t>1500</w:t>
            </w:r>
          </w:p>
        </w:tc>
        <w:tc>
          <w:tcPr>
            <w:tcW w:w="435" w:type="pct"/>
            <w:tcBorders>
              <w:top w:val="nil"/>
              <w:left w:val="nil"/>
              <w:bottom w:val="single" w:color="000000" w:sz="8" w:space="0"/>
              <w:right w:val="single" w:color="000000" w:sz="8" w:space="0"/>
            </w:tcBorders>
            <w:shd w:val="clear" w:color="auto" w:fill="auto"/>
            <w:vAlign w:val="center"/>
          </w:tcPr>
          <w:p w14:paraId="2E7DBE36">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64FEB887">
            <w:pPr>
              <w:jc w:val="center"/>
              <w:textAlignment w:val="center"/>
              <w:rPr>
                <w:rFonts w:ascii="宋体" w:hAnsi="宋体" w:cs="宋体"/>
                <w:color w:val="auto"/>
                <w:sz w:val="20"/>
                <w:szCs w:val="20"/>
              </w:rPr>
            </w:pPr>
            <w:r>
              <w:rPr>
                <w:rStyle w:val="44"/>
                <w:rFonts w:hint="default"/>
                <w:color w:val="auto"/>
              </w:rPr>
              <w:t>2024年</w:t>
            </w:r>
          </w:p>
        </w:tc>
        <w:tc>
          <w:tcPr>
            <w:tcW w:w="435" w:type="pct"/>
            <w:tcBorders>
              <w:top w:val="nil"/>
              <w:left w:val="nil"/>
              <w:bottom w:val="single" w:color="000000" w:sz="8" w:space="0"/>
              <w:right w:val="single" w:color="000000" w:sz="8" w:space="0"/>
            </w:tcBorders>
            <w:shd w:val="clear" w:color="auto" w:fill="auto"/>
            <w:vAlign w:val="center"/>
          </w:tcPr>
          <w:p w14:paraId="5D84D005">
            <w:pPr>
              <w:jc w:val="center"/>
              <w:textAlignment w:val="center"/>
              <w:rPr>
                <w:rFonts w:ascii="宋体" w:hAnsi="宋体" w:cs="宋体"/>
                <w:color w:val="auto"/>
                <w:sz w:val="20"/>
                <w:szCs w:val="20"/>
              </w:rPr>
            </w:pPr>
            <w:r>
              <w:rPr>
                <w:rStyle w:val="44"/>
                <w:rFonts w:hint="default"/>
                <w:color w:val="auto"/>
              </w:rPr>
              <w:t>梅三村</w:t>
            </w:r>
          </w:p>
        </w:tc>
        <w:tc>
          <w:tcPr>
            <w:tcW w:w="441" w:type="pct"/>
            <w:vMerge w:val="continue"/>
            <w:tcBorders>
              <w:top w:val="nil"/>
              <w:left w:val="nil"/>
              <w:bottom w:val="single" w:color="000000" w:sz="8" w:space="0"/>
              <w:right w:val="single" w:color="000000" w:sz="8" w:space="0"/>
            </w:tcBorders>
            <w:shd w:val="clear" w:color="auto" w:fill="auto"/>
            <w:vAlign w:val="center"/>
          </w:tcPr>
          <w:p w14:paraId="4B9855A0">
            <w:pPr>
              <w:jc w:val="center"/>
              <w:rPr>
                <w:rFonts w:ascii="宋体" w:hAnsi="宋体" w:cs="宋体"/>
                <w:color w:val="auto"/>
                <w:sz w:val="20"/>
                <w:szCs w:val="20"/>
              </w:rPr>
            </w:pPr>
          </w:p>
        </w:tc>
      </w:tr>
      <w:tr w14:paraId="15A3376A">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6D5191AD">
            <w:pPr>
              <w:jc w:val="center"/>
              <w:textAlignment w:val="center"/>
              <w:rPr>
                <w:rFonts w:ascii="宋体" w:hAnsi="宋体" w:cs="宋体"/>
                <w:color w:val="auto"/>
                <w:sz w:val="22"/>
                <w:szCs w:val="22"/>
              </w:rPr>
            </w:pPr>
            <w:r>
              <w:rPr>
                <w:rFonts w:hint="eastAsia" w:ascii="宋体" w:hAnsi="宋体" w:cs="宋体"/>
                <w:color w:val="auto"/>
                <w:kern w:val="0"/>
                <w:sz w:val="22"/>
                <w:szCs w:val="22"/>
              </w:rPr>
              <w:t>7</w:t>
            </w:r>
          </w:p>
        </w:tc>
        <w:tc>
          <w:tcPr>
            <w:tcW w:w="703" w:type="pct"/>
            <w:tcBorders>
              <w:top w:val="nil"/>
              <w:left w:val="nil"/>
              <w:bottom w:val="single" w:color="000000" w:sz="8" w:space="0"/>
              <w:right w:val="single" w:color="000000" w:sz="8" w:space="0"/>
            </w:tcBorders>
            <w:shd w:val="clear" w:color="auto" w:fill="auto"/>
            <w:vAlign w:val="center"/>
          </w:tcPr>
          <w:p w14:paraId="4534967B">
            <w:pPr>
              <w:jc w:val="center"/>
              <w:textAlignment w:val="center"/>
              <w:rPr>
                <w:rFonts w:ascii="宋体" w:hAnsi="宋体" w:cs="宋体"/>
                <w:color w:val="auto"/>
                <w:sz w:val="20"/>
                <w:szCs w:val="20"/>
              </w:rPr>
            </w:pPr>
            <w:r>
              <w:rPr>
                <w:rStyle w:val="44"/>
                <w:rFonts w:hint="default"/>
                <w:color w:val="auto"/>
              </w:rPr>
              <w:t>长桥头加工点</w:t>
            </w:r>
          </w:p>
        </w:tc>
        <w:tc>
          <w:tcPr>
            <w:tcW w:w="436" w:type="pct"/>
            <w:tcBorders>
              <w:top w:val="nil"/>
              <w:left w:val="nil"/>
              <w:bottom w:val="single" w:color="000000" w:sz="8" w:space="0"/>
              <w:right w:val="single" w:color="000000" w:sz="8" w:space="0"/>
            </w:tcBorders>
            <w:shd w:val="clear" w:color="auto" w:fill="auto"/>
            <w:vAlign w:val="center"/>
          </w:tcPr>
          <w:p w14:paraId="1259B49A">
            <w:pPr>
              <w:jc w:val="center"/>
              <w:textAlignment w:val="center"/>
              <w:rPr>
                <w:rFonts w:ascii="宋体" w:hAnsi="宋体" w:cs="宋体"/>
                <w:color w:val="auto"/>
                <w:sz w:val="20"/>
                <w:szCs w:val="20"/>
              </w:rPr>
            </w:pPr>
            <w:r>
              <w:rPr>
                <w:rFonts w:hint="eastAsia" w:ascii="宋体" w:hAnsi="宋体" w:cs="宋体"/>
                <w:color w:val="auto"/>
                <w:kern w:val="0"/>
                <w:sz w:val="20"/>
                <w:szCs w:val="20"/>
              </w:rPr>
              <w:t>20</w:t>
            </w:r>
          </w:p>
        </w:tc>
        <w:tc>
          <w:tcPr>
            <w:tcW w:w="435" w:type="pct"/>
            <w:tcBorders>
              <w:top w:val="nil"/>
              <w:left w:val="nil"/>
              <w:bottom w:val="single" w:color="000000" w:sz="8" w:space="0"/>
              <w:right w:val="single" w:color="000000" w:sz="8" w:space="0"/>
            </w:tcBorders>
            <w:shd w:val="clear" w:color="auto" w:fill="auto"/>
            <w:vAlign w:val="center"/>
          </w:tcPr>
          <w:p w14:paraId="2D9CE65E">
            <w:pPr>
              <w:jc w:val="center"/>
              <w:textAlignment w:val="center"/>
              <w:rPr>
                <w:rFonts w:ascii="宋体" w:hAnsi="宋体" w:cs="宋体"/>
                <w:color w:val="auto"/>
                <w:sz w:val="20"/>
                <w:szCs w:val="20"/>
              </w:rPr>
            </w:pPr>
            <w:r>
              <w:rPr>
                <w:rStyle w:val="44"/>
                <w:rFonts w:hint="default"/>
                <w:color w:val="auto"/>
              </w:rPr>
              <w:t>毛竹粗加工</w:t>
            </w:r>
          </w:p>
        </w:tc>
        <w:tc>
          <w:tcPr>
            <w:tcW w:w="436" w:type="pct"/>
            <w:tcBorders>
              <w:top w:val="nil"/>
              <w:left w:val="nil"/>
              <w:bottom w:val="single" w:color="000000" w:sz="8" w:space="0"/>
              <w:right w:val="single" w:color="000000" w:sz="8" w:space="0"/>
            </w:tcBorders>
            <w:shd w:val="clear" w:color="auto" w:fill="auto"/>
            <w:vAlign w:val="center"/>
          </w:tcPr>
          <w:p w14:paraId="3383C7A3">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4CE30672">
            <w:pPr>
              <w:jc w:val="center"/>
              <w:textAlignment w:val="center"/>
              <w:rPr>
                <w:rFonts w:ascii="宋体" w:hAnsi="宋体" w:cs="宋体"/>
                <w:color w:val="auto"/>
                <w:sz w:val="20"/>
                <w:szCs w:val="20"/>
              </w:rPr>
            </w:pPr>
            <w:r>
              <w:rPr>
                <w:rStyle w:val="44"/>
                <w:rFonts w:hint="default"/>
                <w:color w:val="auto"/>
              </w:rPr>
              <w:t>粗加工机器</w:t>
            </w:r>
          </w:p>
        </w:tc>
        <w:tc>
          <w:tcPr>
            <w:tcW w:w="435" w:type="pct"/>
            <w:tcBorders>
              <w:top w:val="nil"/>
              <w:left w:val="nil"/>
              <w:bottom w:val="single" w:color="000000" w:sz="8" w:space="0"/>
              <w:right w:val="single" w:color="000000" w:sz="8" w:space="0"/>
            </w:tcBorders>
            <w:shd w:val="clear" w:color="auto" w:fill="auto"/>
            <w:vAlign w:val="center"/>
          </w:tcPr>
          <w:p w14:paraId="266AD0BD">
            <w:pPr>
              <w:jc w:val="center"/>
              <w:textAlignment w:val="center"/>
              <w:rPr>
                <w:rFonts w:ascii="宋体" w:hAnsi="宋体" w:cs="宋体"/>
                <w:color w:val="auto"/>
                <w:sz w:val="20"/>
                <w:szCs w:val="20"/>
              </w:rPr>
            </w:pPr>
            <w:r>
              <w:rPr>
                <w:rFonts w:hint="eastAsia" w:ascii="宋体" w:hAnsi="宋体" w:cs="宋体"/>
                <w:color w:val="auto"/>
                <w:kern w:val="0"/>
                <w:sz w:val="20"/>
                <w:szCs w:val="20"/>
              </w:rPr>
              <w:t>160</w:t>
            </w:r>
          </w:p>
        </w:tc>
        <w:tc>
          <w:tcPr>
            <w:tcW w:w="435" w:type="pct"/>
            <w:tcBorders>
              <w:top w:val="nil"/>
              <w:left w:val="nil"/>
              <w:bottom w:val="single" w:color="000000" w:sz="8" w:space="0"/>
              <w:right w:val="single" w:color="000000" w:sz="8" w:space="0"/>
            </w:tcBorders>
            <w:shd w:val="clear" w:color="auto" w:fill="auto"/>
            <w:vAlign w:val="center"/>
          </w:tcPr>
          <w:p w14:paraId="7AF21267">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3002A76E">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60A5722D">
            <w:pPr>
              <w:jc w:val="center"/>
              <w:textAlignment w:val="center"/>
              <w:rPr>
                <w:rFonts w:ascii="宋体" w:hAnsi="宋体" w:cs="宋体"/>
                <w:color w:val="auto"/>
                <w:sz w:val="20"/>
                <w:szCs w:val="20"/>
              </w:rPr>
            </w:pPr>
            <w:r>
              <w:rPr>
                <w:rStyle w:val="44"/>
                <w:rFonts w:hint="default"/>
                <w:color w:val="auto"/>
              </w:rPr>
              <w:t>毛山头村</w:t>
            </w:r>
          </w:p>
        </w:tc>
        <w:tc>
          <w:tcPr>
            <w:tcW w:w="441" w:type="pct"/>
            <w:vMerge w:val="continue"/>
            <w:tcBorders>
              <w:top w:val="nil"/>
              <w:left w:val="nil"/>
              <w:bottom w:val="single" w:color="000000" w:sz="8" w:space="0"/>
              <w:right w:val="single" w:color="000000" w:sz="8" w:space="0"/>
            </w:tcBorders>
            <w:shd w:val="clear" w:color="auto" w:fill="auto"/>
            <w:vAlign w:val="center"/>
          </w:tcPr>
          <w:p w14:paraId="42171A75">
            <w:pPr>
              <w:jc w:val="center"/>
              <w:rPr>
                <w:rFonts w:ascii="宋体" w:hAnsi="宋体" w:cs="宋体"/>
                <w:color w:val="auto"/>
                <w:sz w:val="20"/>
                <w:szCs w:val="20"/>
              </w:rPr>
            </w:pPr>
          </w:p>
        </w:tc>
      </w:tr>
      <w:tr w14:paraId="2708CF1C">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AF01C8F">
            <w:pPr>
              <w:jc w:val="center"/>
              <w:textAlignment w:val="center"/>
              <w:rPr>
                <w:rFonts w:ascii="宋体" w:hAnsi="宋体" w:cs="宋体"/>
                <w:color w:val="auto"/>
                <w:sz w:val="22"/>
                <w:szCs w:val="22"/>
              </w:rPr>
            </w:pPr>
            <w:r>
              <w:rPr>
                <w:rFonts w:hint="eastAsia" w:ascii="宋体" w:hAnsi="宋体" w:cs="宋体"/>
                <w:color w:val="auto"/>
                <w:kern w:val="0"/>
                <w:sz w:val="22"/>
                <w:szCs w:val="22"/>
              </w:rPr>
              <w:t>8</w:t>
            </w:r>
          </w:p>
        </w:tc>
        <w:tc>
          <w:tcPr>
            <w:tcW w:w="703" w:type="pct"/>
            <w:tcBorders>
              <w:top w:val="nil"/>
              <w:left w:val="nil"/>
              <w:bottom w:val="single" w:color="000000" w:sz="8" w:space="0"/>
              <w:right w:val="single" w:color="000000" w:sz="8" w:space="0"/>
            </w:tcBorders>
            <w:shd w:val="clear" w:color="auto" w:fill="auto"/>
            <w:vAlign w:val="center"/>
          </w:tcPr>
          <w:p w14:paraId="7750D3F7">
            <w:pPr>
              <w:jc w:val="center"/>
              <w:textAlignment w:val="center"/>
              <w:rPr>
                <w:rFonts w:ascii="宋体" w:hAnsi="宋体" w:cs="宋体"/>
                <w:color w:val="auto"/>
                <w:sz w:val="20"/>
                <w:szCs w:val="20"/>
              </w:rPr>
            </w:pPr>
            <w:r>
              <w:rPr>
                <w:rStyle w:val="44"/>
                <w:rFonts w:hint="default"/>
                <w:color w:val="auto"/>
              </w:rPr>
              <w:t>小梅汽校加工点</w:t>
            </w:r>
          </w:p>
        </w:tc>
        <w:tc>
          <w:tcPr>
            <w:tcW w:w="436" w:type="pct"/>
            <w:tcBorders>
              <w:top w:val="nil"/>
              <w:left w:val="nil"/>
              <w:bottom w:val="single" w:color="000000" w:sz="8" w:space="0"/>
              <w:right w:val="single" w:color="000000" w:sz="8" w:space="0"/>
            </w:tcBorders>
            <w:shd w:val="clear" w:color="auto" w:fill="auto"/>
            <w:vAlign w:val="center"/>
          </w:tcPr>
          <w:p w14:paraId="759C57D6">
            <w:pPr>
              <w:jc w:val="center"/>
              <w:textAlignment w:val="center"/>
              <w:rPr>
                <w:rFonts w:ascii="宋体" w:hAnsi="宋体" w:cs="宋体"/>
                <w:color w:val="auto"/>
                <w:sz w:val="20"/>
                <w:szCs w:val="20"/>
              </w:rPr>
            </w:pPr>
            <w:r>
              <w:rPr>
                <w:rFonts w:hint="eastAsia" w:ascii="宋体" w:hAnsi="宋体" w:cs="宋体"/>
                <w:color w:val="auto"/>
                <w:kern w:val="0"/>
                <w:sz w:val="20"/>
                <w:szCs w:val="20"/>
              </w:rPr>
              <w:t>5.25</w:t>
            </w:r>
          </w:p>
        </w:tc>
        <w:tc>
          <w:tcPr>
            <w:tcW w:w="435" w:type="pct"/>
            <w:tcBorders>
              <w:top w:val="nil"/>
              <w:left w:val="nil"/>
              <w:bottom w:val="single" w:color="000000" w:sz="8" w:space="0"/>
              <w:right w:val="single" w:color="000000" w:sz="8" w:space="0"/>
            </w:tcBorders>
            <w:shd w:val="clear" w:color="auto" w:fill="auto"/>
            <w:vAlign w:val="center"/>
          </w:tcPr>
          <w:p w14:paraId="479640DA">
            <w:pPr>
              <w:jc w:val="center"/>
              <w:textAlignment w:val="center"/>
              <w:rPr>
                <w:rFonts w:ascii="宋体" w:hAnsi="宋体" w:cs="宋体"/>
                <w:color w:val="auto"/>
                <w:sz w:val="20"/>
                <w:szCs w:val="20"/>
              </w:rPr>
            </w:pPr>
            <w:r>
              <w:rPr>
                <w:rStyle w:val="44"/>
                <w:rFonts w:hint="default"/>
                <w:color w:val="auto"/>
              </w:rPr>
              <w:t>竹筷</w:t>
            </w:r>
          </w:p>
        </w:tc>
        <w:tc>
          <w:tcPr>
            <w:tcW w:w="436" w:type="pct"/>
            <w:tcBorders>
              <w:top w:val="nil"/>
              <w:left w:val="nil"/>
              <w:bottom w:val="single" w:color="000000" w:sz="8" w:space="0"/>
              <w:right w:val="single" w:color="000000" w:sz="8" w:space="0"/>
            </w:tcBorders>
            <w:shd w:val="clear" w:color="auto" w:fill="auto"/>
            <w:vAlign w:val="center"/>
          </w:tcPr>
          <w:p w14:paraId="648A2C67">
            <w:pPr>
              <w:jc w:val="center"/>
              <w:textAlignment w:val="center"/>
              <w:rPr>
                <w:rFonts w:ascii="宋体" w:hAnsi="宋体" w:cs="宋体"/>
                <w:color w:val="auto"/>
                <w:sz w:val="20"/>
                <w:szCs w:val="20"/>
              </w:rPr>
            </w:pPr>
            <w:r>
              <w:rPr>
                <w:rStyle w:val="44"/>
                <w:rFonts w:hint="default"/>
                <w:color w:val="auto"/>
              </w:rPr>
              <w:t>-</w:t>
            </w:r>
          </w:p>
        </w:tc>
        <w:tc>
          <w:tcPr>
            <w:tcW w:w="435" w:type="pct"/>
            <w:tcBorders>
              <w:top w:val="nil"/>
              <w:left w:val="nil"/>
              <w:bottom w:val="single" w:color="000000" w:sz="8" w:space="0"/>
              <w:right w:val="single" w:color="000000" w:sz="8" w:space="0"/>
            </w:tcBorders>
            <w:shd w:val="clear" w:color="auto" w:fill="auto"/>
            <w:vAlign w:val="center"/>
          </w:tcPr>
          <w:p w14:paraId="69DD1D2F">
            <w:pPr>
              <w:jc w:val="center"/>
              <w:textAlignment w:val="center"/>
              <w:rPr>
                <w:rFonts w:ascii="宋体" w:hAnsi="宋体" w:cs="宋体"/>
                <w:color w:val="auto"/>
                <w:sz w:val="20"/>
                <w:szCs w:val="20"/>
              </w:rPr>
            </w:pPr>
            <w:r>
              <w:rPr>
                <w:rStyle w:val="44"/>
                <w:rFonts w:hint="default"/>
                <w:color w:val="auto"/>
              </w:rPr>
              <w:t>锅炉房、加工机器</w:t>
            </w:r>
          </w:p>
        </w:tc>
        <w:tc>
          <w:tcPr>
            <w:tcW w:w="435" w:type="pct"/>
            <w:tcBorders>
              <w:top w:val="nil"/>
              <w:left w:val="nil"/>
              <w:bottom w:val="single" w:color="000000" w:sz="8" w:space="0"/>
              <w:right w:val="single" w:color="000000" w:sz="8" w:space="0"/>
            </w:tcBorders>
            <w:shd w:val="clear" w:color="auto" w:fill="auto"/>
            <w:vAlign w:val="center"/>
          </w:tcPr>
          <w:p w14:paraId="17AF6FDB">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593D4DFA">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616AE11A">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6757AB92">
            <w:pPr>
              <w:jc w:val="center"/>
              <w:textAlignment w:val="center"/>
              <w:rPr>
                <w:rFonts w:ascii="宋体" w:hAnsi="宋体" w:cs="宋体"/>
                <w:color w:val="auto"/>
                <w:sz w:val="20"/>
                <w:szCs w:val="20"/>
              </w:rPr>
            </w:pPr>
            <w:r>
              <w:rPr>
                <w:rStyle w:val="44"/>
                <w:rFonts w:hint="default"/>
                <w:color w:val="auto"/>
              </w:rPr>
              <w:t>梅一村</w:t>
            </w:r>
          </w:p>
        </w:tc>
        <w:tc>
          <w:tcPr>
            <w:tcW w:w="441" w:type="pct"/>
            <w:vMerge w:val="continue"/>
            <w:tcBorders>
              <w:top w:val="nil"/>
              <w:left w:val="nil"/>
              <w:bottom w:val="single" w:color="000000" w:sz="8" w:space="0"/>
              <w:right w:val="single" w:color="000000" w:sz="8" w:space="0"/>
            </w:tcBorders>
            <w:shd w:val="clear" w:color="auto" w:fill="auto"/>
            <w:vAlign w:val="center"/>
          </w:tcPr>
          <w:p w14:paraId="4F239075">
            <w:pPr>
              <w:jc w:val="center"/>
              <w:rPr>
                <w:rFonts w:ascii="宋体" w:hAnsi="宋体" w:cs="宋体"/>
                <w:color w:val="auto"/>
                <w:sz w:val="20"/>
                <w:szCs w:val="20"/>
              </w:rPr>
            </w:pPr>
          </w:p>
        </w:tc>
      </w:tr>
      <w:tr w14:paraId="41ABBFBB">
        <w:tblPrEx>
          <w:tblCellMar>
            <w:top w:w="0" w:type="dxa"/>
            <w:left w:w="108" w:type="dxa"/>
            <w:bottom w:w="0" w:type="dxa"/>
            <w:right w:w="108" w:type="dxa"/>
          </w:tblCellMar>
        </w:tblPrEx>
        <w:trPr>
          <w:trHeight w:val="285"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7FF5EDF4">
            <w:pPr>
              <w:jc w:val="center"/>
              <w:rPr>
                <w:rFonts w:ascii="宋体" w:hAnsi="宋体" w:cs="宋体"/>
                <w:color w:val="auto"/>
                <w:sz w:val="22"/>
                <w:szCs w:val="22"/>
              </w:rPr>
            </w:pPr>
          </w:p>
        </w:tc>
      </w:tr>
      <w:tr w14:paraId="4028D073">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C3E9528">
            <w:pPr>
              <w:jc w:val="center"/>
              <w:textAlignment w:val="center"/>
              <w:rPr>
                <w:rFonts w:ascii="宋体" w:hAnsi="宋体" w:cs="宋体"/>
                <w:color w:val="auto"/>
                <w:sz w:val="22"/>
                <w:szCs w:val="22"/>
              </w:rPr>
            </w:pPr>
            <w:r>
              <w:rPr>
                <w:rFonts w:hint="eastAsia" w:ascii="宋体" w:hAnsi="宋体" w:cs="宋体"/>
                <w:color w:val="auto"/>
                <w:kern w:val="0"/>
                <w:sz w:val="22"/>
                <w:szCs w:val="22"/>
              </w:rPr>
              <w:t>9</w:t>
            </w:r>
          </w:p>
        </w:tc>
        <w:tc>
          <w:tcPr>
            <w:tcW w:w="703" w:type="pct"/>
            <w:tcBorders>
              <w:top w:val="nil"/>
              <w:left w:val="nil"/>
              <w:bottom w:val="single" w:color="000000" w:sz="8" w:space="0"/>
              <w:right w:val="single" w:color="000000" w:sz="8" w:space="0"/>
            </w:tcBorders>
            <w:shd w:val="clear" w:color="auto" w:fill="auto"/>
            <w:vAlign w:val="center"/>
          </w:tcPr>
          <w:p w14:paraId="30B3A0D2">
            <w:pPr>
              <w:jc w:val="center"/>
              <w:textAlignment w:val="center"/>
              <w:rPr>
                <w:rFonts w:ascii="宋体" w:hAnsi="宋体" w:cs="宋体"/>
                <w:color w:val="auto"/>
                <w:sz w:val="20"/>
                <w:szCs w:val="20"/>
              </w:rPr>
            </w:pPr>
            <w:r>
              <w:rPr>
                <w:rStyle w:val="44"/>
                <w:rFonts w:hint="default"/>
                <w:color w:val="auto"/>
              </w:rPr>
              <w:t>仙仁村山后垄加工点</w:t>
            </w:r>
          </w:p>
        </w:tc>
        <w:tc>
          <w:tcPr>
            <w:tcW w:w="436" w:type="pct"/>
            <w:tcBorders>
              <w:top w:val="nil"/>
              <w:left w:val="nil"/>
              <w:bottom w:val="single" w:color="000000" w:sz="8" w:space="0"/>
              <w:right w:val="single" w:color="000000" w:sz="8" w:space="0"/>
            </w:tcBorders>
            <w:shd w:val="clear" w:color="auto" w:fill="auto"/>
            <w:vAlign w:val="center"/>
          </w:tcPr>
          <w:p w14:paraId="0E3B516F">
            <w:pPr>
              <w:jc w:val="center"/>
              <w:textAlignment w:val="center"/>
              <w:rPr>
                <w:rFonts w:ascii="宋体" w:hAnsi="宋体" w:cs="宋体"/>
                <w:color w:val="auto"/>
                <w:sz w:val="20"/>
                <w:szCs w:val="20"/>
              </w:rPr>
            </w:pPr>
            <w:r>
              <w:rPr>
                <w:rFonts w:hint="eastAsia" w:ascii="宋体" w:hAnsi="宋体" w:cs="宋体"/>
                <w:color w:val="auto"/>
                <w:kern w:val="0"/>
                <w:sz w:val="20"/>
                <w:szCs w:val="20"/>
              </w:rPr>
              <w:t>4.5</w:t>
            </w:r>
          </w:p>
        </w:tc>
        <w:tc>
          <w:tcPr>
            <w:tcW w:w="435" w:type="pct"/>
            <w:tcBorders>
              <w:top w:val="nil"/>
              <w:left w:val="nil"/>
              <w:bottom w:val="single" w:color="000000" w:sz="8" w:space="0"/>
              <w:right w:val="single" w:color="000000" w:sz="8" w:space="0"/>
            </w:tcBorders>
            <w:shd w:val="clear" w:color="auto" w:fill="auto"/>
            <w:vAlign w:val="center"/>
          </w:tcPr>
          <w:p w14:paraId="392E8176">
            <w:pPr>
              <w:jc w:val="center"/>
              <w:textAlignment w:val="center"/>
              <w:rPr>
                <w:rFonts w:ascii="宋体" w:hAnsi="宋体" w:cs="宋体"/>
                <w:color w:val="auto"/>
                <w:sz w:val="20"/>
                <w:szCs w:val="20"/>
              </w:rPr>
            </w:pPr>
            <w:r>
              <w:rPr>
                <w:rStyle w:val="44"/>
                <w:rFonts w:hint="default"/>
                <w:color w:val="auto"/>
              </w:rPr>
              <w:t>毛竹初加工</w:t>
            </w:r>
          </w:p>
        </w:tc>
        <w:tc>
          <w:tcPr>
            <w:tcW w:w="436" w:type="pct"/>
            <w:tcBorders>
              <w:top w:val="nil"/>
              <w:left w:val="nil"/>
              <w:bottom w:val="single" w:color="000000" w:sz="8" w:space="0"/>
              <w:right w:val="single" w:color="000000" w:sz="8" w:space="0"/>
            </w:tcBorders>
            <w:shd w:val="clear" w:color="auto" w:fill="auto"/>
            <w:vAlign w:val="center"/>
          </w:tcPr>
          <w:p w14:paraId="5E471676">
            <w:pPr>
              <w:jc w:val="center"/>
              <w:textAlignment w:val="center"/>
              <w:rPr>
                <w:rFonts w:ascii="宋体" w:hAnsi="宋体" w:cs="宋体"/>
                <w:color w:val="auto"/>
                <w:sz w:val="20"/>
                <w:szCs w:val="20"/>
              </w:rPr>
            </w:pPr>
            <w:r>
              <w:rPr>
                <w:rStyle w:val="44"/>
                <w:rFonts w:hint="default"/>
                <w:color w:val="auto"/>
              </w:rPr>
              <w:t>200万支</w:t>
            </w:r>
          </w:p>
        </w:tc>
        <w:tc>
          <w:tcPr>
            <w:tcW w:w="435" w:type="pct"/>
            <w:tcBorders>
              <w:top w:val="nil"/>
              <w:left w:val="nil"/>
              <w:bottom w:val="single" w:color="000000" w:sz="8" w:space="0"/>
              <w:right w:val="single" w:color="000000" w:sz="8" w:space="0"/>
            </w:tcBorders>
            <w:shd w:val="clear" w:color="auto" w:fill="auto"/>
            <w:vAlign w:val="center"/>
          </w:tcPr>
          <w:p w14:paraId="75F67E26">
            <w:pPr>
              <w:jc w:val="center"/>
              <w:textAlignment w:val="center"/>
              <w:rPr>
                <w:rFonts w:ascii="宋体" w:hAnsi="宋体" w:cs="宋体"/>
                <w:color w:val="auto"/>
                <w:sz w:val="20"/>
                <w:szCs w:val="20"/>
              </w:rPr>
            </w:pPr>
            <w:r>
              <w:rPr>
                <w:rStyle w:val="44"/>
                <w:rFonts w:hint="default"/>
                <w:color w:val="auto"/>
              </w:rPr>
              <w:t>竹加工设备</w:t>
            </w:r>
          </w:p>
        </w:tc>
        <w:tc>
          <w:tcPr>
            <w:tcW w:w="435" w:type="pct"/>
            <w:tcBorders>
              <w:top w:val="nil"/>
              <w:left w:val="nil"/>
              <w:bottom w:val="single" w:color="000000" w:sz="8" w:space="0"/>
              <w:right w:val="single" w:color="000000" w:sz="8" w:space="0"/>
            </w:tcBorders>
            <w:shd w:val="clear" w:color="auto" w:fill="auto"/>
            <w:vAlign w:val="center"/>
          </w:tcPr>
          <w:p w14:paraId="5C418882">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0171669D">
            <w:pPr>
              <w:jc w:val="center"/>
              <w:textAlignment w:val="center"/>
              <w:rPr>
                <w:rFonts w:ascii="宋体" w:hAnsi="宋体" w:cs="宋体"/>
                <w:color w:val="auto"/>
                <w:sz w:val="20"/>
                <w:szCs w:val="20"/>
              </w:rPr>
            </w:pPr>
            <w:r>
              <w:rPr>
                <w:rStyle w:val="44"/>
                <w:rFonts w:hint="default"/>
                <w:color w:val="auto"/>
              </w:rPr>
              <w:t>练继华</w:t>
            </w:r>
          </w:p>
        </w:tc>
        <w:tc>
          <w:tcPr>
            <w:tcW w:w="452" w:type="pct"/>
            <w:tcBorders>
              <w:top w:val="nil"/>
              <w:left w:val="nil"/>
              <w:bottom w:val="single" w:color="000000" w:sz="8" w:space="0"/>
              <w:right w:val="single" w:color="000000" w:sz="8" w:space="0"/>
            </w:tcBorders>
            <w:shd w:val="clear" w:color="auto" w:fill="auto"/>
            <w:vAlign w:val="center"/>
          </w:tcPr>
          <w:p w14:paraId="02AFC533">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3CD4CF41">
            <w:pPr>
              <w:jc w:val="center"/>
              <w:textAlignment w:val="center"/>
              <w:rPr>
                <w:rFonts w:ascii="宋体" w:hAnsi="宋体" w:cs="宋体"/>
                <w:color w:val="auto"/>
                <w:sz w:val="20"/>
                <w:szCs w:val="20"/>
              </w:rPr>
            </w:pPr>
            <w:r>
              <w:rPr>
                <w:rStyle w:val="44"/>
                <w:rFonts w:hint="default"/>
                <w:color w:val="auto"/>
              </w:rPr>
              <w:t>仙仁村</w:t>
            </w:r>
          </w:p>
        </w:tc>
        <w:tc>
          <w:tcPr>
            <w:tcW w:w="441" w:type="pct"/>
            <w:vMerge w:val="restart"/>
            <w:tcBorders>
              <w:top w:val="nil"/>
              <w:left w:val="nil"/>
              <w:bottom w:val="single" w:color="000000" w:sz="8" w:space="0"/>
              <w:right w:val="single" w:color="000000" w:sz="8" w:space="0"/>
            </w:tcBorders>
            <w:shd w:val="clear" w:color="auto" w:fill="auto"/>
            <w:vAlign w:val="center"/>
          </w:tcPr>
          <w:p w14:paraId="2DBDB216">
            <w:pPr>
              <w:jc w:val="center"/>
              <w:textAlignment w:val="center"/>
              <w:rPr>
                <w:rFonts w:ascii="宋体" w:hAnsi="宋体" w:cs="宋体"/>
                <w:color w:val="auto"/>
                <w:sz w:val="20"/>
                <w:szCs w:val="20"/>
              </w:rPr>
            </w:pPr>
            <w:r>
              <w:rPr>
                <w:rStyle w:val="44"/>
                <w:rFonts w:hint="default"/>
                <w:color w:val="auto"/>
              </w:rPr>
              <w:t>兰巨乡</w:t>
            </w:r>
          </w:p>
        </w:tc>
      </w:tr>
      <w:tr w14:paraId="12D4CCB6">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CEEC6A3">
            <w:pPr>
              <w:jc w:val="center"/>
              <w:textAlignment w:val="center"/>
              <w:rPr>
                <w:rFonts w:ascii="宋体" w:hAnsi="宋体" w:cs="宋体"/>
                <w:color w:val="auto"/>
                <w:sz w:val="22"/>
                <w:szCs w:val="22"/>
              </w:rPr>
            </w:pPr>
            <w:r>
              <w:rPr>
                <w:rFonts w:hint="eastAsia" w:ascii="宋体" w:hAnsi="宋体" w:cs="宋体"/>
                <w:color w:val="auto"/>
                <w:kern w:val="0"/>
                <w:sz w:val="22"/>
                <w:szCs w:val="22"/>
              </w:rPr>
              <w:t>10</w:t>
            </w:r>
          </w:p>
        </w:tc>
        <w:tc>
          <w:tcPr>
            <w:tcW w:w="703" w:type="pct"/>
            <w:tcBorders>
              <w:top w:val="nil"/>
              <w:left w:val="nil"/>
              <w:bottom w:val="single" w:color="000000" w:sz="8" w:space="0"/>
              <w:right w:val="single" w:color="000000" w:sz="8" w:space="0"/>
            </w:tcBorders>
            <w:shd w:val="clear" w:color="auto" w:fill="auto"/>
            <w:vAlign w:val="center"/>
          </w:tcPr>
          <w:p w14:paraId="40E2A5C4">
            <w:pPr>
              <w:jc w:val="center"/>
              <w:textAlignment w:val="center"/>
              <w:rPr>
                <w:rFonts w:ascii="宋体" w:hAnsi="宋体" w:cs="宋体"/>
                <w:color w:val="auto"/>
                <w:sz w:val="20"/>
                <w:szCs w:val="20"/>
              </w:rPr>
            </w:pPr>
            <w:r>
              <w:rPr>
                <w:rStyle w:val="44"/>
                <w:rFonts w:hint="default"/>
                <w:color w:val="auto"/>
              </w:rPr>
              <w:t>独田村真武殿加工点</w:t>
            </w:r>
          </w:p>
        </w:tc>
        <w:tc>
          <w:tcPr>
            <w:tcW w:w="436" w:type="pct"/>
            <w:tcBorders>
              <w:top w:val="nil"/>
              <w:left w:val="nil"/>
              <w:bottom w:val="single" w:color="000000" w:sz="8" w:space="0"/>
              <w:right w:val="single" w:color="000000" w:sz="8" w:space="0"/>
            </w:tcBorders>
            <w:shd w:val="clear" w:color="auto" w:fill="auto"/>
            <w:vAlign w:val="center"/>
          </w:tcPr>
          <w:p w14:paraId="6011964A">
            <w:pPr>
              <w:jc w:val="center"/>
              <w:textAlignment w:val="center"/>
              <w:rPr>
                <w:rFonts w:ascii="宋体" w:hAnsi="宋体" w:cs="宋体"/>
                <w:color w:val="auto"/>
                <w:sz w:val="20"/>
                <w:szCs w:val="20"/>
              </w:rPr>
            </w:pPr>
            <w:r>
              <w:rPr>
                <w:rFonts w:hint="eastAsia" w:ascii="宋体" w:hAnsi="宋体" w:cs="宋体"/>
                <w:color w:val="auto"/>
                <w:kern w:val="0"/>
                <w:sz w:val="20"/>
                <w:szCs w:val="20"/>
              </w:rPr>
              <w:t>30</w:t>
            </w:r>
          </w:p>
        </w:tc>
        <w:tc>
          <w:tcPr>
            <w:tcW w:w="435" w:type="pct"/>
            <w:tcBorders>
              <w:top w:val="nil"/>
              <w:left w:val="nil"/>
              <w:bottom w:val="single" w:color="000000" w:sz="8" w:space="0"/>
              <w:right w:val="single" w:color="000000" w:sz="8" w:space="0"/>
            </w:tcBorders>
            <w:shd w:val="clear" w:color="auto" w:fill="auto"/>
            <w:vAlign w:val="center"/>
          </w:tcPr>
          <w:p w14:paraId="5F701BC4">
            <w:pPr>
              <w:jc w:val="center"/>
              <w:textAlignment w:val="center"/>
              <w:rPr>
                <w:rFonts w:ascii="宋体" w:hAnsi="宋体" w:cs="宋体"/>
                <w:color w:val="auto"/>
                <w:sz w:val="20"/>
                <w:szCs w:val="20"/>
              </w:rPr>
            </w:pPr>
            <w:r>
              <w:rPr>
                <w:rStyle w:val="44"/>
                <w:rFonts w:hint="default"/>
                <w:color w:val="auto"/>
              </w:rPr>
              <w:t>毛竹初加工</w:t>
            </w:r>
          </w:p>
        </w:tc>
        <w:tc>
          <w:tcPr>
            <w:tcW w:w="436" w:type="pct"/>
            <w:tcBorders>
              <w:top w:val="nil"/>
              <w:left w:val="nil"/>
              <w:bottom w:val="single" w:color="000000" w:sz="8" w:space="0"/>
              <w:right w:val="single" w:color="000000" w:sz="8" w:space="0"/>
            </w:tcBorders>
            <w:shd w:val="clear" w:color="auto" w:fill="auto"/>
            <w:vAlign w:val="center"/>
          </w:tcPr>
          <w:p w14:paraId="623D622A">
            <w:pPr>
              <w:jc w:val="center"/>
              <w:textAlignment w:val="center"/>
              <w:rPr>
                <w:rFonts w:ascii="宋体" w:hAnsi="宋体" w:cs="宋体"/>
                <w:color w:val="auto"/>
                <w:sz w:val="20"/>
                <w:szCs w:val="20"/>
              </w:rPr>
            </w:pPr>
            <w:r>
              <w:rPr>
                <w:rStyle w:val="44"/>
                <w:rFonts w:hint="default"/>
                <w:color w:val="auto"/>
              </w:rPr>
              <w:t>400万支</w:t>
            </w:r>
          </w:p>
        </w:tc>
        <w:tc>
          <w:tcPr>
            <w:tcW w:w="435" w:type="pct"/>
            <w:tcBorders>
              <w:top w:val="nil"/>
              <w:left w:val="nil"/>
              <w:bottom w:val="single" w:color="000000" w:sz="8" w:space="0"/>
              <w:right w:val="single" w:color="000000" w:sz="8" w:space="0"/>
            </w:tcBorders>
            <w:shd w:val="clear" w:color="auto" w:fill="auto"/>
            <w:vAlign w:val="center"/>
          </w:tcPr>
          <w:p w14:paraId="22D9CEE0">
            <w:pPr>
              <w:jc w:val="center"/>
              <w:textAlignment w:val="center"/>
              <w:rPr>
                <w:rFonts w:ascii="宋体" w:hAnsi="宋体" w:cs="宋体"/>
                <w:color w:val="auto"/>
                <w:sz w:val="20"/>
                <w:szCs w:val="20"/>
              </w:rPr>
            </w:pPr>
            <w:r>
              <w:rPr>
                <w:rStyle w:val="44"/>
                <w:rFonts w:hint="default"/>
                <w:color w:val="auto"/>
              </w:rPr>
              <w:t>竹加工设备</w:t>
            </w:r>
          </w:p>
        </w:tc>
        <w:tc>
          <w:tcPr>
            <w:tcW w:w="435" w:type="pct"/>
            <w:tcBorders>
              <w:top w:val="nil"/>
              <w:left w:val="nil"/>
              <w:bottom w:val="single" w:color="000000" w:sz="8" w:space="0"/>
              <w:right w:val="single" w:color="000000" w:sz="8" w:space="0"/>
            </w:tcBorders>
            <w:shd w:val="clear" w:color="auto" w:fill="auto"/>
            <w:vAlign w:val="center"/>
          </w:tcPr>
          <w:p w14:paraId="1F90AB20">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2380E7AB">
            <w:pPr>
              <w:jc w:val="center"/>
              <w:textAlignment w:val="center"/>
              <w:rPr>
                <w:rFonts w:ascii="宋体" w:hAnsi="宋体" w:cs="宋体"/>
                <w:color w:val="auto"/>
                <w:sz w:val="20"/>
                <w:szCs w:val="20"/>
              </w:rPr>
            </w:pPr>
            <w:r>
              <w:rPr>
                <w:rStyle w:val="44"/>
                <w:rFonts w:hint="default"/>
                <w:color w:val="auto"/>
              </w:rPr>
              <w:t>独田村</w:t>
            </w:r>
          </w:p>
        </w:tc>
        <w:tc>
          <w:tcPr>
            <w:tcW w:w="452" w:type="pct"/>
            <w:tcBorders>
              <w:top w:val="nil"/>
              <w:left w:val="nil"/>
              <w:bottom w:val="single" w:color="000000" w:sz="8" w:space="0"/>
              <w:right w:val="single" w:color="000000" w:sz="8" w:space="0"/>
            </w:tcBorders>
            <w:shd w:val="clear" w:color="auto" w:fill="auto"/>
            <w:vAlign w:val="center"/>
          </w:tcPr>
          <w:p w14:paraId="0E1EE323">
            <w:pPr>
              <w:jc w:val="center"/>
              <w:textAlignment w:val="center"/>
              <w:rPr>
                <w:rFonts w:ascii="宋体" w:hAnsi="宋体" w:cs="宋体"/>
                <w:color w:val="auto"/>
                <w:sz w:val="20"/>
                <w:szCs w:val="20"/>
              </w:rPr>
            </w:pPr>
            <w:r>
              <w:rPr>
                <w:rStyle w:val="44"/>
                <w:rFonts w:hint="default"/>
                <w:color w:val="auto"/>
              </w:rPr>
              <w:t>2022-2023年</w:t>
            </w:r>
          </w:p>
        </w:tc>
        <w:tc>
          <w:tcPr>
            <w:tcW w:w="435" w:type="pct"/>
            <w:tcBorders>
              <w:top w:val="nil"/>
              <w:left w:val="nil"/>
              <w:bottom w:val="single" w:color="000000" w:sz="8" w:space="0"/>
              <w:right w:val="single" w:color="000000" w:sz="8" w:space="0"/>
            </w:tcBorders>
            <w:shd w:val="clear" w:color="auto" w:fill="auto"/>
            <w:vAlign w:val="center"/>
          </w:tcPr>
          <w:p w14:paraId="6F26261E">
            <w:pPr>
              <w:jc w:val="center"/>
              <w:textAlignment w:val="center"/>
              <w:rPr>
                <w:rFonts w:ascii="宋体" w:hAnsi="宋体" w:cs="宋体"/>
                <w:color w:val="auto"/>
                <w:sz w:val="20"/>
                <w:szCs w:val="20"/>
              </w:rPr>
            </w:pPr>
            <w:r>
              <w:rPr>
                <w:rStyle w:val="44"/>
                <w:rFonts w:hint="default"/>
                <w:color w:val="auto"/>
              </w:rPr>
              <w:t>独田村</w:t>
            </w:r>
          </w:p>
        </w:tc>
        <w:tc>
          <w:tcPr>
            <w:tcW w:w="441" w:type="pct"/>
            <w:vMerge w:val="continue"/>
            <w:tcBorders>
              <w:top w:val="nil"/>
              <w:left w:val="nil"/>
              <w:bottom w:val="single" w:color="000000" w:sz="8" w:space="0"/>
              <w:right w:val="single" w:color="000000" w:sz="8" w:space="0"/>
            </w:tcBorders>
            <w:shd w:val="clear" w:color="auto" w:fill="auto"/>
            <w:vAlign w:val="center"/>
          </w:tcPr>
          <w:p w14:paraId="3077B138">
            <w:pPr>
              <w:jc w:val="center"/>
              <w:rPr>
                <w:rFonts w:ascii="宋体" w:hAnsi="宋体" w:cs="宋体"/>
                <w:color w:val="auto"/>
                <w:sz w:val="20"/>
                <w:szCs w:val="20"/>
              </w:rPr>
            </w:pPr>
          </w:p>
        </w:tc>
      </w:tr>
      <w:tr w14:paraId="439456AA">
        <w:tblPrEx>
          <w:tblCellMar>
            <w:top w:w="0" w:type="dxa"/>
            <w:left w:w="108" w:type="dxa"/>
            <w:bottom w:w="0" w:type="dxa"/>
            <w:right w:w="108" w:type="dxa"/>
          </w:tblCellMar>
        </w:tblPrEx>
        <w:trPr>
          <w:trHeight w:val="73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63C892EA">
            <w:pPr>
              <w:jc w:val="center"/>
              <w:textAlignment w:val="center"/>
              <w:rPr>
                <w:rFonts w:ascii="宋体" w:hAnsi="宋体" w:cs="宋体"/>
                <w:color w:val="auto"/>
                <w:sz w:val="22"/>
                <w:szCs w:val="22"/>
              </w:rPr>
            </w:pPr>
            <w:r>
              <w:rPr>
                <w:rFonts w:hint="eastAsia" w:ascii="宋体" w:hAnsi="宋体" w:cs="宋体"/>
                <w:color w:val="auto"/>
                <w:kern w:val="0"/>
                <w:sz w:val="22"/>
                <w:szCs w:val="22"/>
              </w:rPr>
              <w:t>11</w:t>
            </w:r>
          </w:p>
        </w:tc>
        <w:tc>
          <w:tcPr>
            <w:tcW w:w="703" w:type="pct"/>
            <w:tcBorders>
              <w:top w:val="nil"/>
              <w:left w:val="nil"/>
              <w:bottom w:val="single" w:color="000000" w:sz="8" w:space="0"/>
              <w:right w:val="single" w:color="000000" w:sz="8" w:space="0"/>
            </w:tcBorders>
            <w:shd w:val="clear" w:color="auto" w:fill="auto"/>
            <w:vAlign w:val="center"/>
          </w:tcPr>
          <w:p w14:paraId="389669A6">
            <w:pPr>
              <w:jc w:val="center"/>
              <w:textAlignment w:val="center"/>
              <w:rPr>
                <w:rFonts w:ascii="宋体" w:hAnsi="宋体" w:cs="宋体"/>
                <w:color w:val="auto"/>
                <w:sz w:val="20"/>
                <w:szCs w:val="20"/>
              </w:rPr>
            </w:pPr>
            <w:r>
              <w:rPr>
                <w:rStyle w:val="44"/>
                <w:rFonts w:hint="default"/>
                <w:color w:val="auto"/>
              </w:rPr>
              <w:t>安吉台洋加工点</w:t>
            </w:r>
          </w:p>
        </w:tc>
        <w:tc>
          <w:tcPr>
            <w:tcW w:w="436" w:type="pct"/>
            <w:tcBorders>
              <w:top w:val="nil"/>
              <w:left w:val="nil"/>
              <w:bottom w:val="single" w:color="000000" w:sz="8" w:space="0"/>
              <w:right w:val="single" w:color="000000" w:sz="8" w:space="0"/>
            </w:tcBorders>
            <w:shd w:val="clear" w:color="auto" w:fill="auto"/>
            <w:vAlign w:val="center"/>
          </w:tcPr>
          <w:p w14:paraId="453A3084">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66438A64">
            <w:pPr>
              <w:jc w:val="center"/>
              <w:textAlignment w:val="center"/>
              <w:rPr>
                <w:rFonts w:ascii="宋体" w:hAnsi="宋体" w:cs="宋体"/>
                <w:color w:val="auto"/>
                <w:sz w:val="20"/>
                <w:szCs w:val="20"/>
              </w:rPr>
            </w:pPr>
            <w:r>
              <w:rPr>
                <w:rStyle w:val="44"/>
                <w:rFonts w:hint="default"/>
                <w:color w:val="auto"/>
              </w:rPr>
              <w:t>毛竹粗加工</w:t>
            </w:r>
          </w:p>
        </w:tc>
        <w:tc>
          <w:tcPr>
            <w:tcW w:w="436" w:type="pct"/>
            <w:tcBorders>
              <w:top w:val="nil"/>
              <w:left w:val="nil"/>
              <w:bottom w:val="single" w:color="000000" w:sz="8" w:space="0"/>
              <w:right w:val="single" w:color="000000" w:sz="8" w:space="0"/>
            </w:tcBorders>
            <w:shd w:val="clear" w:color="auto" w:fill="auto"/>
            <w:vAlign w:val="center"/>
          </w:tcPr>
          <w:p w14:paraId="45C45906">
            <w:pPr>
              <w:jc w:val="center"/>
              <w:textAlignment w:val="center"/>
              <w:rPr>
                <w:rFonts w:ascii="宋体" w:hAnsi="宋体" w:cs="宋体"/>
                <w:color w:val="auto"/>
                <w:sz w:val="20"/>
                <w:szCs w:val="20"/>
              </w:rPr>
            </w:pPr>
            <w:r>
              <w:rPr>
                <w:rStyle w:val="44"/>
                <w:rFonts w:hint="default"/>
                <w:color w:val="auto"/>
              </w:rPr>
              <w:t>990万支</w:t>
            </w:r>
          </w:p>
        </w:tc>
        <w:tc>
          <w:tcPr>
            <w:tcW w:w="435" w:type="pct"/>
            <w:tcBorders>
              <w:top w:val="nil"/>
              <w:left w:val="nil"/>
              <w:bottom w:val="single" w:color="000000" w:sz="8" w:space="0"/>
              <w:right w:val="single" w:color="000000" w:sz="8" w:space="0"/>
            </w:tcBorders>
            <w:shd w:val="clear" w:color="auto" w:fill="auto"/>
            <w:vAlign w:val="center"/>
          </w:tcPr>
          <w:p w14:paraId="52B7BE21">
            <w:pPr>
              <w:jc w:val="center"/>
              <w:textAlignment w:val="center"/>
              <w:rPr>
                <w:rFonts w:ascii="宋体" w:hAnsi="宋体" w:cs="宋体"/>
                <w:color w:val="auto"/>
                <w:sz w:val="20"/>
                <w:szCs w:val="20"/>
              </w:rPr>
            </w:pPr>
            <w:r>
              <w:rPr>
                <w:rStyle w:val="44"/>
                <w:rFonts w:hint="default"/>
                <w:color w:val="auto"/>
              </w:rPr>
              <w:t>地板条粗刨机进向帘编机</w:t>
            </w:r>
          </w:p>
        </w:tc>
        <w:tc>
          <w:tcPr>
            <w:tcW w:w="435" w:type="pct"/>
            <w:tcBorders>
              <w:top w:val="nil"/>
              <w:left w:val="nil"/>
              <w:bottom w:val="single" w:color="000000" w:sz="8" w:space="0"/>
              <w:right w:val="single" w:color="000000" w:sz="8" w:space="0"/>
            </w:tcBorders>
            <w:shd w:val="clear" w:color="auto" w:fill="auto"/>
            <w:vAlign w:val="center"/>
          </w:tcPr>
          <w:p w14:paraId="73EE99B8">
            <w:pPr>
              <w:jc w:val="center"/>
              <w:textAlignment w:val="center"/>
              <w:rPr>
                <w:rFonts w:ascii="宋体" w:hAnsi="宋体" w:cs="宋体"/>
                <w:color w:val="auto"/>
                <w:sz w:val="20"/>
                <w:szCs w:val="20"/>
              </w:rPr>
            </w:pPr>
            <w:r>
              <w:rPr>
                <w:rFonts w:hint="eastAsia" w:ascii="宋体" w:hAnsi="宋体" w:cs="宋体"/>
                <w:color w:val="auto"/>
                <w:kern w:val="0"/>
                <w:sz w:val="20"/>
                <w:szCs w:val="20"/>
              </w:rPr>
              <w:t>250</w:t>
            </w:r>
          </w:p>
        </w:tc>
        <w:tc>
          <w:tcPr>
            <w:tcW w:w="435" w:type="pct"/>
            <w:tcBorders>
              <w:top w:val="nil"/>
              <w:left w:val="nil"/>
              <w:bottom w:val="single" w:color="000000" w:sz="8" w:space="0"/>
              <w:right w:val="single" w:color="000000" w:sz="8" w:space="0"/>
            </w:tcBorders>
            <w:shd w:val="clear" w:color="auto" w:fill="auto"/>
            <w:vAlign w:val="center"/>
          </w:tcPr>
          <w:p w14:paraId="5F1CB910">
            <w:pPr>
              <w:jc w:val="center"/>
              <w:textAlignment w:val="center"/>
              <w:rPr>
                <w:rFonts w:ascii="宋体" w:hAnsi="宋体" w:cs="宋体"/>
                <w:color w:val="auto"/>
                <w:sz w:val="20"/>
                <w:szCs w:val="20"/>
              </w:rPr>
            </w:pPr>
            <w:r>
              <w:rPr>
                <w:rStyle w:val="44"/>
                <w:rFonts w:hint="default"/>
                <w:color w:val="auto"/>
              </w:rPr>
              <w:t>个体</w:t>
            </w:r>
          </w:p>
        </w:tc>
        <w:tc>
          <w:tcPr>
            <w:tcW w:w="452" w:type="pct"/>
            <w:tcBorders>
              <w:top w:val="nil"/>
              <w:left w:val="nil"/>
              <w:bottom w:val="single" w:color="000000" w:sz="8" w:space="0"/>
              <w:right w:val="single" w:color="000000" w:sz="8" w:space="0"/>
            </w:tcBorders>
            <w:shd w:val="clear" w:color="auto" w:fill="auto"/>
            <w:vAlign w:val="center"/>
          </w:tcPr>
          <w:p w14:paraId="46D447AA">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54248333">
            <w:pPr>
              <w:jc w:val="center"/>
              <w:textAlignment w:val="center"/>
              <w:rPr>
                <w:rFonts w:ascii="宋体" w:hAnsi="宋体" w:cs="宋体"/>
                <w:color w:val="auto"/>
                <w:sz w:val="20"/>
                <w:szCs w:val="20"/>
              </w:rPr>
            </w:pPr>
            <w:r>
              <w:rPr>
                <w:rStyle w:val="44"/>
                <w:rFonts w:hint="default"/>
                <w:color w:val="auto"/>
              </w:rPr>
              <w:t>安吉村</w:t>
            </w:r>
          </w:p>
        </w:tc>
        <w:tc>
          <w:tcPr>
            <w:tcW w:w="441" w:type="pct"/>
            <w:vMerge w:val="continue"/>
            <w:tcBorders>
              <w:top w:val="nil"/>
              <w:left w:val="nil"/>
              <w:bottom w:val="single" w:color="000000" w:sz="8" w:space="0"/>
              <w:right w:val="single" w:color="000000" w:sz="8" w:space="0"/>
            </w:tcBorders>
            <w:shd w:val="clear" w:color="auto" w:fill="auto"/>
            <w:vAlign w:val="center"/>
          </w:tcPr>
          <w:p w14:paraId="09C6D234">
            <w:pPr>
              <w:jc w:val="center"/>
              <w:rPr>
                <w:rFonts w:ascii="宋体" w:hAnsi="宋体" w:cs="宋体"/>
                <w:color w:val="auto"/>
                <w:sz w:val="20"/>
                <w:szCs w:val="20"/>
              </w:rPr>
            </w:pPr>
          </w:p>
        </w:tc>
      </w:tr>
      <w:tr w14:paraId="2480108C">
        <w:tblPrEx>
          <w:tblCellMar>
            <w:top w:w="0" w:type="dxa"/>
            <w:left w:w="108" w:type="dxa"/>
            <w:bottom w:w="0" w:type="dxa"/>
            <w:right w:w="108" w:type="dxa"/>
          </w:tblCellMar>
        </w:tblPrEx>
        <w:trPr>
          <w:trHeight w:val="73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B4836F8">
            <w:pPr>
              <w:jc w:val="center"/>
              <w:textAlignment w:val="center"/>
              <w:rPr>
                <w:rFonts w:ascii="宋体" w:hAnsi="宋体" w:cs="宋体"/>
                <w:color w:val="auto"/>
                <w:sz w:val="22"/>
                <w:szCs w:val="22"/>
              </w:rPr>
            </w:pPr>
            <w:r>
              <w:rPr>
                <w:rFonts w:hint="eastAsia" w:ascii="宋体" w:hAnsi="宋体" w:cs="宋体"/>
                <w:color w:val="auto"/>
                <w:kern w:val="0"/>
                <w:sz w:val="22"/>
                <w:szCs w:val="22"/>
              </w:rPr>
              <w:t>12</w:t>
            </w:r>
          </w:p>
        </w:tc>
        <w:tc>
          <w:tcPr>
            <w:tcW w:w="703" w:type="pct"/>
            <w:tcBorders>
              <w:top w:val="nil"/>
              <w:left w:val="nil"/>
              <w:bottom w:val="single" w:color="000000" w:sz="8" w:space="0"/>
              <w:right w:val="single" w:color="000000" w:sz="8" w:space="0"/>
            </w:tcBorders>
            <w:shd w:val="clear" w:color="auto" w:fill="auto"/>
            <w:vAlign w:val="center"/>
          </w:tcPr>
          <w:p w14:paraId="2F26B08E">
            <w:pPr>
              <w:jc w:val="center"/>
              <w:textAlignment w:val="center"/>
              <w:rPr>
                <w:rFonts w:ascii="宋体" w:hAnsi="宋体" w:cs="宋体"/>
                <w:color w:val="auto"/>
                <w:sz w:val="20"/>
                <w:szCs w:val="20"/>
              </w:rPr>
            </w:pPr>
            <w:r>
              <w:rPr>
                <w:rStyle w:val="44"/>
                <w:rFonts w:hint="default"/>
                <w:color w:val="auto"/>
              </w:rPr>
              <w:t>山头毛竹初加工</w:t>
            </w:r>
          </w:p>
        </w:tc>
        <w:tc>
          <w:tcPr>
            <w:tcW w:w="436" w:type="pct"/>
            <w:tcBorders>
              <w:top w:val="nil"/>
              <w:left w:val="nil"/>
              <w:bottom w:val="single" w:color="000000" w:sz="8" w:space="0"/>
              <w:right w:val="single" w:color="000000" w:sz="8" w:space="0"/>
            </w:tcBorders>
            <w:shd w:val="clear" w:color="auto" w:fill="auto"/>
            <w:vAlign w:val="center"/>
          </w:tcPr>
          <w:p w14:paraId="4709AD36">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388E0E89">
            <w:pPr>
              <w:jc w:val="center"/>
              <w:textAlignment w:val="center"/>
              <w:rPr>
                <w:rFonts w:ascii="宋体" w:hAnsi="宋体" w:cs="宋体"/>
                <w:color w:val="auto"/>
                <w:sz w:val="20"/>
                <w:szCs w:val="20"/>
              </w:rPr>
            </w:pPr>
            <w:r>
              <w:rPr>
                <w:rStyle w:val="44"/>
                <w:rFonts w:hint="default"/>
                <w:color w:val="auto"/>
              </w:rPr>
              <w:t>毛竹初加工</w:t>
            </w:r>
          </w:p>
        </w:tc>
        <w:tc>
          <w:tcPr>
            <w:tcW w:w="436" w:type="pct"/>
            <w:tcBorders>
              <w:top w:val="nil"/>
              <w:left w:val="nil"/>
              <w:bottom w:val="single" w:color="000000" w:sz="8" w:space="0"/>
              <w:right w:val="single" w:color="000000" w:sz="8" w:space="0"/>
            </w:tcBorders>
            <w:shd w:val="clear" w:color="auto" w:fill="auto"/>
            <w:vAlign w:val="center"/>
          </w:tcPr>
          <w:p w14:paraId="6B8CF09E">
            <w:pPr>
              <w:jc w:val="center"/>
              <w:textAlignment w:val="center"/>
              <w:rPr>
                <w:rFonts w:ascii="宋体" w:hAnsi="宋体" w:cs="宋体"/>
                <w:color w:val="auto"/>
                <w:sz w:val="20"/>
                <w:szCs w:val="20"/>
              </w:rPr>
            </w:pPr>
            <w:r>
              <w:rPr>
                <w:rStyle w:val="44"/>
                <w:rFonts w:hint="default"/>
                <w:color w:val="auto"/>
              </w:rPr>
              <w:t>990万支</w:t>
            </w:r>
          </w:p>
        </w:tc>
        <w:tc>
          <w:tcPr>
            <w:tcW w:w="435" w:type="pct"/>
            <w:tcBorders>
              <w:top w:val="nil"/>
              <w:left w:val="nil"/>
              <w:bottom w:val="single" w:color="000000" w:sz="8" w:space="0"/>
              <w:right w:val="single" w:color="000000" w:sz="8" w:space="0"/>
            </w:tcBorders>
            <w:shd w:val="clear" w:color="auto" w:fill="auto"/>
            <w:vAlign w:val="center"/>
          </w:tcPr>
          <w:p w14:paraId="4F5EC875">
            <w:pPr>
              <w:jc w:val="center"/>
              <w:textAlignment w:val="center"/>
              <w:rPr>
                <w:rFonts w:ascii="宋体" w:hAnsi="宋体" w:cs="宋体"/>
                <w:color w:val="auto"/>
                <w:sz w:val="20"/>
                <w:szCs w:val="20"/>
              </w:rPr>
            </w:pPr>
            <w:r>
              <w:rPr>
                <w:rStyle w:val="44"/>
                <w:rFonts w:hint="default"/>
                <w:color w:val="auto"/>
              </w:rPr>
              <w:t>地板条粗刨机进向帘编机</w:t>
            </w:r>
          </w:p>
        </w:tc>
        <w:tc>
          <w:tcPr>
            <w:tcW w:w="435" w:type="pct"/>
            <w:tcBorders>
              <w:top w:val="nil"/>
              <w:left w:val="nil"/>
              <w:bottom w:val="single" w:color="000000" w:sz="8" w:space="0"/>
              <w:right w:val="single" w:color="000000" w:sz="8" w:space="0"/>
            </w:tcBorders>
            <w:shd w:val="clear" w:color="auto" w:fill="auto"/>
            <w:vAlign w:val="center"/>
          </w:tcPr>
          <w:p w14:paraId="573283F3">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2634D80C">
            <w:pPr>
              <w:jc w:val="center"/>
              <w:textAlignment w:val="center"/>
              <w:rPr>
                <w:rFonts w:ascii="宋体" w:hAnsi="宋体" w:cs="宋体"/>
                <w:color w:val="auto"/>
                <w:sz w:val="20"/>
                <w:szCs w:val="20"/>
              </w:rPr>
            </w:pPr>
            <w:r>
              <w:rPr>
                <w:rStyle w:val="44"/>
                <w:rFonts w:hint="default"/>
                <w:color w:val="auto"/>
              </w:rPr>
              <w:t>个人</w:t>
            </w:r>
          </w:p>
        </w:tc>
        <w:tc>
          <w:tcPr>
            <w:tcW w:w="452" w:type="pct"/>
            <w:tcBorders>
              <w:top w:val="nil"/>
              <w:left w:val="nil"/>
              <w:bottom w:val="single" w:color="000000" w:sz="8" w:space="0"/>
              <w:right w:val="single" w:color="000000" w:sz="8" w:space="0"/>
            </w:tcBorders>
            <w:shd w:val="clear" w:color="auto" w:fill="auto"/>
            <w:vAlign w:val="center"/>
          </w:tcPr>
          <w:p w14:paraId="5655F9BB">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3B28FFF3">
            <w:pPr>
              <w:jc w:val="center"/>
              <w:textAlignment w:val="center"/>
              <w:rPr>
                <w:rFonts w:ascii="宋体" w:hAnsi="宋体" w:cs="宋体"/>
                <w:color w:val="auto"/>
                <w:sz w:val="20"/>
                <w:szCs w:val="20"/>
              </w:rPr>
            </w:pPr>
            <w:r>
              <w:rPr>
                <w:rStyle w:val="44"/>
                <w:rFonts w:hint="default"/>
                <w:color w:val="auto"/>
              </w:rPr>
              <w:t>-</w:t>
            </w:r>
          </w:p>
        </w:tc>
        <w:tc>
          <w:tcPr>
            <w:tcW w:w="441" w:type="pct"/>
            <w:vMerge w:val="continue"/>
            <w:tcBorders>
              <w:top w:val="nil"/>
              <w:left w:val="nil"/>
              <w:bottom w:val="single" w:color="000000" w:sz="8" w:space="0"/>
              <w:right w:val="single" w:color="000000" w:sz="8" w:space="0"/>
            </w:tcBorders>
            <w:shd w:val="clear" w:color="auto" w:fill="auto"/>
            <w:vAlign w:val="center"/>
          </w:tcPr>
          <w:p w14:paraId="76E74A15">
            <w:pPr>
              <w:jc w:val="center"/>
              <w:rPr>
                <w:rFonts w:ascii="宋体" w:hAnsi="宋体" w:cs="宋体"/>
                <w:color w:val="auto"/>
                <w:sz w:val="20"/>
                <w:szCs w:val="20"/>
              </w:rPr>
            </w:pPr>
          </w:p>
        </w:tc>
      </w:tr>
      <w:tr w14:paraId="0820671E">
        <w:tblPrEx>
          <w:tblCellMar>
            <w:top w:w="0" w:type="dxa"/>
            <w:left w:w="108" w:type="dxa"/>
            <w:bottom w:w="0" w:type="dxa"/>
            <w:right w:w="108" w:type="dxa"/>
          </w:tblCellMar>
        </w:tblPrEx>
        <w:trPr>
          <w:trHeight w:val="285"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076A1472">
            <w:pPr>
              <w:jc w:val="center"/>
              <w:rPr>
                <w:rFonts w:ascii="宋体" w:hAnsi="宋体" w:cs="宋体"/>
                <w:color w:val="auto"/>
                <w:sz w:val="22"/>
                <w:szCs w:val="22"/>
              </w:rPr>
            </w:pPr>
          </w:p>
        </w:tc>
      </w:tr>
      <w:tr w14:paraId="7CC87FA3">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EDD0D9A">
            <w:pPr>
              <w:jc w:val="center"/>
              <w:textAlignment w:val="center"/>
              <w:rPr>
                <w:rFonts w:ascii="宋体" w:hAnsi="宋体" w:cs="宋体"/>
                <w:color w:val="auto"/>
                <w:sz w:val="22"/>
                <w:szCs w:val="22"/>
              </w:rPr>
            </w:pPr>
            <w:r>
              <w:rPr>
                <w:rFonts w:hint="eastAsia" w:ascii="宋体" w:hAnsi="宋体" w:cs="宋体"/>
                <w:color w:val="auto"/>
                <w:kern w:val="0"/>
                <w:sz w:val="22"/>
                <w:szCs w:val="22"/>
              </w:rPr>
              <w:t>13</w:t>
            </w:r>
          </w:p>
        </w:tc>
        <w:tc>
          <w:tcPr>
            <w:tcW w:w="703" w:type="pct"/>
            <w:tcBorders>
              <w:top w:val="nil"/>
              <w:left w:val="nil"/>
              <w:bottom w:val="single" w:color="000000" w:sz="8" w:space="0"/>
              <w:right w:val="single" w:color="000000" w:sz="8" w:space="0"/>
            </w:tcBorders>
            <w:shd w:val="clear" w:color="auto" w:fill="auto"/>
            <w:vAlign w:val="center"/>
          </w:tcPr>
          <w:p w14:paraId="78E25ACA">
            <w:pPr>
              <w:jc w:val="center"/>
              <w:textAlignment w:val="center"/>
              <w:rPr>
                <w:rFonts w:ascii="宋体" w:hAnsi="宋体" w:cs="宋体"/>
                <w:color w:val="auto"/>
                <w:sz w:val="20"/>
                <w:szCs w:val="20"/>
              </w:rPr>
            </w:pPr>
            <w:r>
              <w:rPr>
                <w:rStyle w:val="44"/>
                <w:rFonts w:hint="default"/>
                <w:color w:val="auto"/>
              </w:rPr>
              <w:t>项边村毛竹加工点</w:t>
            </w:r>
          </w:p>
        </w:tc>
        <w:tc>
          <w:tcPr>
            <w:tcW w:w="436" w:type="pct"/>
            <w:tcBorders>
              <w:top w:val="nil"/>
              <w:left w:val="nil"/>
              <w:bottom w:val="single" w:color="000000" w:sz="8" w:space="0"/>
              <w:right w:val="single" w:color="000000" w:sz="8" w:space="0"/>
            </w:tcBorders>
            <w:shd w:val="clear" w:color="auto" w:fill="auto"/>
            <w:vAlign w:val="center"/>
          </w:tcPr>
          <w:p w14:paraId="579A064F">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2D9B0EB7">
            <w:pPr>
              <w:jc w:val="center"/>
              <w:textAlignment w:val="center"/>
              <w:rPr>
                <w:rFonts w:ascii="宋体" w:hAnsi="宋体" w:cs="宋体"/>
                <w:color w:val="auto"/>
                <w:sz w:val="20"/>
                <w:szCs w:val="20"/>
              </w:rPr>
            </w:pPr>
            <w:r>
              <w:rPr>
                <w:rStyle w:val="44"/>
                <w:rFonts w:hint="default"/>
                <w:color w:val="auto"/>
              </w:rPr>
              <w:t>竹片</w:t>
            </w:r>
          </w:p>
        </w:tc>
        <w:tc>
          <w:tcPr>
            <w:tcW w:w="436" w:type="pct"/>
            <w:tcBorders>
              <w:top w:val="nil"/>
              <w:left w:val="nil"/>
              <w:bottom w:val="single" w:color="000000" w:sz="8" w:space="0"/>
              <w:right w:val="single" w:color="000000" w:sz="8" w:space="0"/>
            </w:tcBorders>
            <w:shd w:val="clear" w:color="auto" w:fill="auto"/>
            <w:vAlign w:val="center"/>
          </w:tcPr>
          <w:p w14:paraId="7245E4EA">
            <w:pPr>
              <w:jc w:val="center"/>
              <w:textAlignment w:val="center"/>
              <w:rPr>
                <w:rFonts w:ascii="宋体" w:hAnsi="宋体" w:cs="宋体"/>
                <w:color w:val="auto"/>
                <w:sz w:val="20"/>
                <w:szCs w:val="20"/>
              </w:rPr>
            </w:pPr>
            <w:r>
              <w:rPr>
                <w:rStyle w:val="44"/>
                <w:rFonts w:hint="default"/>
                <w:color w:val="auto"/>
              </w:rPr>
              <w:t>1000万吨</w:t>
            </w:r>
          </w:p>
        </w:tc>
        <w:tc>
          <w:tcPr>
            <w:tcW w:w="435" w:type="pct"/>
            <w:tcBorders>
              <w:top w:val="nil"/>
              <w:left w:val="nil"/>
              <w:bottom w:val="single" w:color="000000" w:sz="8" w:space="0"/>
              <w:right w:val="single" w:color="000000" w:sz="8" w:space="0"/>
            </w:tcBorders>
            <w:shd w:val="clear" w:color="auto" w:fill="auto"/>
            <w:vAlign w:val="center"/>
          </w:tcPr>
          <w:p w14:paraId="49408DE6">
            <w:pPr>
              <w:jc w:val="center"/>
              <w:textAlignment w:val="center"/>
              <w:rPr>
                <w:rFonts w:ascii="宋体" w:hAnsi="宋体" w:cs="宋体"/>
                <w:color w:val="auto"/>
                <w:sz w:val="20"/>
                <w:szCs w:val="20"/>
              </w:rPr>
            </w:pPr>
            <w:r>
              <w:rPr>
                <w:rStyle w:val="44"/>
                <w:rFonts w:hint="default"/>
                <w:color w:val="auto"/>
              </w:rPr>
              <w:t>破竹机</w:t>
            </w:r>
          </w:p>
        </w:tc>
        <w:tc>
          <w:tcPr>
            <w:tcW w:w="435" w:type="pct"/>
            <w:tcBorders>
              <w:top w:val="nil"/>
              <w:left w:val="nil"/>
              <w:bottom w:val="single" w:color="000000" w:sz="8" w:space="0"/>
              <w:right w:val="single" w:color="000000" w:sz="8" w:space="0"/>
            </w:tcBorders>
            <w:shd w:val="clear" w:color="auto" w:fill="auto"/>
            <w:vAlign w:val="center"/>
          </w:tcPr>
          <w:p w14:paraId="78EF0D5D">
            <w:pPr>
              <w:jc w:val="center"/>
              <w:textAlignment w:val="center"/>
              <w:rPr>
                <w:rFonts w:ascii="宋体" w:hAnsi="宋体" w:cs="宋体"/>
                <w:color w:val="auto"/>
                <w:sz w:val="20"/>
                <w:szCs w:val="20"/>
              </w:rPr>
            </w:pPr>
            <w:r>
              <w:rPr>
                <w:rFonts w:hint="eastAsia" w:ascii="宋体" w:hAnsi="宋体" w:cs="宋体"/>
                <w:color w:val="auto"/>
                <w:kern w:val="0"/>
                <w:sz w:val="20"/>
                <w:szCs w:val="20"/>
              </w:rPr>
              <w:t>1500</w:t>
            </w:r>
          </w:p>
        </w:tc>
        <w:tc>
          <w:tcPr>
            <w:tcW w:w="435" w:type="pct"/>
            <w:tcBorders>
              <w:top w:val="nil"/>
              <w:left w:val="nil"/>
              <w:bottom w:val="single" w:color="000000" w:sz="8" w:space="0"/>
              <w:right w:val="single" w:color="000000" w:sz="8" w:space="0"/>
            </w:tcBorders>
            <w:shd w:val="clear" w:color="auto" w:fill="auto"/>
            <w:vAlign w:val="center"/>
          </w:tcPr>
          <w:p w14:paraId="7CD8D38C">
            <w:pPr>
              <w:jc w:val="center"/>
              <w:textAlignment w:val="center"/>
              <w:rPr>
                <w:rFonts w:ascii="宋体" w:hAnsi="宋体" w:cs="宋体"/>
                <w:color w:val="auto"/>
                <w:sz w:val="20"/>
                <w:szCs w:val="20"/>
              </w:rPr>
            </w:pPr>
            <w:r>
              <w:rPr>
                <w:rStyle w:val="44"/>
                <w:rFonts w:hint="default"/>
                <w:color w:val="auto"/>
              </w:rPr>
              <w:t>政府</w:t>
            </w:r>
          </w:p>
        </w:tc>
        <w:tc>
          <w:tcPr>
            <w:tcW w:w="452" w:type="pct"/>
            <w:tcBorders>
              <w:top w:val="nil"/>
              <w:left w:val="nil"/>
              <w:bottom w:val="single" w:color="000000" w:sz="8" w:space="0"/>
              <w:right w:val="single" w:color="000000" w:sz="8" w:space="0"/>
            </w:tcBorders>
            <w:shd w:val="clear" w:color="auto" w:fill="auto"/>
            <w:vAlign w:val="center"/>
          </w:tcPr>
          <w:p w14:paraId="60803BE3">
            <w:pPr>
              <w:jc w:val="center"/>
              <w:textAlignment w:val="center"/>
              <w:rPr>
                <w:rFonts w:ascii="宋体" w:hAnsi="宋体" w:cs="宋体"/>
                <w:color w:val="auto"/>
                <w:sz w:val="20"/>
                <w:szCs w:val="20"/>
              </w:rPr>
            </w:pPr>
            <w:r>
              <w:rPr>
                <w:rFonts w:hint="eastAsia" w:ascii="宋体" w:hAnsi="宋体" w:cs="宋体"/>
                <w:color w:val="auto"/>
                <w:kern w:val="0"/>
                <w:sz w:val="20"/>
                <w:szCs w:val="20"/>
              </w:rPr>
              <w:t>2028</w:t>
            </w:r>
          </w:p>
        </w:tc>
        <w:tc>
          <w:tcPr>
            <w:tcW w:w="435" w:type="pct"/>
            <w:tcBorders>
              <w:top w:val="nil"/>
              <w:left w:val="nil"/>
              <w:bottom w:val="single" w:color="000000" w:sz="8" w:space="0"/>
              <w:right w:val="single" w:color="000000" w:sz="8" w:space="0"/>
            </w:tcBorders>
            <w:shd w:val="clear" w:color="auto" w:fill="auto"/>
            <w:vAlign w:val="center"/>
          </w:tcPr>
          <w:p w14:paraId="1540E6E0">
            <w:pPr>
              <w:jc w:val="center"/>
              <w:textAlignment w:val="center"/>
              <w:rPr>
                <w:rFonts w:ascii="宋体" w:hAnsi="宋体" w:cs="宋体"/>
                <w:color w:val="auto"/>
                <w:sz w:val="20"/>
                <w:szCs w:val="20"/>
              </w:rPr>
            </w:pPr>
            <w:r>
              <w:rPr>
                <w:rStyle w:val="44"/>
                <w:rFonts w:hint="default"/>
                <w:color w:val="auto"/>
              </w:rPr>
              <w:t>项边村</w:t>
            </w:r>
          </w:p>
        </w:tc>
        <w:tc>
          <w:tcPr>
            <w:tcW w:w="441" w:type="pct"/>
            <w:vMerge w:val="restart"/>
            <w:tcBorders>
              <w:top w:val="nil"/>
              <w:left w:val="nil"/>
              <w:bottom w:val="single" w:color="000000" w:sz="8" w:space="0"/>
              <w:right w:val="single" w:color="000000" w:sz="8" w:space="0"/>
            </w:tcBorders>
            <w:shd w:val="clear" w:color="auto" w:fill="auto"/>
            <w:vAlign w:val="center"/>
          </w:tcPr>
          <w:p w14:paraId="5C814EF7">
            <w:pPr>
              <w:jc w:val="center"/>
              <w:textAlignment w:val="center"/>
              <w:rPr>
                <w:rFonts w:ascii="宋体" w:hAnsi="宋体" w:cs="宋体"/>
                <w:color w:val="auto"/>
                <w:sz w:val="20"/>
                <w:szCs w:val="20"/>
              </w:rPr>
            </w:pPr>
            <w:r>
              <w:rPr>
                <w:rStyle w:val="44"/>
                <w:rFonts w:hint="default"/>
                <w:color w:val="auto"/>
              </w:rPr>
              <w:t>安仁镇</w:t>
            </w:r>
          </w:p>
        </w:tc>
      </w:tr>
      <w:tr w14:paraId="102F366E">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756AFBDB">
            <w:pPr>
              <w:jc w:val="center"/>
              <w:textAlignment w:val="center"/>
              <w:rPr>
                <w:rFonts w:ascii="宋体" w:hAnsi="宋体" w:cs="宋体"/>
                <w:color w:val="auto"/>
                <w:sz w:val="22"/>
                <w:szCs w:val="22"/>
              </w:rPr>
            </w:pPr>
            <w:r>
              <w:rPr>
                <w:rFonts w:hint="eastAsia" w:ascii="宋体" w:hAnsi="宋体" w:cs="宋体"/>
                <w:color w:val="auto"/>
                <w:kern w:val="0"/>
                <w:sz w:val="22"/>
                <w:szCs w:val="22"/>
              </w:rPr>
              <w:t>14</w:t>
            </w:r>
          </w:p>
        </w:tc>
        <w:tc>
          <w:tcPr>
            <w:tcW w:w="703" w:type="pct"/>
            <w:tcBorders>
              <w:top w:val="nil"/>
              <w:left w:val="nil"/>
              <w:bottom w:val="single" w:color="000000" w:sz="8" w:space="0"/>
              <w:right w:val="single" w:color="000000" w:sz="8" w:space="0"/>
            </w:tcBorders>
            <w:shd w:val="clear" w:color="auto" w:fill="auto"/>
            <w:vAlign w:val="center"/>
          </w:tcPr>
          <w:p w14:paraId="4E871786">
            <w:pPr>
              <w:jc w:val="center"/>
              <w:textAlignment w:val="center"/>
              <w:rPr>
                <w:rFonts w:ascii="宋体" w:hAnsi="宋体" w:cs="宋体"/>
                <w:color w:val="auto"/>
                <w:sz w:val="20"/>
                <w:szCs w:val="20"/>
              </w:rPr>
            </w:pPr>
            <w:r>
              <w:rPr>
                <w:rStyle w:val="44"/>
                <w:rFonts w:hint="default"/>
                <w:color w:val="auto"/>
              </w:rPr>
              <w:t>金蝉湖村竹木制品加工点</w:t>
            </w:r>
          </w:p>
        </w:tc>
        <w:tc>
          <w:tcPr>
            <w:tcW w:w="436" w:type="pct"/>
            <w:tcBorders>
              <w:top w:val="nil"/>
              <w:left w:val="nil"/>
              <w:bottom w:val="single" w:color="000000" w:sz="8" w:space="0"/>
              <w:right w:val="single" w:color="000000" w:sz="8" w:space="0"/>
            </w:tcBorders>
            <w:shd w:val="clear" w:color="auto" w:fill="auto"/>
            <w:vAlign w:val="center"/>
          </w:tcPr>
          <w:p w14:paraId="06E4DFB3">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6732F95C">
            <w:pPr>
              <w:jc w:val="center"/>
              <w:textAlignment w:val="center"/>
              <w:rPr>
                <w:rFonts w:ascii="宋体" w:hAnsi="宋体" w:cs="宋体"/>
                <w:color w:val="auto"/>
                <w:sz w:val="20"/>
                <w:szCs w:val="20"/>
              </w:rPr>
            </w:pPr>
            <w:r>
              <w:rPr>
                <w:rStyle w:val="44"/>
                <w:rFonts w:hint="default"/>
                <w:color w:val="auto"/>
              </w:rPr>
              <w:t>竹片</w:t>
            </w:r>
          </w:p>
        </w:tc>
        <w:tc>
          <w:tcPr>
            <w:tcW w:w="436" w:type="pct"/>
            <w:tcBorders>
              <w:top w:val="nil"/>
              <w:left w:val="nil"/>
              <w:bottom w:val="single" w:color="000000" w:sz="8" w:space="0"/>
              <w:right w:val="single" w:color="000000" w:sz="8" w:space="0"/>
            </w:tcBorders>
            <w:shd w:val="clear" w:color="auto" w:fill="auto"/>
            <w:vAlign w:val="center"/>
          </w:tcPr>
          <w:p w14:paraId="19E9FBC1">
            <w:pPr>
              <w:jc w:val="center"/>
              <w:textAlignment w:val="center"/>
              <w:rPr>
                <w:rFonts w:ascii="宋体" w:hAnsi="宋体" w:cs="宋体"/>
                <w:color w:val="auto"/>
                <w:sz w:val="20"/>
                <w:szCs w:val="20"/>
              </w:rPr>
            </w:pPr>
            <w:r>
              <w:rPr>
                <w:rStyle w:val="44"/>
                <w:rFonts w:hint="default"/>
                <w:color w:val="auto"/>
              </w:rPr>
              <w:t>30吨</w:t>
            </w:r>
          </w:p>
        </w:tc>
        <w:tc>
          <w:tcPr>
            <w:tcW w:w="435" w:type="pct"/>
            <w:tcBorders>
              <w:top w:val="nil"/>
              <w:left w:val="nil"/>
              <w:bottom w:val="single" w:color="000000" w:sz="8" w:space="0"/>
              <w:right w:val="single" w:color="000000" w:sz="8" w:space="0"/>
            </w:tcBorders>
            <w:shd w:val="clear" w:color="auto" w:fill="auto"/>
            <w:vAlign w:val="center"/>
          </w:tcPr>
          <w:p w14:paraId="18E35FA0">
            <w:pPr>
              <w:jc w:val="center"/>
              <w:textAlignment w:val="center"/>
              <w:rPr>
                <w:rFonts w:ascii="宋体" w:hAnsi="宋体" w:cs="宋体"/>
                <w:color w:val="auto"/>
                <w:sz w:val="20"/>
                <w:szCs w:val="20"/>
              </w:rPr>
            </w:pPr>
            <w:r>
              <w:rPr>
                <w:rStyle w:val="44"/>
                <w:rFonts w:hint="default"/>
                <w:color w:val="auto"/>
              </w:rPr>
              <w:t>切片机</w:t>
            </w:r>
          </w:p>
        </w:tc>
        <w:tc>
          <w:tcPr>
            <w:tcW w:w="435" w:type="pct"/>
            <w:tcBorders>
              <w:top w:val="nil"/>
              <w:left w:val="nil"/>
              <w:bottom w:val="single" w:color="000000" w:sz="8" w:space="0"/>
              <w:right w:val="single" w:color="000000" w:sz="8" w:space="0"/>
            </w:tcBorders>
            <w:shd w:val="clear" w:color="auto" w:fill="auto"/>
            <w:vAlign w:val="center"/>
          </w:tcPr>
          <w:p w14:paraId="619A77F0">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082448BA">
            <w:pPr>
              <w:jc w:val="center"/>
              <w:textAlignment w:val="center"/>
              <w:rPr>
                <w:rFonts w:ascii="宋体" w:hAnsi="宋体" w:cs="宋体"/>
                <w:color w:val="auto"/>
                <w:sz w:val="20"/>
                <w:szCs w:val="20"/>
              </w:rPr>
            </w:pPr>
            <w:r>
              <w:rPr>
                <w:rStyle w:val="44"/>
                <w:rFonts w:hint="default"/>
                <w:color w:val="auto"/>
              </w:rPr>
              <w:t>政府</w:t>
            </w:r>
          </w:p>
        </w:tc>
        <w:tc>
          <w:tcPr>
            <w:tcW w:w="452" w:type="pct"/>
            <w:tcBorders>
              <w:top w:val="nil"/>
              <w:left w:val="nil"/>
              <w:bottom w:val="single" w:color="000000" w:sz="8" w:space="0"/>
              <w:right w:val="single" w:color="000000" w:sz="8" w:space="0"/>
            </w:tcBorders>
            <w:shd w:val="clear" w:color="auto" w:fill="auto"/>
            <w:vAlign w:val="center"/>
          </w:tcPr>
          <w:p w14:paraId="688781F7">
            <w:pPr>
              <w:jc w:val="center"/>
              <w:textAlignment w:val="center"/>
              <w:rPr>
                <w:rFonts w:ascii="宋体" w:hAnsi="宋体" w:cs="宋体"/>
                <w:color w:val="auto"/>
                <w:sz w:val="20"/>
                <w:szCs w:val="20"/>
              </w:rPr>
            </w:pPr>
            <w:r>
              <w:rPr>
                <w:rFonts w:hint="eastAsia" w:ascii="宋体" w:hAnsi="宋体" w:cs="宋体"/>
                <w:color w:val="auto"/>
                <w:kern w:val="0"/>
                <w:sz w:val="20"/>
                <w:szCs w:val="20"/>
              </w:rPr>
              <w:t>2025</w:t>
            </w:r>
          </w:p>
        </w:tc>
        <w:tc>
          <w:tcPr>
            <w:tcW w:w="435" w:type="pct"/>
            <w:tcBorders>
              <w:top w:val="nil"/>
              <w:left w:val="nil"/>
              <w:bottom w:val="single" w:color="000000" w:sz="8" w:space="0"/>
              <w:right w:val="single" w:color="000000" w:sz="8" w:space="0"/>
            </w:tcBorders>
            <w:shd w:val="clear" w:color="auto" w:fill="auto"/>
            <w:vAlign w:val="center"/>
          </w:tcPr>
          <w:p w14:paraId="03A6A9AC">
            <w:pPr>
              <w:jc w:val="center"/>
              <w:textAlignment w:val="center"/>
              <w:rPr>
                <w:rFonts w:ascii="宋体" w:hAnsi="宋体" w:cs="宋体"/>
                <w:color w:val="auto"/>
                <w:sz w:val="20"/>
                <w:szCs w:val="20"/>
              </w:rPr>
            </w:pPr>
            <w:r>
              <w:rPr>
                <w:rStyle w:val="44"/>
                <w:rFonts w:hint="default"/>
                <w:color w:val="auto"/>
              </w:rPr>
              <w:t>金蝉胡村</w:t>
            </w:r>
          </w:p>
        </w:tc>
        <w:tc>
          <w:tcPr>
            <w:tcW w:w="441" w:type="pct"/>
            <w:vMerge w:val="continue"/>
            <w:tcBorders>
              <w:top w:val="nil"/>
              <w:left w:val="nil"/>
              <w:bottom w:val="single" w:color="000000" w:sz="8" w:space="0"/>
              <w:right w:val="single" w:color="000000" w:sz="8" w:space="0"/>
            </w:tcBorders>
            <w:shd w:val="clear" w:color="auto" w:fill="auto"/>
            <w:vAlign w:val="center"/>
          </w:tcPr>
          <w:p w14:paraId="7A6DA0F1">
            <w:pPr>
              <w:jc w:val="center"/>
              <w:rPr>
                <w:rFonts w:ascii="宋体" w:hAnsi="宋体" w:cs="宋体"/>
                <w:color w:val="auto"/>
                <w:sz w:val="20"/>
                <w:szCs w:val="20"/>
              </w:rPr>
            </w:pPr>
          </w:p>
        </w:tc>
      </w:tr>
      <w:tr w14:paraId="4CF0A14B">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75746DB">
            <w:pPr>
              <w:jc w:val="center"/>
              <w:textAlignment w:val="center"/>
              <w:rPr>
                <w:rFonts w:ascii="宋体" w:hAnsi="宋体" w:cs="宋体"/>
                <w:color w:val="auto"/>
                <w:sz w:val="22"/>
                <w:szCs w:val="22"/>
              </w:rPr>
            </w:pPr>
            <w:r>
              <w:rPr>
                <w:rFonts w:hint="eastAsia" w:ascii="宋体" w:hAnsi="宋体" w:cs="宋体"/>
                <w:color w:val="auto"/>
                <w:kern w:val="0"/>
                <w:sz w:val="22"/>
                <w:szCs w:val="22"/>
              </w:rPr>
              <w:t>15</w:t>
            </w:r>
          </w:p>
        </w:tc>
        <w:tc>
          <w:tcPr>
            <w:tcW w:w="703" w:type="pct"/>
            <w:tcBorders>
              <w:top w:val="nil"/>
              <w:left w:val="nil"/>
              <w:bottom w:val="single" w:color="000000" w:sz="8" w:space="0"/>
              <w:right w:val="single" w:color="000000" w:sz="8" w:space="0"/>
            </w:tcBorders>
            <w:shd w:val="clear" w:color="auto" w:fill="auto"/>
            <w:vAlign w:val="center"/>
          </w:tcPr>
          <w:p w14:paraId="374BA8CE">
            <w:pPr>
              <w:jc w:val="center"/>
              <w:textAlignment w:val="center"/>
              <w:rPr>
                <w:rFonts w:ascii="宋体" w:hAnsi="宋体" w:cs="宋体"/>
                <w:color w:val="auto"/>
                <w:sz w:val="20"/>
                <w:szCs w:val="20"/>
              </w:rPr>
            </w:pPr>
            <w:r>
              <w:rPr>
                <w:rStyle w:val="44"/>
                <w:rFonts w:hint="default"/>
                <w:color w:val="auto"/>
              </w:rPr>
              <w:t>红色竹木加工基地</w:t>
            </w:r>
          </w:p>
        </w:tc>
        <w:tc>
          <w:tcPr>
            <w:tcW w:w="436" w:type="pct"/>
            <w:tcBorders>
              <w:top w:val="nil"/>
              <w:left w:val="nil"/>
              <w:bottom w:val="single" w:color="000000" w:sz="8" w:space="0"/>
              <w:right w:val="single" w:color="000000" w:sz="8" w:space="0"/>
            </w:tcBorders>
            <w:shd w:val="clear" w:color="auto" w:fill="auto"/>
            <w:vAlign w:val="center"/>
          </w:tcPr>
          <w:p w14:paraId="2CF2D014">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6034E5CF">
            <w:pPr>
              <w:jc w:val="center"/>
              <w:textAlignment w:val="center"/>
              <w:rPr>
                <w:rFonts w:ascii="宋体" w:hAnsi="宋体" w:cs="宋体"/>
                <w:color w:val="auto"/>
                <w:sz w:val="20"/>
                <w:szCs w:val="20"/>
              </w:rPr>
            </w:pPr>
            <w:r>
              <w:rPr>
                <w:rStyle w:val="44"/>
                <w:rFonts w:hint="default"/>
                <w:color w:val="auto"/>
              </w:rPr>
              <w:t>竹业</w:t>
            </w:r>
          </w:p>
        </w:tc>
        <w:tc>
          <w:tcPr>
            <w:tcW w:w="436" w:type="pct"/>
            <w:tcBorders>
              <w:top w:val="nil"/>
              <w:left w:val="nil"/>
              <w:bottom w:val="single" w:color="000000" w:sz="8" w:space="0"/>
              <w:right w:val="single" w:color="000000" w:sz="8" w:space="0"/>
            </w:tcBorders>
            <w:shd w:val="clear" w:color="auto" w:fill="auto"/>
            <w:vAlign w:val="center"/>
          </w:tcPr>
          <w:p w14:paraId="52995E54">
            <w:pPr>
              <w:jc w:val="center"/>
              <w:textAlignment w:val="center"/>
              <w:rPr>
                <w:rFonts w:ascii="宋体" w:hAnsi="宋体" w:cs="宋体"/>
                <w:color w:val="auto"/>
                <w:sz w:val="20"/>
                <w:szCs w:val="20"/>
              </w:rPr>
            </w:pPr>
            <w:r>
              <w:rPr>
                <w:rStyle w:val="44"/>
                <w:rFonts w:hint="default"/>
                <w:color w:val="auto"/>
              </w:rPr>
              <w:t>1000吨</w:t>
            </w:r>
          </w:p>
        </w:tc>
        <w:tc>
          <w:tcPr>
            <w:tcW w:w="435" w:type="pct"/>
            <w:tcBorders>
              <w:top w:val="nil"/>
              <w:left w:val="nil"/>
              <w:bottom w:val="single" w:color="000000" w:sz="8" w:space="0"/>
              <w:right w:val="single" w:color="000000" w:sz="8" w:space="0"/>
            </w:tcBorders>
            <w:shd w:val="clear" w:color="auto" w:fill="auto"/>
            <w:vAlign w:val="center"/>
          </w:tcPr>
          <w:p w14:paraId="6BAAC506">
            <w:pPr>
              <w:jc w:val="center"/>
              <w:textAlignment w:val="center"/>
              <w:rPr>
                <w:rFonts w:ascii="宋体" w:hAnsi="宋体" w:cs="宋体"/>
                <w:color w:val="auto"/>
                <w:sz w:val="20"/>
                <w:szCs w:val="20"/>
              </w:rPr>
            </w:pPr>
            <w:r>
              <w:rPr>
                <w:rStyle w:val="44"/>
                <w:rFonts w:hint="default"/>
                <w:color w:val="auto"/>
              </w:rPr>
              <w:t>根据需要</w:t>
            </w:r>
          </w:p>
        </w:tc>
        <w:tc>
          <w:tcPr>
            <w:tcW w:w="435" w:type="pct"/>
            <w:tcBorders>
              <w:top w:val="nil"/>
              <w:left w:val="nil"/>
              <w:bottom w:val="single" w:color="000000" w:sz="8" w:space="0"/>
              <w:right w:val="single" w:color="000000" w:sz="8" w:space="0"/>
            </w:tcBorders>
            <w:shd w:val="clear" w:color="auto" w:fill="auto"/>
            <w:vAlign w:val="center"/>
          </w:tcPr>
          <w:p w14:paraId="04253795">
            <w:pPr>
              <w:jc w:val="center"/>
              <w:textAlignment w:val="center"/>
              <w:rPr>
                <w:rFonts w:ascii="宋体" w:hAnsi="宋体" w:cs="宋体"/>
                <w:color w:val="auto"/>
                <w:sz w:val="20"/>
                <w:szCs w:val="20"/>
              </w:rPr>
            </w:pPr>
            <w:r>
              <w:rPr>
                <w:rFonts w:hint="eastAsia" w:ascii="宋体" w:hAnsi="宋体" w:cs="宋体"/>
                <w:color w:val="auto"/>
                <w:kern w:val="0"/>
                <w:sz w:val="20"/>
                <w:szCs w:val="20"/>
              </w:rPr>
              <w:t>50</w:t>
            </w:r>
          </w:p>
        </w:tc>
        <w:tc>
          <w:tcPr>
            <w:tcW w:w="435" w:type="pct"/>
            <w:tcBorders>
              <w:top w:val="nil"/>
              <w:left w:val="nil"/>
              <w:bottom w:val="single" w:color="000000" w:sz="8" w:space="0"/>
              <w:right w:val="single" w:color="000000" w:sz="8" w:space="0"/>
            </w:tcBorders>
            <w:shd w:val="clear" w:color="auto" w:fill="auto"/>
            <w:vAlign w:val="center"/>
          </w:tcPr>
          <w:p w14:paraId="031A3BB2">
            <w:pPr>
              <w:jc w:val="center"/>
              <w:textAlignment w:val="center"/>
              <w:rPr>
                <w:rFonts w:ascii="宋体" w:hAnsi="宋体" w:cs="宋体"/>
                <w:color w:val="auto"/>
                <w:sz w:val="20"/>
                <w:szCs w:val="20"/>
              </w:rPr>
            </w:pPr>
            <w:r>
              <w:rPr>
                <w:rStyle w:val="44"/>
                <w:rFonts w:hint="default"/>
                <w:color w:val="auto"/>
              </w:rPr>
              <w:t>股份合作</w:t>
            </w:r>
          </w:p>
        </w:tc>
        <w:tc>
          <w:tcPr>
            <w:tcW w:w="452" w:type="pct"/>
            <w:tcBorders>
              <w:top w:val="nil"/>
              <w:left w:val="nil"/>
              <w:bottom w:val="single" w:color="000000" w:sz="8" w:space="0"/>
              <w:right w:val="single" w:color="000000" w:sz="8" w:space="0"/>
            </w:tcBorders>
            <w:shd w:val="clear" w:color="auto" w:fill="auto"/>
            <w:vAlign w:val="center"/>
          </w:tcPr>
          <w:p w14:paraId="69AAAEE0">
            <w:pPr>
              <w:jc w:val="center"/>
              <w:textAlignment w:val="center"/>
              <w:rPr>
                <w:rFonts w:ascii="宋体" w:hAnsi="宋体" w:cs="宋体"/>
                <w:color w:val="auto"/>
                <w:sz w:val="20"/>
                <w:szCs w:val="20"/>
              </w:rPr>
            </w:pPr>
            <w:r>
              <w:rPr>
                <w:rStyle w:val="44"/>
                <w:rFonts w:hint="default"/>
                <w:color w:val="auto"/>
              </w:rPr>
              <w:t>2022-2025</w:t>
            </w:r>
          </w:p>
        </w:tc>
        <w:tc>
          <w:tcPr>
            <w:tcW w:w="435" w:type="pct"/>
            <w:tcBorders>
              <w:top w:val="nil"/>
              <w:left w:val="nil"/>
              <w:bottom w:val="single" w:color="000000" w:sz="8" w:space="0"/>
              <w:right w:val="single" w:color="000000" w:sz="8" w:space="0"/>
            </w:tcBorders>
            <w:shd w:val="clear" w:color="auto" w:fill="auto"/>
            <w:vAlign w:val="center"/>
          </w:tcPr>
          <w:p w14:paraId="7BB28AD6">
            <w:pPr>
              <w:jc w:val="center"/>
              <w:textAlignment w:val="center"/>
              <w:rPr>
                <w:rFonts w:ascii="宋体" w:hAnsi="宋体" w:cs="宋体"/>
                <w:color w:val="auto"/>
                <w:sz w:val="20"/>
                <w:szCs w:val="20"/>
              </w:rPr>
            </w:pPr>
            <w:r>
              <w:rPr>
                <w:rStyle w:val="44"/>
                <w:rFonts w:hint="default"/>
                <w:color w:val="auto"/>
              </w:rPr>
              <w:t>-</w:t>
            </w:r>
          </w:p>
        </w:tc>
        <w:tc>
          <w:tcPr>
            <w:tcW w:w="441" w:type="pct"/>
            <w:vMerge w:val="continue"/>
            <w:tcBorders>
              <w:top w:val="nil"/>
              <w:left w:val="nil"/>
              <w:bottom w:val="single" w:color="000000" w:sz="8" w:space="0"/>
              <w:right w:val="single" w:color="000000" w:sz="8" w:space="0"/>
            </w:tcBorders>
            <w:shd w:val="clear" w:color="auto" w:fill="auto"/>
            <w:vAlign w:val="center"/>
          </w:tcPr>
          <w:p w14:paraId="5438D45B">
            <w:pPr>
              <w:jc w:val="center"/>
              <w:rPr>
                <w:rFonts w:ascii="宋体" w:hAnsi="宋体" w:cs="宋体"/>
                <w:color w:val="auto"/>
                <w:sz w:val="20"/>
                <w:szCs w:val="20"/>
              </w:rPr>
            </w:pPr>
          </w:p>
        </w:tc>
      </w:tr>
      <w:tr w14:paraId="6964FB24">
        <w:tblPrEx>
          <w:tblCellMar>
            <w:top w:w="0" w:type="dxa"/>
            <w:left w:w="108" w:type="dxa"/>
            <w:bottom w:w="0" w:type="dxa"/>
            <w:right w:w="108" w:type="dxa"/>
          </w:tblCellMar>
        </w:tblPrEx>
        <w:trPr>
          <w:trHeight w:val="73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99FD771">
            <w:pPr>
              <w:jc w:val="center"/>
              <w:textAlignment w:val="center"/>
              <w:rPr>
                <w:rFonts w:ascii="宋体" w:hAnsi="宋体" w:cs="宋体"/>
                <w:color w:val="auto"/>
                <w:sz w:val="22"/>
                <w:szCs w:val="22"/>
              </w:rPr>
            </w:pPr>
            <w:r>
              <w:rPr>
                <w:rFonts w:hint="eastAsia" w:ascii="宋体" w:hAnsi="宋体" w:cs="宋体"/>
                <w:color w:val="auto"/>
                <w:kern w:val="0"/>
                <w:sz w:val="22"/>
                <w:szCs w:val="22"/>
              </w:rPr>
              <w:t>16</w:t>
            </w:r>
          </w:p>
        </w:tc>
        <w:tc>
          <w:tcPr>
            <w:tcW w:w="703" w:type="pct"/>
            <w:tcBorders>
              <w:top w:val="nil"/>
              <w:left w:val="nil"/>
              <w:bottom w:val="single" w:color="000000" w:sz="8" w:space="0"/>
              <w:right w:val="single" w:color="000000" w:sz="8" w:space="0"/>
            </w:tcBorders>
            <w:shd w:val="clear" w:color="auto" w:fill="auto"/>
            <w:vAlign w:val="center"/>
          </w:tcPr>
          <w:p w14:paraId="582BF343">
            <w:pPr>
              <w:jc w:val="center"/>
              <w:textAlignment w:val="center"/>
              <w:rPr>
                <w:rFonts w:ascii="宋体" w:hAnsi="宋体" w:cs="宋体"/>
                <w:color w:val="auto"/>
                <w:sz w:val="20"/>
                <w:szCs w:val="20"/>
              </w:rPr>
            </w:pPr>
            <w:r>
              <w:rPr>
                <w:rStyle w:val="44"/>
                <w:rFonts w:hint="default"/>
                <w:color w:val="auto"/>
              </w:rPr>
              <w:t>龙泉市源艺竹木制品有限公司</w:t>
            </w:r>
          </w:p>
        </w:tc>
        <w:tc>
          <w:tcPr>
            <w:tcW w:w="436" w:type="pct"/>
            <w:tcBorders>
              <w:top w:val="nil"/>
              <w:left w:val="nil"/>
              <w:bottom w:val="single" w:color="000000" w:sz="8" w:space="0"/>
              <w:right w:val="single" w:color="000000" w:sz="8" w:space="0"/>
            </w:tcBorders>
            <w:shd w:val="clear" w:color="auto" w:fill="auto"/>
            <w:vAlign w:val="center"/>
          </w:tcPr>
          <w:p w14:paraId="34928F9F">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45349D0B">
            <w:pPr>
              <w:jc w:val="center"/>
              <w:textAlignment w:val="center"/>
              <w:rPr>
                <w:rFonts w:ascii="宋体" w:hAnsi="宋体" w:cs="宋体"/>
                <w:color w:val="auto"/>
                <w:sz w:val="20"/>
                <w:szCs w:val="20"/>
              </w:rPr>
            </w:pPr>
            <w:r>
              <w:rPr>
                <w:rStyle w:val="44"/>
                <w:rFonts w:hint="default"/>
                <w:color w:val="auto"/>
              </w:rPr>
              <w:t>竹业</w:t>
            </w:r>
          </w:p>
        </w:tc>
        <w:tc>
          <w:tcPr>
            <w:tcW w:w="436" w:type="pct"/>
            <w:tcBorders>
              <w:top w:val="nil"/>
              <w:left w:val="nil"/>
              <w:bottom w:val="single" w:color="000000" w:sz="8" w:space="0"/>
              <w:right w:val="single" w:color="000000" w:sz="8" w:space="0"/>
            </w:tcBorders>
            <w:shd w:val="clear" w:color="auto" w:fill="auto"/>
            <w:vAlign w:val="center"/>
          </w:tcPr>
          <w:p w14:paraId="678B6885">
            <w:pPr>
              <w:jc w:val="center"/>
              <w:textAlignment w:val="center"/>
              <w:rPr>
                <w:rFonts w:ascii="宋体" w:hAnsi="宋体" w:cs="宋体"/>
                <w:color w:val="auto"/>
                <w:sz w:val="20"/>
                <w:szCs w:val="20"/>
              </w:rPr>
            </w:pPr>
            <w:r>
              <w:rPr>
                <w:rStyle w:val="44"/>
                <w:rFonts w:hint="default"/>
                <w:color w:val="auto"/>
              </w:rPr>
              <w:t>3000吨</w:t>
            </w:r>
          </w:p>
        </w:tc>
        <w:tc>
          <w:tcPr>
            <w:tcW w:w="435" w:type="pct"/>
            <w:tcBorders>
              <w:top w:val="nil"/>
              <w:left w:val="nil"/>
              <w:bottom w:val="single" w:color="000000" w:sz="8" w:space="0"/>
              <w:right w:val="single" w:color="000000" w:sz="8" w:space="0"/>
            </w:tcBorders>
            <w:shd w:val="clear" w:color="auto" w:fill="auto"/>
            <w:vAlign w:val="center"/>
          </w:tcPr>
          <w:p w14:paraId="32E18561">
            <w:pPr>
              <w:jc w:val="center"/>
              <w:textAlignment w:val="center"/>
              <w:rPr>
                <w:rFonts w:ascii="宋体" w:hAnsi="宋体" w:cs="宋体"/>
                <w:color w:val="auto"/>
                <w:sz w:val="20"/>
                <w:szCs w:val="20"/>
              </w:rPr>
            </w:pPr>
            <w:r>
              <w:rPr>
                <w:rStyle w:val="44"/>
                <w:rFonts w:hint="default"/>
                <w:color w:val="auto"/>
              </w:rPr>
              <w:t>破竹机、粗刨机、锯竹机</w:t>
            </w:r>
          </w:p>
        </w:tc>
        <w:tc>
          <w:tcPr>
            <w:tcW w:w="435" w:type="pct"/>
            <w:tcBorders>
              <w:top w:val="nil"/>
              <w:left w:val="nil"/>
              <w:bottom w:val="single" w:color="000000" w:sz="8" w:space="0"/>
              <w:right w:val="single" w:color="000000" w:sz="8" w:space="0"/>
            </w:tcBorders>
            <w:shd w:val="clear" w:color="auto" w:fill="auto"/>
            <w:vAlign w:val="center"/>
          </w:tcPr>
          <w:p w14:paraId="01A96B00">
            <w:pPr>
              <w:jc w:val="center"/>
              <w:textAlignment w:val="center"/>
              <w:rPr>
                <w:rFonts w:ascii="宋体" w:hAnsi="宋体" w:cs="宋体"/>
                <w:color w:val="auto"/>
                <w:sz w:val="20"/>
                <w:szCs w:val="20"/>
              </w:rPr>
            </w:pPr>
            <w:r>
              <w:rPr>
                <w:rFonts w:hint="eastAsia" w:ascii="宋体" w:hAnsi="宋体" w:cs="宋体"/>
                <w:color w:val="auto"/>
                <w:kern w:val="0"/>
                <w:sz w:val="20"/>
                <w:szCs w:val="20"/>
              </w:rPr>
              <w:t>200</w:t>
            </w:r>
          </w:p>
        </w:tc>
        <w:tc>
          <w:tcPr>
            <w:tcW w:w="435" w:type="pct"/>
            <w:tcBorders>
              <w:top w:val="nil"/>
              <w:left w:val="nil"/>
              <w:bottom w:val="single" w:color="000000" w:sz="8" w:space="0"/>
              <w:right w:val="single" w:color="000000" w:sz="8" w:space="0"/>
            </w:tcBorders>
            <w:shd w:val="clear" w:color="auto" w:fill="auto"/>
            <w:vAlign w:val="center"/>
          </w:tcPr>
          <w:p w14:paraId="23DF84E7">
            <w:pPr>
              <w:jc w:val="center"/>
              <w:textAlignment w:val="center"/>
              <w:rPr>
                <w:rFonts w:ascii="宋体" w:hAnsi="宋体" w:cs="宋体"/>
                <w:color w:val="auto"/>
                <w:sz w:val="20"/>
                <w:szCs w:val="20"/>
              </w:rPr>
            </w:pPr>
            <w:r>
              <w:rPr>
                <w:rStyle w:val="44"/>
                <w:rFonts w:hint="default"/>
                <w:color w:val="auto"/>
              </w:rPr>
              <w:t>个人</w:t>
            </w:r>
          </w:p>
        </w:tc>
        <w:tc>
          <w:tcPr>
            <w:tcW w:w="452" w:type="pct"/>
            <w:tcBorders>
              <w:top w:val="nil"/>
              <w:left w:val="nil"/>
              <w:bottom w:val="single" w:color="000000" w:sz="8" w:space="0"/>
              <w:right w:val="single" w:color="000000" w:sz="8" w:space="0"/>
            </w:tcBorders>
            <w:shd w:val="clear" w:color="auto" w:fill="auto"/>
            <w:vAlign w:val="center"/>
          </w:tcPr>
          <w:p w14:paraId="1C19F214">
            <w:pPr>
              <w:jc w:val="center"/>
              <w:textAlignment w:val="center"/>
              <w:rPr>
                <w:rFonts w:ascii="宋体" w:hAnsi="宋体" w:cs="宋体"/>
                <w:color w:val="auto"/>
                <w:sz w:val="20"/>
                <w:szCs w:val="20"/>
              </w:rPr>
            </w:pPr>
            <w:r>
              <w:rPr>
                <w:rStyle w:val="44"/>
                <w:rFonts w:hint="default"/>
                <w:color w:val="auto"/>
              </w:rPr>
              <w:t>2022-2025</w:t>
            </w:r>
          </w:p>
        </w:tc>
        <w:tc>
          <w:tcPr>
            <w:tcW w:w="435" w:type="pct"/>
            <w:tcBorders>
              <w:top w:val="nil"/>
              <w:left w:val="nil"/>
              <w:bottom w:val="single" w:color="000000" w:sz="8" w:space="0"/>
              <w:right w:val="single" w:color="000000" w:sz="8" w:space="0"/>
            </w:tcBorders>
            <w:shd w:val="clear" w:color="auto" w:fill="auto"/>
            <w:vAlign w:val="center"/>
          </w:tcPr>
          <w:p w14:paraId="59185065">
            <w:pPr>
              <w:jc w:val="center"/>
              <w:textAlignment w:val="center"/>
              <w:rPr>
                <w:rFonts w:ascii="宋体" w:hAnsi="宋体" w:cs="宋体"/>
                <w:color w:val="auto"/>
                <w:sz w:val="20"/>
                <w:szCs w:val="20"/>
              </w:rPr>
            </w:pPr>
            <w:r>
              <w:rPr>
                <w:rStyle w:val="44"/>
                <w:rFonts w:hint="default"/>
                <w:color w:val="auto"/>
              </w:rPr>
              <w:t>刘坊村</w:t>
            </w:r>
          </w:p>
        </w:tc>
        <w:tc>
          <w:tcPr>
            <w:tcW w:w="441" w:type="pct"/>
            <w:vMerge w:val="continue"/>
            <w:tcBorders>
              <w:top w:val="nil"/>
              <w:left w:val="nil"/>
              <w:bottom w:val="single" w:color="000000" w:sz="8" w:space="0"/>
              <w:right w:val="single" w:color="000000" w:sz="8" w:space="0"/>
            </w:tcBorders>
            <w:shd w:val="clear" w:color="auto" w:fill="auto"/>
            <w:vAlign w:val="center"/>
          </w:tcPr>
          <w:p w14:paraId="476E7571">
            <w:pPr>
              <w:jc w:val="center"/>
              <w:rPr>
                <w:rFonts w:ascii="宋体" w:hAnsi="宋体" w:cs="宋体"/>
                <w:color w:val="auto"/>
                <w:sz w:val="20"/>
                <w:szCs w:val="20"/>
              </w:rPr>
            </w:pPr>
          </w:p>
        </w:tc>
      </w:tr>
      <w:tr w14:paraId="739D6967">
        <w:tblPrEx>
          <w:tblCellMar>
            <w:top w:w="0" w:type="dxa"/>
            <w:left w:w="108" w:type="dxa"/>
            <w:bottom w:w="0" w:type="dxa"/>
            <w:right w:w="108" w:type="dxa"/>
          </w:tblCellMar>
        </w:tblPrEx>
        <w:trPr>
          <w:trHeight w:val="285"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54EABF7A">
            <w:pPr>
              <w:jc w:val="center"/>
              <w:rPr>
                <w:rFonts w:ascii="宋体" w:hAnsi="宋体" w:cs="宋体"/>
                <w:color w:val="auto"/>
                <w:sz w:val="22"/>
                <w:szCs w:val="22"/>
              </w:rPr>
            </w:pPr>
          </w:p>
        </w:tc>
      </w:tr>
      <w:tr w14:paraId="7D08B553">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00FC1E8">
            <w:pPr>
              <w:jc w:val="center"/>
              <w:textAlignment w:val="center"/>
              <w:rPr>
                <w:rFonts w:ascii="宋体" w:hAnsi="宋体" w:cs="宋体"/>
                <w:color w:val="auto"/>
                <w:sz w:val="22"/>
                <w:szCs w:val="22"/>
              </w:rPr>
            </w:pPr>
            <w:r>
              <w:rPr>
                <w:rFonts w:hint="eastAsia" w:ascii="宋体" w:hAnsi="宋体" w:cs="宋体"/>
                <w:color w:val="auto"/>
                <w:kern w:val="0"/>
                <w:sz w:val="22"/>
                <w:szCs w:val="22"/>
              </w:rPr>
              <w:t>17</w:t>
            </w:r>
          </w:p>
        </w:tc>
        <w:tc>
          <w:tcPr>
            <w:tcW w:w="703" w:type="pct"/>
            <w:tcBorders>
              <w:top w:val="nil"/>
              <w:left w:val="nil"/>
              <w:bottom w:val="single" w:color="000000" w:sz="8" w:space="0"/>
              <w:right w:val="single" w:color="000000" w:sz="8" w:space="0"/>
            </w:tcBorders>
            <w:shd w:val="clear" w:color="auto" w:fill="auto"/>
            <w:vAlign w:val="center"/>
          </w:tcPr>
          <w:p w14:paraId="05739EEB">
            <w:pPr>
              <w:jc w:val="center"/>
              <w:textAlignment w:val="center"/>
              <w:rPr>
                <w:rFonts w:ascii="宋体" w:hAnsi="宋体" w:cs="宋体"/>
                <w:color w:val="auto"/>
                <w:sz w:val="20"/>
                <w:szCs w:val="20"/>
              </w:rPr>
            </w:pPr>
            <w:r>
              <w:rPr>
                <w:rStyle w:val="44"/>
                <w:rFonts w:hint="default"/>
                <w:color w:val="auto"/>
              </w:rPr>
              <w:t>肖庄毛竹初加工</w:t>
            </w:r>
          </w:p>
        </w:tc>
        <w:tc>
          <w:tcPr>
            <w:tcW w:w="436" w:type="pct"/>
            <w:tcBorders>
              <w:top w:val="nil"/>
              <w:left w:val="nil"/>
              <w:bottom w:val="single" w:color="000000" w:sz="8" w:space="0"/>
              <w:right w:val="single" w:color="000000" w:sz="8" w:space="0"/>
            </w:tcBorders>
            <w:shd w:val="clear" w:color="auto" w:fill="auto"/>
            <w:vAlign w:val="center"/>
          </w:tcPr>
          <w:p w14:paraId="1AA3175C">
            <w:pPr>
              <w:jc w:val="center"/>
              <w:textAlignment w:val="center"/>
              <w:rPr>
                <w:rFonts w:ascii="宋体" w:hAnsi="宋体" w:cs="宋体"/>
                <w:color w:val="auto"/>
                <w:sz w:val="20"/>
                <w:szCs w:val="20"/>
              </w:rPr>
            </w:pPr>
            <w:r>
              <w:rPr>
                <w:rFonts w:hint="eastAsia" w:ascii="宋体" w:hAnsi="宋体" w:cs="宋体"/>
                <w:color w:val="auto"/>
                <w:kern w:val="0"/>
                <w:sz w:val="20"/>
                <w:szCs w:val="20"/>
              </w:rPr>
              <w:t>3</w:t>
            </w:r>
          </w:p>
        </w:tc>
        <w:tc>
          <w:tcPr>
            <w:tcW w:w="435" w:type="pct"/>
            <w:tcBorders>
              <w:top w:val="nil"/>
              <w:left w:val="nil"/>
              <w:bottom w:val="single" w:color="000000" w:sz="8" w:space="0"/>
              <w:right w:val="single" w:color="000000" w:sz="8" w:space="0"/>
            </w:tcBorders>
            <w:shd w:val="clear" w:color="auto" w:fill="auto"/>
            <w:vAlign w:val="center"/>
          </w:tcPr>
          <w:p w14:paraId="20324F7B">
            <w:pPr>
              <w:jc w:val="center"/>
              <w:textAlignment w:val="center"/>
              <w:rPr>
                <w:rFonts w:ascii="宋体" w:hAnsi="宋体" w:cs="宋体"/>
                <w:color w:val="auto"/>
                <w:sz w:val="20"/>
                <w:szCs w:val="20"/>
              </w:rPr>
            </w:pPr>
            <w:r>
              <w:rPr>
                <w:rStyle w:val="44"/>
                <w:rFonts w:hint="default"/>
                <w:color w:val="auto"/>
              </w:rPr>
              <w:t>竹条</w:t>
            </w:r>
          </w:p>
        </w:tc>
        <w:tc>
          <w:tcPr>
            <w:tcW w:w="436" w:type="pct"/>
            <w:tcBorders>
              <w:top w:val="nil"/>
              <w:left w:val="nil"/>
              <w:bottom w:val="single" w:color="000000" w:sz="8" w:space="0"/>
              <w:right w:val="single" w:color="000000" w:sz="8" w:space="0"/>
            </w:tcBorders>
            <w:shd w:val="clear" w:color="auto" w:fill="auto"/>
            <w:vAlign w:val="center"/>
          </w:tcPr>
          <w:p w14:paraId="267CBC4A">
            <w:pPr>
              <w:jc w:val="center"/>
              <w:textAlignment w:val="center"/>
              <w:rPr>
                <w:rFonts w:ascii="宋体" w:hAnsi="宋体" w:cs="宋体"/>
                <w:color w:val="auto"/>
                <w:sz w:val="20"/>
                <w:szCs w:val="20"/>
              </w:rPr>
            </w:pPr>
            <w:r>
              <w:rPr>
                <w:rStyle w:val="44"/>
                <w:rFonts w:hint="default"/>
                <w:color w:val="auto"/>
              </w:rPr>
              <w:t>5500吨</w:t>
            </w:r>
          </w:p>
        </w:tc>
        <w:tc>
          <w:tcPr>
            <w:tcW w:w="435" w:type="pct"/>
            <w:tcBorders>
              <w:top w:val="nil"/>
              <w:left w:val="nil"/>
              <w:bottom w:val="single" w:color="000000" w:sz="8" w:space="0"/>
              <w:right w:val="single" w:color="000000" w:sz="8" w:space="0"/>
            </w:tcBorders>
            <w:shd w:val="clear" w:color="auto" w:fill="auto"/>
            <w:vAlign w:val="center"/>
          </w:tcPr>
          <w:p w14:paraId="45D088C4">
            <w:pPr>
              <w:jc w:val="center"/>
              <w:textAlignment w:val="center"/>
              <w:rPr>
                <w:rFonts w:ascii="宋体" w:hAnsi="宋体" w:cs="宋体"/>
                <w:color w:val="auto"/>
                <w:sz w:val="20"/>
                <w:szCs w:val="20"/>
              </w:rPr>
            </w:pPr>
            <w:r>
              <w:rPr>
                <w:rStyle w:val="44"/>
                <w:rFonts w:hint="default"/>
                <w:color w:val="auto"/>
              </w:rPr>
              <w:t>剥篾机等</w:t>
            </w:r>
          </w:p>
        </w:tc>
        <w:tc>
          <w:tcPr>
            <w:tcW w:w="435" w:type="pct"/>
            <w:tcBorders>
              <w:top w:val="nil"/>
              <w:left w:val="nil"/>
              <w:bottom w:val="single" w:color="000000" w:sz="8" w:space="0"/>
              <w:right w:val="single" w:color="000000" w:sz="8" w:space="0"/>
            </w:tcBorders>
            <w:shd w:val="clear" w:color="auto" w:fill="auto"/>
            <w:vAlign w:val="center"/>
          </w:tcPr>
          <w:p w14:paraId="64803D29">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686D5805">
            <w:pPr>
              <w:jc w:val="center"/>
              <w:textAlignment w:val="center"/>
              <w:rPr>
                <w:rFonts w:ascii="宋体" w:hAnsi="宋体" w:cs="宋体"/>
                <w:color w:val="auto"/>
                <w:sz w:val="20"/>
                <w:szCs w:val="20"/>
              </w:rPr>
            </w:pPr>
            <w:r>
              <w:rPr>
                <w:rStyle w:val="44"/>
                <w:rFonts w:hint="default"/>
                <w:color w:val="auto"/>
              </w:rPr>
              <w:t>肖庄村股份经济合作社</w:t>
            </w:r>
          </w:p>
        </w:tc>
        <w:tc>
          <w:tcPr>
            <w:tcW w:w="452" w:type="pct"/>
            <w:tcBorders>
              <w:top w:val="nil"/>
              <w:left w:val="nil"/>
              <w:bottom w:val="single" w:color="000000" w:sz="8" w:space="0"/>
              <w:right w:val="single" w:color="000000" w:sz="8" w:space="0"/>
            </w:tcBorders>
            <w:shd w:val="clear" w:color="auto" w:fill="auto"/>
            <w:vAlign w:val="center"/>
          </w:tcPr>
          <w:p w14:paraId="376B2FAE">
            <w:pPr>
              <w:jc w:val="center"/>
              <w:textAlignment w:val="center"/>
              <w:rPr>
                <w:rFonts w:ascii="宋体" w:hAnsi="宋体" w:cs="宋体"/>
                <w:color w:val="auto"/>
                <w:sz w:val="20"/>
                <w:szCs w:val="20"/>
              </w:rPr>
            </w:pPr>
            <w:r>
              <w:rPr>
                <w:rStyle w:val="44"/>
                <w:rFonts w:hint="default"/>
                <w:color w:val="auto"/>
              </w:rPr>
              <w:t>2022-2031</w:t>
            </w:r>
          </w:p>
        </w:tc>
        <w:tc>
          <w:tcPr>
            <w:tcW w:w="435" w:type="pct"/>
            <w:tcBorders>
              <w:top w:val="nil"/>
              <w:left w:val="nil"/>
              <w:bottom w:val="single" w:color="000000" w:sz="8" w:space="0"/>
              <w:right w:val="single" w:color="000000" w:sz="8" w:space="0"/>
            </w:tcBorders>
            <w:shd w:val="clear" w:color="auto" w:fill="auto"/>
            <w:vAlign w:val="center"/>
          </w:tcPr>
          <w:p w14:paraId="0739D692">
            <w:pPr>
              <w:jc w:val="center"/>
              <w:textAlignment w:val="center"/>
              <w:rPr>
                <w:rFonts w:ascii="宋体" w:hAnsi="宋体" w:cs="宋体"/>
                <w:color w:val="auto"/>
                <w:sz w:val="20"/>
                <w:szCs w:val="20"/>
              </w:rPr>
            </w:pPr>
            <w:r>
              <w:rPr>
                <w:rStyle w:val="44"/>
                <w:rFonts w:hint="default"/>
                <w:color w:val="auto"/>
              </w:rPr>
              <w:t>肖庄村</w:t>
            </w:r>
          </w:p>
        </w:tc>
        <w:tc>
          <w:tcPr>
            <w:tcW w:w="441" w:type="pct"/>
            <w:vMerge w:val="restart"/>
            <w:tcBorders>
              <w:top w:val="nil"/>
              <w:left w:val="nil"/>
              <w:bottom w:val="single" w:color="000000" w:sz="8" w:space="0"/>
              <w:right w:val="single" w:color="000000" w:sz="8" w:space="0"/>
            </w:tcBorders>
            <w:shd w:val="clear" w:color="auto" w:fill="auto"/>
            <w:vAlign w:val="center"/>
          </w:tcPr>
          <w:p w14:paraId="3EB2FBF6">
            <w:pPr>
              <w:jc w:val="center"/>
              <w:textAlignment w:val="center"/>
              <w:rPr>
                <w:rFonts w:ascii="宋体" w:hAnsi="宋体" w:cs="宋体"/>
                <w:color w:val="auto"/>
                <w:sz w:val="20"/>
                <w:szCs w:val="20"/>
              </w:rPr>
            </w:pPr>
            <w:r>
              <w:rPr>
                <w:rStyle w:val="44"/>
                <w:rFonts w:hint="default"/>
                <w:color w:val="auto"/>
              </w:rPr>
              <w:t>锦溪镇</w:t>
            </w:r>
          </w:p>
        </w:tc>
      </w:tr>
      <w:tr w14:paraId="50CF9CA3">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080AD57">
            <w:pPr>
              <w:jc w:val="center"/>
              <w:textAlignment w:val="center"/>
              <w:rPr>
                <w:rFonts w:ascii="宋体" w:hAnsi="宋体" w:cs="宋体"/>
                <w:color w:val="auto"/>
                <w:sz w:val="22"/>
                <w:szCs w:val="22"/>
              </w:rPr>
            </w:pPr>
            <w:r>
              <w:rPr>
                <w:rFonts w:hint="eastAsia" w:ascii="宋体" w:hAnsi="宋体" w:cs="宋体"/>
                <w:color w:val="auto"/>
                <w:kern w:val="0"/>
                <w:sz w:val="22"/>
                <w:szCs w:val="22"/>
              </w:rPr>
              <w:t>18</w:t>
            </w:r>
          </w:p>
        </w:tc>
        <w:tc>
          <w:tcPr>
            <w:tcW w:w="703" w:type="pct"/>
            <w:tcBorders>
              <w:top w:val="nil"/>
              <w:left w:val="nil"/>
              <w:bottom w:val="single" w:color="000000" w:sz="8" w:space="0"/>
              <w:right w:val="single" w:color="000000" w:sz="8" w:space="0"/>
            </w:tcBorders>
            <w:shd w:val="clear" w:color="auto" w:fill="auto"/>
            <w:vAlign w:val="center"/>
          </w:tcPr>
          <w:p w14:paraId="363D9E13">
            <w:pPr>
              <w:jc w:val="center"/>
              <w:textAlignment w:val="center"/>
              <w:rPr>
                <w:rFonts w:ascii="宋体" w:hAnsi="宋体" w:cs="宋体"/>
                <w:color w:val="auto"/>
                <w:sz w:val="20"/>
                <w:szCs w:val="20"/>
              </w:rPr>
            </w:pPr>
            <w:r>
              <w:rPr>
                <w:rStyle w:val="44"/>
                <w:rFonts w:hint="default"/>
                <w:color w:val="auto"/>
              </w:rPr>
              <w:t>竹笋收购点</w:t>
            </w:r>
          </w:p>
        </w:tc>
        <w:tc>
          <w:tcPr>
            <w:tcW w:w="436" w:type="pct"/>
            <w:tcBorders>
              <w:top w:val="nil"/>
              <w:left w:val="nil"/>
              <w:bottom w:val="single" w:color="000000" w:sz="8" w:space="0"/>
              <w:right w:val="single" w:color="000000" w:sz="8" w:space="0"/>
            </w:tcBorders>
            <w:shd w:val="clear" w:color="auto" w:fill="auto"/>
            <w:vAlign w:val="center"/>
          </w:tcPr>
          <w:p w14:paraId="01BDE892">
            <w:pPr>
              <w:jc w:val="center"/>
              <w:textAlignment w:val="center"/>
              <w:rPr>
                <w:rFonts w:ascii="宋体" w:hAnsi="宋体" w:cs="宋体"/>
                <w:color w:val="auto"/>
                <w:sz w:val="20"/>
                <w:szCs w:val="20"/>
              </w:rPr>
            </w:pPr>
            <w:r>
              <w:rPr>
                <w:rFonts w:hint="eastAsia" w:ascii="宋体" w:hAnsi="宋体" w:cs="宋体"/>
                <w:color w:val="auto"/>
                <w:kern w:val="0"/>
                <w:sz w:val="20"/>
                <w:szCs w:val="20"/>
              </w:rPr>
              <w:t>2</w:t>
            </w:r>
          </w:p>
        </w:tc>
        <w:tc>
          <w:tcPr>
            <w:tcW w:w="435" w:type="pct"/>
            <w:tcBorders>
              <w:top w:val="nil"/>
              <w:left w:val="nil"/>
              <w:bottom w:val="single" w:color="000000" w:sz="8" w:space="0"/>
              <w:right w:val="single" w:color="000000" w:sz="8" w:space="0"/>
            </w:tcBorders>
            <w:shd w:val="clear" w:color="auto" w:fill="auto"/>
            <w:vAlign w:val="center"/>
          </w:tcPr>
          <w:p w14:paraId="5A1F7389">
            <w:pPr>
              <w:jc w:val="center"/>
              <w:textAlignment w:val="center"/>
              <w:rPr>
                <w:rFonts w:ascii="宋体" w:hAnsi="宋体" w:cs="宋体"/>
                <w:color w:val="auto"/>
                <w:sz w:val="20"/>
                <w:szCs w:val="20"/>
              </w:rPr>
            </w:pPr>
            <w:r>
              <w:rPr>
                <w:rStyle w:val="44"/>
                <w:rFonts w:hint="default"/>
                <w:color w:val="auto"/>
              </w:rPr>
              <w:t>笋</w:t>
            </w:r>
          </w:p>
        </w:tc>
        <w:tc>
          <w:tcPr>
            <w:tcW w:w="436" w:type="pct"/>
            <w:tcBorders>
              <w:top w:val="nil"/>
              <w:left w:val="nil"/>
              <w:bottom w:val="single" w:color="000000" w:sz="8" w:space="0"/>
              <w:right w:val="single" w:color="000000" w:sz="8" w:space="0"/>
            </w:tcBorders>
            <w:shd w:val="clear" w:color="auto" w:fill="auto"/>
            <w:vAlign w:val="center"/>
          </w:tcPr>
          <w:p w14:paraId="7F545E4A">
            <w:pPr>
              <w:jc w:val="center"/>
              <w:textAlignment w:val="center"/>
              <w:rPr>
                <w:rFonts w:ascii="宋体" w:hAnsi="宋体" w:cs="宋体"/>
                <w:color w:val="auto"/>
                <w:sz w:val="20"/>
                <w:szCs w:val="20"/>
              </w:rPr>
            </w:pPr>
            <w:r>
              <w:rPr>
                <w:rStyle w:val="44"/>
                <w:rFonts w:hint="default"/>
                <w:color w:val="auto"/>
              </w:rPr>
              <w:t>3500吨</w:t>
            </w:r>
          </w:p>
        </w:tc>
        <w:tc>
          <w:tcPr>
            <w:tcW w:w="435" w:type="pct"/>
            <w:tcBorders>
              <w:top w:val="nil"/>
              <w:left w:val="nil"/>
              <w:bottom w:val="single" w:color="000000" w:sz="8" w:space="0"/>
              <w:right w:val="single" w:color="000000" w:sz="8" w:space="0"/>
            </w:tcBorders>
            <w:shd w:val="clear" w:color="auto" w:fill="auto"/>
            <w:vAlign w:val="center"/>
          </w:tcPr>
          <w:p w14:paraId="015D5570">
            <w:pPr>
              <w:jc w:val="center"/>
              <w:rPr>
                <w:rFonts w:ascii="宋体" w:hAnsi="宋体" w:cs="宋体"/>
                <w:color w:val="auto"/>
                <w:sz w:val="20"/>
                <w:szCs w:val="20"/>
              </w:rPr>
            </w:pPr>
          </w:p>
        </w:tc>
        <w:tc>
          <w:tcPr>
            <w:tcW w:w="435" w:type="pct"/>
            <w:tcBorders>
              <w:top w:val="nil"/>
              <w:left w:val="nil"/>
              <w:bottom w:val="single" w:color="000000" w:sz="8" w:space="0"/>
              <w:right w:val="single" w:color="000000" w:sz="8" w:space="0"/>
            </w:tcBorders>
            <w:shd w:val="clear" w:color="auto" w:fill="auto"/>
            <w:vAlign w:val="center"/>
          </w:tcPr>
          <w:p w14:paraId="45C4941E">
            <w:pPr>
              <w:jc w:val="center"/>
              <w:textAlignment w:val="center"/>
              <w:rPr>
                <w:rFonts w:ascii="宋体" w:hAnsi="宋体" w:cs="宋体"/>
                <w:color w:val="auto"/>
                <w:sz w:val="20"/>
                <w:szCs w:val="20"/>
              </w:rPr>
            </w:pPr>
            <w:r>
              <w:rPr>
                <w:rFonts w:hint="eastAsia" w:ascii="宋体" w:hAnsi="宋体" w:cs="宋体"/>
                <w:color w:val="auto"/>
                <w:kern w:val="0"/>
                <w:sz w:val="20"/>
                <w:szCs w:val="20"/>
              </w:rPr>
              <w:t>8</w:t>
            </w:r>
          </w:p>
        </w:tc>
        <w:tc>
          <w:tcPr>
            <w:tcW w:w="435" w:type="pct"/>
            <w:tcBorders>
              <w:top w:val="nil"/>
              <w:left w:val="nil"/>
              <w:bottom w:val="single" w:color="000000" w:sz="8" w:space="0"/>
              <w:right w:val="single" w:color="000000" w:sz="8" w:space="0"/>
            </w:tcBorders>
            <w:shd w:val="clear" w:color="auto" w:fill="auto"/>
            <w:vAlign w:val="center"/>
          </w:tcPr>
          <w:p w14:paraId="1DF958B5">
            <w:pPr>
              <w:jc w:val="center"/>
              <w:textAlignment w:val="center"/>
              <w:rPr>
                <w:rFonts w:ascii="宋体" w:hAnsi="宋体" w:cs="宋体"/>
                <w:color w:val="auto"/>
                <w:sz w:val="20"/>
                <w:szCs w:val="20"/>
              </w:rPr>
            </w:pPr>
            <w:r>
              <w:rPr>
                <w:rStyle w:val="44"/>
                <w:rFonts w:hint="default"/>
                <w:color w:val="auto"/>
              </w:rPr>
              <w:t>肖庄村股份经济合作社</w:t>
            </w:r>
          </w:p>
        </w:tc>
        <w:tc>
          <w:tcPr>
            <w:tcW w:w="452" w:type="pct"/>
            <w:tcBorders>
              <w:top w:val="nil"/>
              <w:left w:val="nil"/>
              <w:bottom w:val="single" w:color="000000" w:sz="8" w:space="0"/>
              <w:right w:val="single" w:color="000000" w:sz="8" w:space="0"/>
            </w:tcBorders>
            <w:shd w:val="clear" w:color="auto" w:fill="auto"/>
            <w:vAlign w:val="center"/>
          </w:tcPr>
          <w:p w14:paraId="572C9555">
            <w:pPr>
              <w:jc w:val="center"/>
              <w:textAlignment w:val="center"/>
              <w:rPr>
                <w:rFonts w:ascii="宋体" w:hAnsi="宋体" w:cs="宋体"/>
                <w:color w:val="auto"/>
                <w:sz w:val="20"/>
                <w:szCs w:val="20"/>
              </w:rPr>
            </w:pPr>
            <w:r>
              <w:rPr>
                <w:rStyle w:val="44"/>
                <w:rFonts w:hint="default"/>
                <w:color w:val="auto"/>
              </w:rPr>
              <w:t>2022-2031</w:t>
            </w:r>
          </w:p>
        </w:tc>
        <w:tc>
          <w:tcPr>
            <w:tcW w:w="435" w:type="pct"/>
            <w:tcBorders>
              <w:top w:val="nil"/>
              <w:left w:val="nil"/>
              <w:bottom w:val="single" w:color="000000" w:sz="8" w:space="0"/>
              <w:right w:val="single" w:color="000000" w:sz="8" w:space="0"/>
            </w:tcBorders>
            <w:shd w:val="clear" w:color="auto" w:fill="auto"/>
            <w:vAlign w:val="center"/>
          </w:tcPr>
          <w:p w14:paraId="6EA5D951">
            <w:pPr>
              <w:jc w:val="center"/>
              <w:textAlignment w:val="center"/>
              <w:rPr>
                <w:rFonts w:ascii="宋体" w:hAnsi="宋体" w:cs="宋体"/>
                <w:color w:val="auto"/>
                <w:sz w:val="20"/>
                <w:szCs w:val="20"/>
              </w:rPr>
            </w:pPr>
            <w:r>
              <w:rPr>
                <w:rStyle w:val="44"/>
                <w:rFonts w:hint="default"/>
                <w:color w:val="auto"/>
              </w:rPr>
              <w:t>肖庄村</w:t>
            </w:r>
          </w:p>
        </w:tc>
        <w:tc>
          <w:tcPr>
            <w:tcW w:w="441" w:type="pct"/>
            <w:vMerge w:val="continue"/>
            <w:tcBorders>
              <w:top w:val="nil"/>
              <w:left w:val="nil"/>
              <w:bottom w:val="single" w:color="000000" w:sz="8" w:space="0"/>
              <w:right w:val="single" w:color="000000" w:sz="8" w:space="0"/>
            </w:tcBorders>
            <w:shd w:val="clear" w:color="auto" w:fill="auto"/>
            <w:vAlign w:val="center"/>
          </w:tcPr>
          <w:p w14:paraId="0F6E6014">
            <w:pPr>
              <w:jc w:val="center"/>
              <w:rPr>
                <w:rFonts w:ascii="宋体" w:hAnsi="宋体" w:cs="宋体"/>
                <w:color w:val="auto"/>
                <w:sz w:val="20"/>
                <w:szCs w:val="20"/>
              </w:rPr>
            </w:pPr>
          </w:p>
        </w:tc>
      </w:tr>
      <w:tr w14:paraId="28AED850">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003A84CF">
            <w:pPr>
              <w:jc w:val="center"/>
              <w:textAlignment w:val="center"/>
              <w:rPr>
                <w:rFonts w:ascii="宋体" w:hAnsi="宋体" w:cs="宋体"/>
                <w:color w:val="auto"/>
                <w:sz w:val="22"/>
                <w:szCs w:val="22"/>
              </w:rPr>
            </w:pPr>
            <w:r>
              <w:rPr>
                <w:rFonts w:hint="eastAsia" w:ascii="宋体" w:hAnsi="宋体" w:cs="宋体"/>
                <w:color w:val="auto"/>
                <w:kern w:val="0"/>
                <w:sz w:val="22"/>
                <w:szCs w:val="22"/>
              </w:rPr>
              <w:t>19</w:t>
            </w:r>
          </w:p>
        </w:tc>
        <w:tc>
          <w:tcPr>
            <w:tcW w:w="703" w:type="pct"/>
            <w:tcBorders>
              <w:top w:val="nil"/>
              <w:left w:val="nil"/>
              <w:bottom w:val="single" w:color="000000" w:sz="8" w:space="0"/>
              <w:right w:val="single" w:color="000000" w:sz="8" w:space="0"/>
            </w:tcBorders>
            <w:shd w:val="clear" w:color="auto" w:fill="auto"/>
            <w:vAlign w:val="center"/>
          </w:tcPr>
          <w:p w14:paraId="4238243A">
            <w:pPr>
              <w:jc w:val="center"/>
              <w:textAlignment w:val="center"/>
              <w:rPr>
                <w:rFonts w:ascii="宋体" w:hAnsi="宋体" w:cs="宋体"/>
                <w:color w:val="auto"/>
                <w:sz w:val="20"/>
                <w:szCs w:val="20"/>
              </w:rPr>
            </w:pPr>
            <w:r>
              <w:rPr>
                <w:rStyle w:val="44"/>
                <w:rFonts w:hint="default"/>
                <w:color w:val="auto"/>
              </w:rPr>
              <w:t>桥弄排加工点</w:t>
            </w:r>
          </w:p>
        </w:tc>
        <w:tc>
          <w:tcPr>
            <w:tcW w:w="436" w:type="pct"/>
            <w:tcBorders>
              <w:top w:val="nil"/>
              <w:left w:val="nil"/>
              <w:bottom w:val="single" w:color="000000" w:sz="8" w:space="0"/>
              <w:right w:val="single" w:color="000000" w:sz="8" w:space="0"/>
            </w:tcBorders>
            <w:shd w:val="clear" w:color="auto" w:fill="auto"/>
            <w:vAlign w:val="center"/>
          </w:tcPr>
          <w:p w14:paraId="1453744C">
            <w:pPr>
              <w:jc w:val="center"/>
              <w:textAlignment w:val="center"/>
              <w:rPr>
                <w:rFonts w:ascii="宋体" w:hAnsi="宋体" w:cs="宋体"/>
                <w:color w:val="auto"/>
                <w:sz w:val="20"/>
                <w:szCs w:val="20"/>
              </w:rPr>
            </w:pPr>
            <w:r>
              <w:rPr>
                <w:rFonts w:hint="eastAsia" w:ascii="宋体" w:hAnsi="宋体" w:cs="宋体"/>
                <w:color w:val="auto"/>
                <w:kern w:val="0"/>
                <w:sz w:val="20"/>
                <w:szCs w:val="20"/>
              </w:rPr>
              <w:t>30</w:t>
            </w:r>
          </w:p>
        </w:tc>
        <w:tc>
          <w:tcPr>
            <w:tcW w:w="435" w:type="pct"/>
            <w:tcBorders>
              <w:top w:val="nil"/>
              <w:left w:val="nil"/>
              <w:bottom w:val="single" w:color="000000" w:sz="8" w:space="0"/>
              <w:right w:val="single" w:color="000000" w:sz="8" w:space="0"/>
            </w:tcBorders>
            <w:shd w:val="clear" w:color="auto" w:fill="auto"/>
            <w:vAlign w:val="center"/>
          </w:tcPr>
          <w:p w14:paraId="35EF924D">
            <w:pPr>
              <w:jc w:val="center"/>
              <w:textAlignment w:val="center"/>
              <w:rPr>
                <w:rFonts w:ascii="宋体" w:hAnsi="宋体" w:cs="宋体"/>
                <w:color w:val="auto"/>
                <w:sz w:val="20"/>
                <w:szCs w:val="20"/>
              </w:rPr>
            </w:pPr>
            <w:r>
              <w:rPr>
                <w:rStyle w:val="44"/>
                <w:rFonts w:hint="default"/>
                <w:color w:val="auto"/>
              </w:rPr>
              <w:t>毛竹加工</w:t>
            </w:r>
          </w:p>
        </w:tc>
        <w:tc>
          <w:tcPr>
            <w:tcW w:w="436" w:type="pct"/>
            <w:tcBorders>
              <w:top w:val="nil"/>
              <w:left w:val="nil"/>
              <w:bottom w:val="single" w:color="000000" w:sz="8" w:space="0"/>
              <w:right w:val="single" w:color="000000" w:sz="8" w:space="0"/>
            </w:tcBorders>
            <w:shd w:val="clear" w:color="auto" w:fill="auto"/>
            <w:vAlign w:val="center"/>
          </w:tcPr>
          <w:p w14:paraId="4441CD23">
            <w:pPr>
              <w:jc w:val="center"/>
              <w:textAlignment w:val="center"/>
              <w:rPr>
                <w:rFonts w:ascii="宋体" w:hAnsi="宋体" w:cs="宋体"/>
                <w:color w:val="auto"/>
                <w:sz w:val="20"/>
                <w:szCs w:val="20"/>
              </w:rPr>
            </w:pPr>
            <w:r>
              <w:rPr>
                <w:rStyle w:val="44"/>
                <w:rFonts w:hint="default"/>
                <w:color w:val="auto"/>
              </w:rPr>
              <w:t>3500吨</w:t>
            </w:r>
          </w:p>
        </w:tc>
        <w:tc>
          <w:tcPr>
            <w:tcW w:w="435" w:type="pct"/>
            <w:tcBorders>
              <w:top w:val="nil"/>
              <w:left w:val="nil"/>
              <w:bottom w:val="single" w:color="000000" w:sz="8" w:space="0"/>
              <w:right w:val="single" w:color="000000" w:sz="8" w:space="0"/>
            </w:tcBorders>
            <w:shd w:val="clear" w:color="auto" w:fill="auto"/>
            <w:vAlign w:val="center"/>
          </w:tcPr>
          <w:p w14:paraId="1A33EE21">
            <w:pPr>
              <w:jc w:val="center"/>
              <w:textAlignment w:val="center"/>
              <w:rPr>
                <w:rFonts w:ascii="宋体" w:hAnsi="宋体" w:cs="宋体"/>
                <w:color w:val="auto"/>
                <w:sz w:val="20"/>
                <w:szCs w:val="20"/>
              </w:rPr>
            </w:pPr>
            <w:r>
              <w:rPr>
                <w:rStyle w:val="44"/>
                <w:rFonts w:hint="default"/>
                <w:color w:val="auto"/>
              </w:rPr>
              <w:t>竹加工设备</w:t>
            </w:r>
          </w:p>
        </w:tc>
        <w:tc>
          <w:tcPr>
            <w:tcW w:w="435" w:type="pct"/>
            <w:tcBorders>
              <w:top w:val="nil"/>
              <w:left w:val="nil"/>
              <w:bottom w:val="single" w:color="000000" w:sz="8" w:space="0"/>
              <w:right w:val="single" w:color="000000" w:sz="8" w:space="0"/>
            </w:tcBorders>
            <w:shd w:val="clear" w:color="auto" w:fill="auto"/>
            <w:vAlign w:val="center"/>
          </w:tcPr>
          <w:p w14:paraId="36481E6B">
            <w:pPr>
              <w:jc w:val="center"/>
              <w:textAlignment w:val="center"/>
              <w:rPr>
                <w:rFonts w:ascii="宋体" w:hAnsi="宋体" w:cs="宋体"/>
                <w:color w:val="auto"/>
                <w:sz w:val="20"/>
                <w:szCs w:val="20"/>
              </w:rPr>
            </w:pPr>
            <w:r>
              <w:rPr>
                <w:rFonts w:hint="eastAsia" w:ascii="宋体" w:hAnsi="宋体" w:cs="宋体"/>
                <w:color w:val="auto"/>
                <w:kern w:val="0"/>
                <w:sz w:val="20"/>
                <w:szCs w:val="20"/>
              </w:rPr>
              <w:t>50</w:t>
            </w:r>
          </w:p>
        </w:tc>
        <w:tc>
          <w:tcPr>
            <w:tcW w:w="435" w:type="pct"/>
            <w:tcBorders>
              <w:top w:val="nil"/>
              <w:left w:val="nil"/>
              <w:bottom w:val="single" w:color="000000" w:sz="8" w:space="0"/>
              <w:right w:val="single" w:color="000000" w:sz="8" w:space="0"/>
            </w:tcBorders>
            <w:shd w:val="clear" w:color="auto" w:fill="auto"/>
            <w:vAlign w:val="center"/>
          </w:tcPr>
          <w:p w14:paraId="74BA684D">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5D4C4CDB">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548B7783">
            <w:pPr>
              <w:jc w:val="center"/>
              <w:textAlignment w:val="center"/>
              <w:rPr>
                <w:rFonts w:ascii="宋体" w:hAnsi="宋体" w:cs="宋体"/>
                <w:color w:val="auto"/>
                <w:sz w:val="20"/>
                <w:szCs w:val="20"/>
              </w:rPr>
            </w:pPr>
            <w:r>
              <w:rPr>
                <w:rStyle w:val="44"/>
                <w:rFonts w:hint="default"/>
                <w:color w:val="auto"/>
              </w:rPr>
              <w:t>中锦村</w:t>
            </w:r>
          </w:p>
        </w:tc>
        <w:tc>
          <w:tcPr>
            <w:tcW w:w="441" w:type="pct"/>
            <w:vMerge w:val="continue"/>
            <w:tcBorders>
              <w:top w:val="nil"/>
              <w:left w:val="nil"/>
              <w:bottom w:val="single" w:color="000000" w:sz="8" w:space="0"/>
              <w:right w:val="single" w:color="000000" w:sz="8" w:space="0"/>
            </w:tcBorders>
            <w:shd w:val="clear" w:color="auto" w:fill="auto"/>
            <w:vAlign w:val="center"/>
          </w:tcPr>
          <w:p w14:paraId="65AC618B">
            <w:pPr>
              <w:jc w:val="center"/>
              <w:rPr>
                <w:rFonts w:ascii="宋体" w:hAnsi="宋体" w:cs="宋体"/>
                <w:color w:val="auto"/>
                <w:sz w:val="20"/>
                <w:szCs w:val="20"/>
              </w:rPr>
            </w:pPr>
          </w:p>
        </w:tc>
      </w:tr>
      <w:tr w14:paraId="5354E2ED">
        <w:tblPrEx>
          <w:tblCellMar>
            <w:top w:w="0" w:type="dxa"/>
            <w:left w:w="108" w:type="dxa"/>
            <w:bottom w:w="0" w:type="dxa"/>
            <w:right w:w="108" w:type="dxa"/>
          </w:tblCellMar>
        </w:tblPrEx>
        <w:trPr>
          <w:trHeight w:val="285"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4FC96571">
            <w:pPr>
              <w:jc w:val="center"/>
              <w:rPr>
                <w:rFonts w:ascii="宋体" w:hAnsi="宋体" w:cs="宋体"/>
                <w:color w:val="auto"/>
                <w:sz w:val="22"/>
                <w:szCs w:val="22"/>
              </w:rPr>
            </w:pPr>
          </w:p>
        </w:tc>
      </w:tr>
      <w:tr w14:paraId="13106471">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25F67220">
            <w:pPr>
              <w:jc w:val="center"/>
              <w:textAlignment w:val="center"/>
              <w:rPr>
                <w:rFonts w:ascii="宋体" w:hAnsi="宋体" w:cs="宋体"/>
                <w:color w:val="auto"/>
                <w:sz w:val="22"/>
                <w:szCs w:val="22"/>
              </w:rPr>
            </w:pPr>
            <w:r>
              <w:rPr>
                <w:rFonts w:hint="eastAsia" w:ascii="宋体" w:hAnsi="宋体" w:cs="宋体"/>
                <w:color w:val="auto"/>
                <w:kern w:val="0"/>
                <w:sz w:val="22"/>
                <w:szCs w:val="22"/>
              </w:rPr>
              <w:t>20</w:t>
            </w:r>
          </w:p>
        </w:tc>
        <w:tc>
          <w:tcPr>
            <w:tcW w:w="703" w:type="pct"/>
            <w:tcBorders>
              <w:top w:val="nil"/>
              <w:left w:val="nil"/>
              <w:bottom w:val="single" w:color="000000" w:sz="8" w:space="0"/>
              <w:right w:val="single" w:color="000000" w:sz="8" w:space="0"/>
            </w:tcBorders>
            <w:shd w:val="clear" w:color="auto" w:fill="auto"/>
            <w:vAlign w:val="center"/>
          </w:tcPr>
          <w:p w14:paraId="6ACF37C2">
            <w:pPr>
              <w:jc w:val="center"/>
              <w:textAlignment w:val="center"/>
              <w:rPr>
                <w:rFonts w:ascii="宋体" w:hAnsi="宋体" w:cs="宋体"/>
                <w:color w:val="auto"/>
                <w:sz w:val="20"/>
                <w:szCs w:val="20"/>
              </w:rPr>
            </w:pPr>
            <w:r>
              <w:rPr>
                <w:rStyle w:val="44"/>
                <w:rFonts w:hint="default"/>
                <w:color w:val="auto"/>
              </w:rPr>
              <w:t>竹木制品有限公司加工点</w:t>
            </w:r>
          </w:p>
        </w:tc>
        <w:tc>
          <w:tcPr>
            <w:tcW w:w="436" w:type="pct"/>
            <w:tcBorders>
              <w:top w:val="nil"/>
              <w:left w:val="nil"/>
              <w:bottom w:val="single" w:color="000000" w:sz="8" w:space="0"/>
              <w:right w:val="single" w:color="000000" w:sz="8" w:space="0"/>
            </w:tcBorders>
            <w:shd w:val="clear" w:color="auto" w:fill="auto"/>
            <w:vAlign w:val="center"/>
          </w:tcPr>
          <w:p w14:paraId="67889984">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44968E00">
            <w:pPr>
              <w:jc w:val="center"/>
              <w:textAlignment w:val="center"/>
              <w:rPr>
                <w:rFonts w:ascii="宋体" w:hAnsi="宋体" w:cs="宋体"/>
                <w:color w:val="auto"/>
                <w:sz w:val="20"/>
                <w:szCs w:val="20"/>
              </w:rPr>
            </w:pPr>
            <w:r>
              <w:rPr>
                <w:rStyle w:val="44"/>
                <w:rFonts w:hint="default"/>
                <w:color w:val="auto"/>
              </w:rPr>
              <w:t>竹木制品</w:t>
            </w:r>
          </w:p>
        </w:tc>
        <w:tc>
          <w:tcPr>
            <w:tcW w:w="436" w:type="pct"/>
            <w:tcBorders>
              <w:top w:val="nil"/>
              <w:left w:val="nil"/>
              <w:bottom w:val="single" w:color="000000" w:sz="8" w:space="0"/>
              <w:right w:val="single" w:color="000000" w:sz="8" w:space="0"/>
            </w:tcBorders>
            <w:shd w:val="clear" w:color="auto" w:fill="auto"/>
            <w:vAlign w:val="center"/>
          </w:tcPr>
          <w:p w14:paraId="39D69FC8">
            <w:pPr>
              <w:jc w:val="center"/>
              <w:textAlignment w:val="center"/>
              <w:rPr>
                <w:rFonts w:ascii="宋体" w:hAnsi="宋体" w:cs="宋体"/>
                <w:color w:val="auto"/>
                <w:sz w:val="20"/>
                <w:szCs w:val="20"/>
              </w:rPr>
            </w:pPr>
            <w:r>
              <w:rPr>
                <w:rStyle w:val="44"/>
                <w:rFonts w:hint="default"/>
                <w:color w:val="auto"/>
              </w:rPr>
              <w:t>20000吨</w:t>
            </w:r>
          </w:p>
        </w:tc>
        <w:tc>
          <w:tcPr>
            <w:tcW w:w="435" w:type="pct"/>
            <w:tcBorders>
              <w:top w:val="nil"/>
              <w:left w:val="nil"/>
              <w:bottom w:val="single" w:color="000000" w:sz="8" w:space="0"/>
              <w:right w:val="single" w:color="000000" w:sz="8" w:space="0"/>
            </w:tcBorders>
            <w:shd w:val="clear" w:color="auto" w:fill="auto"/>
            <w:vAlign w:val="center"/>
          </w:tcPr>
          <w:p w14:paraId="422DB60F">
            <w:pPr>
              <w:jc w:val="center"/>
              <w:textAlignment w:val="center"/>
              <w:rPr>
                <w:rFonts w:ascii="宋体" w:hAnsi="宋体" w:cs="宋体"/>
                <w:color w:val="auto"/>
                <w:sz w:val="20"/>
                <w:szCs w:val="20"/>
              </w:rPr>
            </w:pPr>
            <w:r>
              <w:rPr>
                <w:rStyle w:val="44"/>
                <w:rFonts w:hint="default"/>
                <w:color w:val="auto"/>
              </w:rPr>
              <w:t>自动刨机</w:t>
            </w:r>
          </w:p>
        </w:tc>
        <w:tc>
          <w:tcPr>
            <w:tcW w:w="435" w:type="pct"/>
            <w:tcBorders>
              <w:top w:val="nil"/>
              <w:left w:val="nil"/>
              <w:bottom w:val="single" w:color="000000" w:sz="8" w:space="0"/>
              <w:right w:val="single" w:color="000000" w:sz="8" w:space="0"/>
            </w:tcBorders>
            <w:shd w:val="clear" w:color="auto" w:fill="auto"/>
            <w:vAlign w:val="center"/>
          </w:tcPr>
          <w:p w14:paraId="3C9D6423">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0B379153">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48293E50">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70415492">
            <w:pPr>
              <w:jc w:val="center"/>
              <w:textAlignment w:val="center"/>
              <w:rPr>
                <w:rFonts w:ascii="宋体" w:hAnsi="宋体" w:cs="宋体"/>
                <w:color w:val="auto"/>
                <w:sz w:val="20"/>
                <w:szCs w:val="20"/>
              </w:rPr>
            </w:pPr>
            <w:r>
              <w:rPr>
                <w:rStyle w:val="44"/>
                <w:rFonts w:hint="default"/>
                <w:color w:val="auto"/>
              </w:rPr>
              <w:t>查一村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76D78E80">
            <w:pPr>
              <w:jc w:val="center"/>
              <w:rPr>
                <w:rFonts w:ascii="宋体" w:hAnsi="宋体" w:cs="宋体"/>
                <w:color w:val="auto"/>
                <w:sz w:val="20"/>
                <w:szCs w:val="20"/>
              </w:rPr>
            </w:pPr>
          </w:p>
        </w:tc>
      </w:tr>
      <w:tr w14:paraId="38A9AB96">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95A7029">
            <w:pPr>
              <w:jc w:val="center"/>
              <w:textAlignment w:val="center"/>
              <w:rPr>
                <w:rFonts w:ascii="宋体" w:hAnsi="宋体" w:cs="宋体"/>
                <w:color w:val="auto"/>
                <w:sz w:val="22"/>
                <w:szCs w:val="22"/>
              </w:rPr>
            </w:pPr>
            <w:r>
              <w:rPr>
                <w:rFonts w:hint="eastAsia" w:ascii="宋体" w:hAnsi="宋体" w:cs="宋体"/>
                <w:color w:val="auto"/>
                <w:kern w:val="0"/>
                <w:sz w:val="22"/>
                <w:szCs w:val="22"/>
              </w:rPr>
              <w:t>21</w:t>
            </w:r>
          </w:p>
        </w:tc>
        <w:tc>
          <w:tcPr>
            <w:tcW w:w="703" w:type="pct"/>
            <w:tcBorders>
              <w:top w:val="nil"/>
              <w:left w:val="nil"/>
              <w:bottom w:val="single" w:color="000000" w:sz="8" w:space="0"/>
              <w:right w:val="single" w:color="000000" w:sz="8" w:space="0"/>
            </w:tcBorders>
            <w:shd w:val="clear" w:color="auto" w:fill="auto"/>
            <w:vAlign w:val="center"/>
          </w:tcPr>
          <w:p w14:paraId="361239B0">
            <w:pPr>
              <w:jc w:val="center"/>
              <w:textAlignment w:val="center"/>
              <w:rPr>
                <w:rFonts w:ascii="宋体" w:hAnsi="宋体" w:cs="宋体"/>
                <w:color w:val="auto"/>
                <w:sz w:val="20"/>
                <w:szCs w:val="20"/>
              </w:rPr>
            </w:pPr>
            <w:r>
              <w:rPr>
                <w:rStyle w:val="44"/>
                <w:rFonts w:hint="default"/>
                <w:color w:val="auto"/>
              </w:rPr>
              <w:t>欧龙公司加工点</w:t>
            </w:r>
          </w:p>
        </w:tc>
        <w:tc>
          <w:tcPr>
            <w:tcW w:w="436" w:type="pct"/>
            <w:tcBorders>
              <w:top w:val="nil"/>
              <w:left w:val="nil"/>
              <w:bottom w:val="single" w:color="000000" w:sz="8" w:space="0"/>
              <w:right w:val="single" w:color="000000" w:sz="8" w:space="0"/>
            </w:tcBorders>
            <w:shd w:val="clear" w:color="auto" w:fill="auto"/>
            <w:vAlign w:val="center"/>
          </w:tcPr>
          <w:p w14:paraId="26A06092">
            <w:pPr>
              <w:jc w:val="center"/>
              <w:textAlignment w:val="center"/>
              <w:rPr>
                <w:rFonts w:ascii="宋体" w:hAnsi="宋体" w:cs="宋体"/>
                <w:color w:val="auto"/>
                <w:sz w:val="20"/>
                <w:szCs w:val="20"/>
              </w:rPr>
            </w:pPr>
            <w:r>
              <w:rPr>
                <w:rFonts w:hint="eastAsia" w:ascii="宋体" w:hAnsi="宋体" w:cs="宋体"/>
                <w:color w:val="auto"/>
                <w:kern w:val="0"/>
                <w:sz w:val="20"/>
                <w:szCs w:val="20"/>
              </w:rPr>
              <w:t>3</w:t>
            </w:r>
          </w:p>
        </w:tc>
        <w:tc>
          <w:tcPr>
            <w:tcW w:w="435" w:type="pct"/>
            <w:tcBorders>
              <w:top w:val="nil"/>
              <w:left w:val="nil"/>
              <w:bottom w:val="single" w:color="000000" w:sz="8" w:space="0"/>
              <w:right w:val="single" w:color="000000" w:sz="8" w:space="0"/>
            </w:tcBorders>
            <w:shd w:val="clear" w:color="auto" w:fill="auto"/>
            <w:vAlign w:val="center"/>
          </w:tcPr>
          <w:p w14:paraId="522A2AA0">
            <w:pPr>
              <w:jc w:val="center"/>
              <w:textAlignment w:val="center"/>
              <w:rPr>
                <w:rFonts w:ascii="宋体" w:hAnsi="宋体" w:cs="宋体"/>
                <w:color w:val="auto"/>
                <w:sz w:val="20"/>
                <w:szCs w:val="20"/>
              </w:rPr>
            </w:pPr>
            <w:r>
              <w:rPr>
                <w:rStyle w:val="44"/>
                <w:rFonts w:hint="default"/>
                <w:color w:val="auto"/>
              </w:rPr>
              <w:t>毛竹切片</w:t>
            </w:r>
          </w:p>
        </w:tc>
        <w:tc>
          <w:tcPr>
            <w:tcW w:w="436" w:type="pct"/>
            <w:tcBorders>
              <w:top w:val="nil"/>
              <w:left w:val="nil"/>
              <w:bottom w:val="single" w:color="000000" w:sz="8" w:space="0"/>
              <w:right w:val="single" w:color="000000" w:sz="8" w:space="0"/>
            </w:tcBorders>
            <w:shd w:val="clear" w:color="auto" w:fill="auto"/>
            <w:vAlign w:val="center"/>
          </w:tcPr>
          <w:p w14:paraId="4370C988">
            <w:pPr>
              <w:jc w:val="center"/>
              <w:textAlignment w:val="center"/>
              <w:rPr>
                <w:rFonts w:ascii="宋体" w:hAnsi="宋体" w:cs="宋体"/>
                <w:color w:val="auto"/>
                <w:sz w:val="20"/>
                <w:szCs w:val="20"/>
              </w:rPr>
            </w:pPr>
            <w:r>
              <w:rPr>
                <w:rStyle w:val="44"/>
                <w:rFonts w:hint="default"/>
                <w:color w:val="auto"/>
              </w:rPr>
              <w:t>10000吨</w:t>
            </w:r>
          </w:p>
        </w:tc>
        <w:tc>
          <w:tcPr>
            <w:tcW w:w="435" w:type="pct"/>
            <w:tcBorders>
              <w:top w:val="nil"/>
              <w:left w:val="nil"/>
              <w:bottom w:val="single" w:color="000000" w:sz="8" w:space="0"/>
              <w:right w:val="single" w:color="000000" w:sz="8" w:space="0"/>
            </w:tcBorders>
            <w:shd w:val="clear" w:color="auto" w:fill="auto"/>
            <w:vAlign w:val="center"/>
          </w:tcPr>
          <w:p w14:paraId="2FC76FCA">
            <w:pPr>
              <w:jc w:val="center"/>
              <w:textAlignment w:val="center"/>
              <w:rPr>
                <w:rFonts w:ascii="宋体" w:hAnsi="宋体" w:cs="宋体"/>
                <w:color w:val="auto"/>
                <w:sz w:val="20"/>
                <w:szCs w:val="20"/>
              </w:rPr>
            </w:pPr>
            <w:r>
              <w:rPr>
                <w:rStyle w:val="44"/>
                <w:rFonts w:hint="default"/>
                <w:color w:val="auto"/>
              </w:rPr>
              <w:t>自动刨机</w:t>
            </w:r>
          </w:p>
        </w:tc>
        <w:tc>
          <w:tcPr>
            <w:tcW w:w="435" w:type="pct"/>
            <w:tcBorders>
              <w:top w:val="nil"/>
              <w:left w:val="nil"/>
              <w:bottom w:val="single" w:color="000000" w:sz="8" w:space="0"/>
              <w:right w:val="single" w:color="000000" w:sz="8" w:space="0"/>
            </w:tcBorders>
            <w:shd w:val="clear" w:color="auto" w:fill="auto"/>
            <w:vAlign w:val="center"/>
          </w:tcPr>
          <w:p w14:paraId="469A2F7A">
            <w:pPr>
              <w:jc w:val="center"/>
              <w:textAlignment w:val="center"/>
              <w:rPr>
                <w:rFonts w:ascii="宋体" w:hAnsi="宋体" w:cs="宋体"/>
                <w:color w:val="auto"/>
                <w:sz w:val="20"/>
                <w:szCs w:val="20"/>
              </w:rPr>
            </w:pPr>
            <w:r>
              <w:rPr>
                <w:rFonts w:hint="eastAsia" w:ascii="宋体" w:hAnsi="宋体" w:cs="宋体"/>
                <w:color w:val="auto"/>
                <w:kern w:val="0"/>
                <w:sz w:val="20"/>
                <w:szCs w:val="20"/>
              </w:rPr>
              <w:t>30</w:t>
            </w:r>
          </w:p>
        </w:tc>
        <w:tc>
          <w:tcPr>
            <w:tcW w:w="435" w:type="pct"/>
            <w:tcBorders>
              <w:top w:val="nil"/>
              <w:left w:val="nil"/>
              <w:bottom w:val="single" w:color="000000" w:sz="8" w:space="0"/>
              <w:right w:val="single" w:color="000000" w:sz="8" w:space="0"/>
            </w:tcBorders>
            <w:shd w:val="clear" w:color="auto" w:fill="auto"/>
            <w:vAlign w:val="center"/>
          </w:tcPr>
          <w:p w14:paraId="7E4756DF">
            <w:pPr>
              <w:jc w:val="center"/>
              <w:textAlignment w:val="center"/>
              <w:rPr>
                <w:rFonts w:ascii="宋体" w:hAnsi="宋体" w:cs="宋体"/>
                <w:color w:val="auto"/>
                <w:sz w:val="20"/>
                <w:szCs w:val="20"/>
              </w:rPr>
            </w:pPr>
            <w:r>
              <w:rPr>
                <w:rStyle w:val="44"/>
                <w:rFonts w:hint="default"/>
                <w:color w:val="auto"/>
              </w:rPr>
              <w:t>-</w:t>
            </w:r>
          </w:p>
        </w:tc>
        <w:tc>
          <w:tcPr>
            <w:tcW w:w="452" w:type="pct"/>
            <w:tcBorders>
              <w:top w:val="nil"/>
              <w:left w:val="nil"/>
              <w:bottom w:val="single" w:color="000000" w:sz="8" w:space="0"/>
              <w:right w:val="single" w:color="000000" w:sz="8" w:space="0"/>
            </w:tcBorders>
            <w:shd w:val="clear" w:color="auto" w:fill="auto"/>
            <w:vAlign w:val="center"/>
          </w:tcPr>
          <w:p w14:paraId="3098F1BE">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0B03C4B5">
            <w:pPr>
              <w:jc w:val="center"/>
              <w:textAlignment w:val="center"/>
              <w:rPr>
                <w:rFonts w:ascii="宋体" w:hAnsi="宋体" w:cs="宋体"/>
                <w:color w:val="auto"/>
                <w:sz w:val="20"/>
                <w:szCs w:val="20"/>
              </w:rPr>
            </w:pPr>
            <w:r>
              <w:rPr>
                <w:rStyle w:val="44"/>
                <w:rFonts w:hint="default"/>
                <w:color w:val="auto"/>
              </w:rPr>
              <w:t>查一村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368E6D32">
            <w:pPr>
              <w:jc w:val="center"/>
              <w:rPr>
                <w:rFonts w:ascii="宋体" w:hAnsi="宋体" w:cs="宋体"/>
                <w:color w:val="auto"/>
                <w:sz w:val="20"/>
                <w:szCs w:val="20"/>
              </w:rPr>
            </w:pPr>
          </w:p>
        </w:tc>
      </w:tr>
      <w:tr w14:paraId="3E708962">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6E9CA808">
            <w:pPr>
              <w:jc w:val="center"/>
              <w:textAlignment w:val="center"/>
              <w:rPr>
                <w:rFonts w:ascii="宋体" w:hAnsi="宋体" w:cs="宋体"/>
                <w:color w:val="auto"/>
                <w:sz w:val="22"/>
                <w:szCs w:val="22"/>
              </w:rPr>
            </w:pPr>
            <w:r>
              <w:rPr>
                <w:rFonts w:hint="eastAsia" w:ascii="宋体" w:hAnsi="宋体" w:cs="宋体"/>
                <w:color w:val="auto"/>
                <w:kern w:val="0"/>
                <w:sz w:val="22"/>
                <w:szCs w:val="22"/>
              </w:rPr>
              <w:t>22</w:t>
            </w:r>
          </w:p>
        </w:tc>
        <w:tc>
          <w:tcPr>
            <w:tcW w:w="703" w:type="pct"/>
            <w:tcBorders>
              <w:top w:val="nil"/>
              <w:left w:val="nil"/>
              <w:bottom w:val="single" w:color="000000" w:sz="8" w:space="0"/>
              <w:right w:val="single" w:color="000000" w:sz="8" w:space="0"/>
            </w:tcBorders>
            <w:shd w:val="clear" w:color="auto" w:fill="auto"/>
            <w:vAlign w:val="center"/>
          </w:tcPr>
          <w:p w14:paraId="470D47C8">
            <w:pPr>
              <w:jc w:val="center"/>
              <w:textAlignment w:val="center"/>
              <w:rPr>
                <w:rFonts w:ascii="宋体" w:hAnsi="宋体" w:cs="宋体"/>
                <w:color w:val="auto"/>
                <w:sz w:val="20"/>
                <w:szCs w:val="20"/>
              </w:rPr>
            </w:pPr>
            <w:r>
              <w:rPr>
                <w:rStyle w:val="44"/>
                <w:rFonts w:hint="default"/>
                <w:color w:val="auto"/>
              </w:rPr>
              <w:t>东长加工点</w:t>
            </w:r>
          </w:p>
        </w:tc>
        <w:tc>
          <w:tcPr>
            <w:tcW w:w="436" w:type="pct"/>
            <w:tcBorders>
              <w:top w:val="nil"/>
              <w:left w:val="nil"/>
              <w:bottom w:val="single" w:color="000000" w:sz="8" w:space="0"/>
              <w:right w:val="single" w:color="000000" w:sz="8" w:space="0"/>
            </w:tcBorders>
            <w:shd w:val="clear" w:color="auto" w:fill="auto"/>
            <w:vAlign w:val="center"/>
          </w:tcPr>
          <w:p w14:paraId="1C0EA322">
            <w:pPr>
              <w:jc w:val="center"/>
              <w:textAlignment w:val="center"/>
              <w:rPr>
                <w:rFonts w:ascii="宋体" w:hAnsi="宋体" w:cs="宋体"/>
                <w:color w:val="auto"/>
                <w:sz w:val="20"/>
                <w:szCs w:val="20"/>
              </w:rPr>
            </w:pPr>
            <w:r>
              <w:rPr>
                <w:rFonts w:hint="eastAsia" w:ascii="宋体" w:hAnsi="宋体" w:cs="宋体"/>
                <w:color w:val="auto"/>
                <w:kern w:val="0"/>
                <w:sz w:val="20"/>
                <w:szCs w:val="20"/>
              </w:rPr>
              <w:t>20</w:t>
            </w:r>
          </w:p>
        </w:tc>
        <w:tc>
          <w:tcPr>
            <w:tcW w:w="435" w:type="pct"/>
            <w:tcBorders>
              <w:top w:val="nil"/>
              <w:left w:val="nil"/>
              <w:bottom w:val="single" w:color="000000" w:sz="8" w:space="0"/>
              <w:right w:val="single" w:color="000000" w:sz="8" w:space="0"/>
            </w:tcBorders>
            <w:shd w:val="clear" w:color="auto" w:fill="auto"/>
            <w:vAlign w:val="center"/>
          </w:tcPr>
          <w:p w14:paraId="7453E59A">
            <w:pPr>
              <w:jc w:val="center"/>
              <w:textAlignment w:val="center"/>
              <w:rPr>
                <w:rFonts w:ascii="宋体" w:hAnsi="宋体" w:cs="宋体"/>
                <w:color w:val="auto"/>
                <w:sz w:val="20"/>
                <w:szCs w:val="20"/>
              </w:rPr>
            </w:pPr>
            <w:r>
              <w:rPr>
                <w:rStyle w:val="44"/>
                <w:rFonts w:hint="default"/>
                <w:color w:val="auto"/>
              </w:rPr>
              <w:t>毛竹粗加工</w:t>
            </w:r>
          </w:p>
        </w:tc>
        <w:tc>
          <w:tcPr>
            <w:tcW w:w="436" w:type="pct"/>
            <w:tcBorders>
              <w:top w:val="nil"/>
              <w:left w:val="nil"/>
              <w:bottom w:val="single" w:color="000000" w:sz="8" w:space="0"/>
              <w:right w:val="single" w:color="000000" w:sz="8" w:space="0"/>
            </w:tcBorders>
            <w:shd w:val="clear" w:color="auto" w:fill="auto"/>
            <w:vAlign w:val="center"/>
          </w:tcPr>
          <w:p w14:paraId="714B4507">
            <w:pPr>
              <w:jc w:val="center"/>
              <w:textAlignment w:val="center"/>
              <w:rPr>
                <w:rFonts w:ascii="宋体" w:hAnsi="宋体" w:cs="宋体"/>
                <w:color w:val="auto"/>
                <w:sz w:val="20"/>
                <w:szCs w:val="20"/>
              </w:rPr>
            </w:pPr>
            <w:r>
              <w:rPr>
                <w:rStyle w:val="44"/>
                <w:rFonts w:hint="default"/>
                <w:color w:val="auto"/>
              </w:rPr>
              <w:t>10000吨</w:t>
            </w:r>
          </w:p>
        </w:tc>
        <w:tc>
          <w:tcPr>
            <w:tcW w:w="435" w:type="pct"/>
            <w:tcBorders>
              <w:top w:val="nil"/>
              <w:left w:val="nil"/>
              <w:bottom w:val="single" w:color="000000" w:sz="8" w:space="0"/>
              <w:right w:val="single" w:color="000000" w:sz="8" w:space="0"/>
            </w:tcBorders>
            <w:shd w:val="clear" w:color="auto" w:fill="auto"/>
            <w:vAlign w:val="center"/>
          </w:tcPr>
          <w:p w14:paraId="6D95D363">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28351AC3">
            <w:pPr>
              <w:jc w:val="center"/>
              <w:textAlignment w:val="center"/>
              <w:rPr>
                <w:rFonts w:ascii="宋体" w:hAnsi="宋体" w:cs="宋体"/>
                <w:color w:val="auto"/>
                <w:sz w:val="20"/>
                <w:szCs w:val="20"/>
              </w:rPr>
            </w:pPr>
            <w:r>
              <w:rPr>
                <w:rFonts w:hint="eastAsia" w:ascii="宋体" w:hAnsi="宋体" w:cs="宋体"/>
                <w:color w:val="auto"/>
                <w:kern w:val="0"/>
                <w:sz w:val="20"/>
                <w:szCs w:val="20"/>
              </w:rPr>
              <w:t>200</w:t>
            </w:r>
          </w:p>
        </w:tc>
        <w:tc>
          <w:tcPr>
            <w:tcW w:w="435" w:type="pct"/>
            <w:tcBorders>
              <w:top w:val="nil"/>
              <w:left w:val="nil"/>
              <w:bottom w:val="single" w:color="000000" w:sz="8" w:space="0"/>
              <w:right w:val="single" w:color="000000" w:sz="8" w:space="0"/>
            </w:tcBorders>
            <w:shd w:val="clear" w:color="auto" w:fill="auto"/>
            <w:vAlign w:val="center"/>
          </w:tcPr>
          <w:p w14:paraId="2842D0A6">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4B225C9D">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546FC777">
            <w:pPr>
              <w:jc w:val="center"/>
              <w:textAlignment w:val="center"/>
              <w:rPr>
                <w:rFonts w:ascii="宋体" w:hAnsi="宋体" w:cs="宋体"/>
                <w:color w:val="auto"/>
                <w:sz w:val="20"/>
                <w:szCs w:val="20"/>
              </w:rPr>
            </w:pPr>
            <w:r>
              <w:rPr>
                <w:rStyle w:val="44"/>
                <w:rFonts w:hint="default"/>
                <w:color w:val="auto"/>
              </w:rPr>
              <w:t>查四村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0E8A6682">
            <w:pPr>
              <w:jc w:val="center"/>
              <w:rPr>
                <w:rFonts w:ascii="宋体" w:hAnsi="宋体" w:cs="宋体"/>
                <w:color w:val="auto"/>
                <w:sz w:val="20"/>
                <w:szCs w:val="20"/>
              </w:rPr>
            </w:pPr>
          </w:p>
        </w:tc>
      </w:tr>
      <w:tr w14:paraId="1A376F06">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EB403A8">
            <w:pPr>
              <w:jc w:val="center"/>
              <w:textAlignment w:val="center"/>
              <w:rPr>
                <w:rFonts w:ascii="宋体" w:hAnsi="宋体" w:cs="宋体"/>
                <w:color w:val="auto"/>
                <w:sz w:val="22"/>
                <w:szCs w:val="22"/>
              </w:rPr>
            </w:pPr>
            <w:r>
              <w:rPr>
                <w:rFonts w:hint="eastAsia" w:ascii="宋体" w:hAnsi="宋体" w:cs="宋体"/>
                <w:color w:val="auto"/>
                <w:kern w:val="0"/>
                <w:sz w:val="22"/>
                <w:szCs w:val="22"/>
              </w:rPr>
              <w:t>23</w:t>
            </w:r>
          </w:p>
        </w:tc>
        <w:tc>
          <w:tcPr>
            <w:tcW w:w="703" w:type="pct"/>
            <w:tcBorders>
              <w:top w:val="nil"/>
              <w:left w:val="nil"/>
              <w:bottom w:val="single" w:color="000000" w:sz="8" w:space="0"/>
              <w:right w:val="single" w:color="000000" w:sz="8" w:space="0"/>
            </w:tcBorders>
            <w:shd w:val="clear" w:color="auto" w:fill="auto"/>
            <w:vAlign w:val="center"/>
          </w:tcPr>
          <w:p w14:paraId="10FCEFCB">
            <w:pPr>
              <w:jc w:val="center"/>
              <w:textAlignment w:val="center"/>
              <w:rPr>
                <w:rFonts w:ascii="宋体" w:hAnsi="宋体" w:cs="宋体"/>
                <w:color w:val="auto"/>
                <w:sz w:val="20"/>
                <w:szCs w:val="20"/>
              </w:rPr>
            </w:pPr>
            <w:r>
              <w:rPr>
                <w:rStyle w:val="44"/>
                <w:rFonts w:hint="default"/>
                <w:color w:val="auto"/>
              </w:rPr>
              <w:t>毛竹站加工点</w:t>
            </w:r>
          </w:p>
        </w:tc>
        <w:tc>
          <w:tcPr>
            <w:tcW w:w="436" w:type="pct"/>
            <w:tcBorders>
              <w:top w:val="nil"/>
              <w:left w:val="nil"/>
              <w:bottom w:val="single" w:color="000000" w:sz="8" w:space="0"/>
              <w:right w:val="single" w:color="000000" w:sz="8" w:space="0"/>
            </w:tcBorders>
            <w:shd w:val="clear" w:color="auto" w:fill="auto"/>
            <w:vAlign w:val="center"/>
          </w:tcPr>
          <w:p w14:paraId="0FE2C6A7">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15B14266">
            <w:pPr>
              <w:jc w:val="center"/>
              <w:textAlignment w:val="center"/>
              <w:rPr>
                <w:rFonts w:ascii="宋体" w:hAnsi="宋体" w:cs="宋体"/>
                <w:color w:val="auto"/>
                <w:sz w:val="20"/>
                <w:szCs w:val="20"/>
              </w:rPr>
            </w:pPr>
            <w:r>
              <w:rPr>
                <w:rStyle w:val="44"/>
                <w:rFonts w:hint="default"/>
                <w:color w:val="auto"/>
              </w:rPr>
              <w:t>竹板</w:t>
            </w:r>
          </w:p>
        </w:tc>
        <w:tc>
          <w:tcPr>
            <w:tcW w:w="436" w:type="pct"/>
            <w:tcBorders>
              <w:top w:val="nil"/>
              <w:left w:val="nil"/>
              <w:bottom w:val="single" w:color="000000" w:sz="8" w:space="0"/>
              <w:right w:val="single" w:color="000000" w:sz="8" w:space="0"/>
            </w:tcBorders>
            <w:shd w:val="clear" w:color="auto" w:fill="auto"/>
            <w:vAlign w:val="center"/>
          </w:tcPr>
          <w:p w14:paraId="79B1177B">
            <w:pPr>
              <w:jc w:val="center"/>
              <w:textAlignment w:val="center"/>
              <w:rPr>
                <w:rFonts w:ascii="宋体" w:hAnsi="宋体" w:cs="宋体"/>
                <w:color w:val="auto"/>
                <w:sz w:val="20"/>
                <w:szCs w:val="20"/>
              </w:rPr>
            </w:pPr>
            <w:r>
              <w:rPr>
                <w:rStyle w:val="44"/>
                <w:rFonts w:hint="default"/>
                <w:color w:val="auto"/>
              </w:rPr>
              <w:t>22680立方米</w:t>
            </w:r>
          </w:p>
        </w:tc>
        <w:tc>
          <w:tcPr>
            <w:tcW w:w="435" w:type="pct"/>
            <w:tcBorders>
              <w:top w:val="nil"/>
              <w:left w:val="nil"/>
              <w:bottom w:val="single" w:color="000000" w:sz="8" w:space="0"/>
              <w:right w:val="single" w:color="000000" w:sz="8" w:space="0"/>
            </w:tcBorders>
            <w:shd w:val="clear" w:color="auto" w:fill="auto"/>
            <w:vAlign w:val="center"/>
          </w:tcPr>
          <w:p w14:paraId="1963C258">
            <w:pPr>
              <w:jc w:val="center"/>
              <w:textAlignment w:val="center"/>
              <w:rPr>
                <w:rFonts w:ascii="宋体" w:hAnsi="宋体" w:cs="宋体"/>
                <w:color w:val="auto"/>
                <w:sz w:val="20"/>
                <w:szCs w:val="20"/>
              </w:rPr>
            </w:pPr>
            <w:r>
              <w:rPr>
                <w:rStyle w:val="44"/>
                <w:rFonts w:hint="default"/>
                <w:color w:val="auto"/>
              </w:rPr>
              <w:t>压板机</w:t>
            </w:r>
          </w:p>
        </w:tc>
        <w:tc>
          <w:tcPr>
            <w:tcW w:w="435" w:type="pct"/>
            <w:tcBorders>
              <w:top w:val="nil"/>
              <w:left w:val="nil"/>
              <w:bottom w:val="single" w:color="000000" w:sz="8" w:space="0"/>
              <w:right w:val="single" w:color="000000" w:sz="8" w:space="0"/>
            </w:tcBorders>
            <w:shd w:val="clear" w:color="auto" w:fill="auto"/>
            <w:vAlign w:val="center"/>
          </w:tcPr>
          <w:p w14:paraId="08D40603">
            <w:pPr>
              <w:jc w:val="center"/>
              <w:textAlignment w:val="center"/>
              <w:rPr>
                <w:rFonts w:ascii="宋体" w:hAnsi="宋体" w:cs="宋体"/>
                <w:color w:val="auto"/>
                <w:sz w:val="20"/>
                <w:szCs w:val="20"/>
              </w:rPr>
            </w:pPr>
            <w:r>
              <w:rPr>
                <w:rFonts w:hint="eastAsia" w:ascii="宋体" w:hAnsi="宋体" w:cs="宋体"/>
                <w:color w:val="auto"/>
                <w:kern w:val="0"/>
                <w:sz w:val="20"/>
                <w:szCs w:val="20"/>
              </w:rPr>
              <w:t>300</w:t>
            </w:r>
          </w:p>
        </w:tc>
        <w:tc>
          <w:tcPr>
            <w:tcW w:w="435" w:type="pct"/>
            <w:tcBorders>
              <w:top w:val="nil"/>
              <w:left w:val="nil"/>
              <w:bottom w:val="single" w:color="000000" w:sz="8" w:space="0"/>
              <w:right w:val="single" w:color="000000" w:sz="8" w:space="0"/>
            </w:tcBorders>
            <w:shd w:val="clear" w:color="auto" w:fill="auto"/>
            <w:vAlign w:val="center"/>
          </w:tcPr>
          <w:p w14:paraId="4206C978">
            <w:pPr>
              <w:jc w:val="center"/>
              <w:textAlignment w:val="center"/>
              <w:rPr>
                <w:rFonts w:ascii="宋体" w:hAnsi="宋体" w:cs="宋体"/>
                <w:color w:val="auto"/>
                <w:sz w:val="20"/>
                <w:szCs w:val="20"/>
              </w:rPr>
            </w:pPr>
            <w:r>
              <w:rPr>
                <w:rStyle w:val="44"/>
                <w:rFonts w:hint="default"/>
                <w:color w:val="auto"/>
              </w:rPr>
              <w:t>个人</w:t>
            </w:r>
          </w:p>
        </w:tc>
        <w:tc>
          <w:tcPr>
            <w:tcW w:w="452" w:type="pct"/>
            <w:tcBorders>
              <w:top w:val="nil"/>
              <w:left w:val="nil"/>
              <w:bottom w:val="single" w:color="000000" w:sz="8" w:space="0"/>
              <w:right w:val="single" w:color="000000" w:sz="8" w:space="0"/>
            </w:tcBorders>
            <w:shd w:val="clear" w:color="auto" w:fill="auto"/>
            <w:vAlign w:val="center"/>
          </w:tcPr>
          <w:p w14:paraId="2C71B213">
            <w:pPr>
              <w:jc w:val="center"/>
              <w:textAlignment w:val="center"/>
              <w:rPr>
                <w:rFonts w:ascii="宋体" w:hAnsi="宋体" w:cs="宋体"/>
                <w:color w:val="auto"/>
                <w:sz w:val="20"/>
                <w:szCs w:val="20"/>
              </w:rPr>
            </w:pPr>
            <w:r>
              <w:rPr>
                <w:rStyle w:val="44"/>
                <w:rFonts w:hint="default"/>
                <w:color w:val="auto"/>
              </w:rPr>
              <w:t>2023年</w:t>
            </w:r>
          </w:p>
        </w:tc>
        <w:tc>
          <w:tcPr>
            <w:tcW w:w="435" w:type="pct"/>
            <w:tcBorders>
              <w:top w:val="nil"/>
              <w:left w:val="nil"/>
              <w:bottom w:val="single" w:color="000000" w:sz="8" w:space="0"/>
              <w:right w:val="single" w:color="000000" w:sz="8" w:space="0"/>
            </w:tcBorders>
            <w:shd w:val="clear" w:color="auto" w:fill="auto"/>
            <w:vAlign w:val="center"/>
          </w:tcPr>
          <w:p w14:paraId="58B1A8AB">
            <w:pPr>
              <w:jc w:val="center"/>
              <w:textAlignment w:val="center"/>
              <w:rPr>
                <w:rFonts w:ascii="宋体" w:hAnsi="宋体" w:cs="宋体"/>
                <w:color w:val="auto"/>
                <w:sz w:val="20"/>
                <w:szCs w:val="20"/>
              </w:rPr>
            </w:pPr>
            <w:r>
              <w:rPr>
                <w:rStyle w:val="44"/>
                <w:rFonts w:hint="default"/>
                <w:color w:val="auto"/>
              </w:rPr>
              <w:t>大樟村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4C4760AD">
            <w:pPr>
              <w:jc w:val="center"/>
              <w:rPr>
                <w:rFonts w:ascii="宋体" w:hAnsi="宋体" w:cs="宋体"/>
                <w:color w:val="auto"/>
                <w:sz w:val="20"/>
                <w:szCs w:val="20"/>
              </w:rPr>
            </w:pPr>
          </w:p>
        </w:tc>
      </w:tr>
      <w:tr w14:paraId="1FF86AC1">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FEACAF2">
            <w:pPr>
              <w:jc w:val="center"/>
              <w:textAlignment w:val="center"/>
              <w:rPr>
                <w:rFonts w:ascii="宋体" w:hAnsi="宋体" w:cs="宋体"/>
                <w:color w:val="auto"/>
                <w:sz w:val="22"/>
                <w:szCs w:val="22"/>
              </w:rPr>
            </w:pPr>
            <w:r>
              <w:rPr>
                <w:rFonts w:hint="eastAsia" w:ascii="宋体" w:hAnsi="宋体" w:cs="宋体"/>
                <w:color w:val="auto"/>
                <w:kern w:val="0"/>
                <w:sz w:val="22"/>
                <w:szCs w:val="22"/>
              </w:rPr>
              <w:t>24</w:t>
            </w:r>
          </w:p>
        </w:tc>
        <w:tc>
          <w:tcPr>
            <w:tcW w:w="703" w:type="pct"/>
            <w:tcBorders>
              <w:top w:val="nil"/>
              <w:left w:val="nil"/>
              <w:bottom w:val="single" w:color="000000" w:sz="8" w:space="0"/>
              <w:right w:val="single" w:color="000000" w:sz="8" w:space="0"/>
            </w:tcBorders>
            <w:shd w:val="clear" w:color="auto" w:fill="auto"/>
            <w:vAlign w:val="center"/>
          </w:tcPr>
          <w:p w14:paraId="62F1C194">
            <w:pPr>
              <w:jc w:val="center"/>
              <w:textAlignment w:val="center"/>
              <w:rPr>
                <w:rFonts w:ascii="宋体" w:hAnsi="宋体" w:cs="宋体"/>
                <w:color w:val="auto"/>
                <w:sz w:val="20"/>
                <w:szCs w:val="20"/>
              </w:rPr>
            </w:pPr>
            <w:r>
              <w:rPr>
                <w:rStyle w:val="44"/>
                <w:rFonts w:hint="default"/>
                <w:color w:val="auto"/>
              </w:rPr>
              <w:t>暗砻加工点</w:t>
            </w:r>
          </w:p>
        </w:tc>
        <w:tc>
          <w:tcPr>
            <w:tcW w:w="436" w:type="pct"/>
            <w:tcBorders>
              <w:top w:val="nil"/>
              <w:left w:val="nil"/>
              <w:bottom w:val="single" w:color="000000" w:sz="8" w:space="0"/>
              <w:right w:val="single" w:color="000000" w:sz="8" w:space="0"/>
            </w:tcBorders>
            <w:shd w:val="clear" w:color="auto" w:fill="auto"/>
            <w:vAlign w:val="center"/>
          </w:tcPr>
          <w:p w14:paraId="4055B4D4">
            <w:pPr>
              <w:jc w:val="center"/>
              <w:textAlignment w:val="center"/>
              <w:rPr>
                <w:rFonts w:ascii="宋体" w:hAnsi="宋体" w:cs="宋体"/>
                <w:color w:val="auto"/>
                <w:sz w:val="20"/>
                <w:szCs w:val="20"/>
              </w:rPr>
            </w:pPr>
            <w:r>
              <w:rPr>
                <w:rFonts w:hint="eastAsia" w:ascii="宋体" w:hAnsi="宋体" w:cs="宋体"/>
                <w:color w:val="auto"/>
                <w:kern w:val="0"/>
                <w:sz w:val="20"/>
                <w:szCs w:val="20"/>
              </w:rPr>
              <w:t>5</w:t>
            </w:r>
          </w:p>
        </w:tc>
        <w:tc>
          <w:tcPr>
            <w:tcW w:w="435" w:type="pct"/>
            <w:tcBorders>
              <w:top w:val="nil"/>
              <w:left w:val="nil"/>
              <w:bottom w:val="single" w:color="000000" w:sz="8" w:space="0"/>
              <w:right w:val="single" w:color="000000" w:sz="8" w:space="0"/>
            </w:tcBorders>
            <w:shd w:val="clear" w:color="auto" w:fill="auto"/>
            <w:vAlign w:val="center"/>
          </w:tcPr>
          <w:p w14:paraId="3D64DC99">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412DD5DD">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022996DC">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08EA176F">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61EFEF04">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7DD96BB5">
            <w:pPr>
              <w:jc w:val="center"/>
              <w:textAlignment w:val="center"/>
              <w:rPr>
                <w:rFonts w:ascii="宋体" w:hAnsi="宋体" w:cs="宋体"/>
                <w:color w:val="auto"/>
                <w:sz w:val="20"/>
                <w:szCs w:val="20"/>
              </w:rPr>
            </w:pPr>
            <w:r>
              <w:rPr>
                <w:rFonts w:hint="eastAsia" w:ascii="宋体" w:hAnsi="宋体" w:cs="宋体"/>
                <w:color w:val="auto"/>
                <w:kern w:val="0"/>
                <w:sz w:val="20"/>
                <w:szCs w:val="20"/>
              </w:rPr>
              <w:t>2023</w:t>
            </w:r>
          </w:p>
        </w:tc>
        <w:tc>
          <w:tcPr>
            <w:tcW w:w="435" w:type="pct"/>
            <w:tcBorders>
              <w:top w:val="nil"/>
              <w:left w:val="nil"/>
              <w:bottom w:val="single" w:color="000000" w:sz="8" w:space="0"/>
              <w:right w:val="single" w:color="000000" w:sz="8" w:space="0"/>
            </w:tcBorders>
            <w:shd w:val="clear" w:color="auto" w:fill="auto"/>
            <w:vAlign w:val="center"/>
          </w:tcPr>
          <w:p w14:paraId="2993DDBB">
            <w:pPr>
              <w:jc w:val="center"/>
              <w:textAlignment w:val="center"/>
              <w:rPr>
                <w:rFonts w:ascii="宋体" w:hAnsi="宋体" w:cs="宋体"/>
                <w:color w:val="auto"/>
                <w:sz w:val="20"/>
                <w:szCs w:val="20"/>
              </w:rPr>
            </w:pPr>
            <w:r>
              <w:rPr>
                <w:rStyle w:val="44"/>
                <w:rFonts w:hint="default"/>
                <w:color w:val="auto"/>
              </w:rPr>
              <w:t>竹舟村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7D51DC1B">
            <w:pPr>
              <w:jc w:val="center"/>
              <w:rPr>
                <w:rFonts w:ascii="宋体" w:hAnsi="宋体" w:cs="宋体"/>
                <w:color w:val="auto"/>
                <w:sz w:val="20"/>
                <w:szCs w:val="20"/>
              </w:rPr>
            </w:pPr>
          </w:p>
        </w:tc>
      </w:tr>
      <w:tr w14:paraId="22475046">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FDC848E">
            <w:pPr>
              <w:jc w:val="center"/>
              <w:textAlignment w:val="center"/>
              <w:rPr>
                <w:rFonts w:ascii="宋体" w:hAnsi="宋体" w:cs="宋体"/>
                <w:color w:val="auto"/>
                <w:sz w:val="22"/>
                <w:szCs w:val="22"/>
              </w:rPr>
            </w:pPr>
            <w:r>
              <w:rPr>
                <w:rFonts w:hint="eastAsia" w:ascii="宋体" w:hAnsi="宋体" w:cs="宋体"/>
                <w:color w:val="auto"/>
                <w:kern w:val="0"/>
                <w:sz w:val="22"/>
                <w:szCs w:val="22"/>
              </w:rPr>
              <w:t>25</w:t>
            </w:r>
          </w:p>
        </w:tc>
        <w:tc>
          <w:tcPr>
            <w:tcW w:w="703" w:type="pct"/>
            <w:tcBorders>
              <w:top w:val="nil"/>
              <w:left w:val="nil"/>
              <w:bottom w:val="single" w:color="000000" w:sz="8" w:space="0"/>
              <w:right w:val="single" w:color="000000" w:sz="8" w:space="0"/>
            </w:tcBorders>
            <w:shd w:val="clear" w:color="auto" w:fill="auto"/>
            <w:vAlign w:val="center"/>
          </w:tcPr>
          <w:p w14:paraId="424C91D0">
            <w:pPr>
              <w:jc w:val="center"/>
              <w:textAlignment w:val="center"/>
              <w:rPr>
                <w:rFonts w:ascii="宋体" w:hAnsi="宋体" w:cs="宋体"/>
                <w:color w:val="auto"/>
                <w:sz w:val="20"/>
                <w:szCs w:val="20"/>
              </w:rPr>
            </w:pPr>
            <w:r>
              <w:rPr>
                <w:rStyle w:val="44"/>
                <w:rFonts w:hint="default"/>
                <w:color w:val="auto"/>
              </w:rPr>
              <w:t>竹山加工点</w:t>
            </w:r>
          </w:p>
        </w:tc>
        <w:tc>
          <w:tcPr>
            <w:tcW w:w="436" w:type="pct"/>
            <w:tcBorders>
              <w:top w:val="nil"/>
              <w:left w:val="nil"/>
              <w:bottom w:val="single" w:color="000000" w:sz="8" w:space="0"/>
              <w:right w:val="single" w:color="000000" w:sz="8" w:space="0"/>
            </w:tcBorders>
            <w:shd w:val="clear" w:color="auto" w:fill="auto"/>
            <w:vAlign w:val="center"/>
          </w:tcPr>
          <w:p w14:paraId="338FA1DD">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35473D23">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2C5D3705">
            <w:pPr>
              <w:jc w:val="center"/>
              <w:textAlignment w:val="center"/>
              <w:rPr>
                <w:rFonts w:ascii="宋体" w:hAnsi="宋体" w:cs="宋体"/>
                <w:color w:val="auto"/>
                <w:sz w:val="20"/>
                <w:szCs w:val="20"/>
              </w:rPr>
            </w:pPr>
            <w:r>
              <w:rPr>
                <w:rStyle w:val="44"/>
                <w:rFonts w:hint="default"/>
                <w:color w:val="auto"/>
              </w:rPr>
              <w:t>15万支</w:t>
            </w:r>
          </w:p>
        </w:tc>
        <w:tc>
          <w:tcPr>
            <w:tcW w:w="435" w:type="pct"/>
            <w:tcBorders>
              <w:top w:val="nil"/>
              <w:left w:val="nil"/>
              <w:bottom w:val="single" w:color="000000" w:sz="8" w:space="0"/>
              <w:right w:val="single" w:color="000000" w:sz="8" w:space="0"/>
            </w:tcBorders>
            <w:shd w:val="clear" w:color="auto" w:fill="auto"/>
            <w:vAlign w:val="center"/>
          </w:tcPr>
          <w:p w14:paraId="41BEE282">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283FBEC2">
            <w:pPr>
              <w:jc w:val="center"/>
              <w:textAlignment w:val="center"/>
              <w:rPr>
                <w:rFonts w:ascii="宋体" w:hAnsi="宋体" w:cs="宋体"/>
                <w:color w:val="auto"/>
                <w:sz w:val="20"/>
                <w:szCs w:val="20"/>
              </w:rPr>
            </w:pPr>
            <w:r>
              <w:rPr>
                <w:rFonts w:hint="eastAsia" w:ascii="宋体" w:hAnsi="宋体" w:cs="宋体"/>
                <w:color w:val="auto"/>
                <w:kern w:val="0"/>
                <w:sz w:val="20"/>
                <w:szCs w:val="20"/>
              </w:rPr>
              <w:t>150</w:t>
            </w:r>
          </w:p>
        </w:tc>
        <w:tc>
          <w:tcPr>
            <w:tcW w:w="435" w:type="pct"/>
            <w:tcBorders>
              <w:top w:val="nil"/>
              <w:left w:val="nil"/>
              <w:bottom w:val="single" w:color="000000" w:sz="8" w:space="0"/>
              <w:right w:val="single" w:color="000000" w:sz="8" w:space="0"/>
            </w:tcBorders>
            <w:shd w:val="clear" w:color="auto" w:fill="auto"/>
            <w:vAlign w:val="center"/>
          </w:tcPr>
          <w:p w14:paraId="2EF7DA62">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7D98628B">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58600409">
            <w:pPr>
              <w:jc w:val="center"/>
              <w:textAlignment w:val="center"/>
              <w:rPr>
                <w:rFonts w:ascii="宋体" w:hAnsi="宋体" w:cs="宋体"/>
                <w:color w:val="auto"/>
                <w:sz w:val="20"/>
                <w:szCs w:val="20"/>
              </w:rPr>
            </w:pPr>
            <w:r>
              <w:rPr>
                <w:rStyle w:val="44"/>
                <w:rFonts w:hint="default"/>
                <w:color w:val="auto"/>
              </w:rPr>
              <w:t>竹舟村</w:t>
            </w:r>
          </w:p>
        </w:tc>
        <w:tc>
          <w:tcPr>
            <w:tcW w:w="441" w:type="pct"/>
            <w:tcBorders>
              <w:top w:val="single" w:color="000000" w:sz="8" w:space="0"/>
              <w:left w:val="nil"/>
              <w:bottom w:val="single" w:color="000000" w:sz="8" w:space="0"/>
              <w:right w:val="single" w:color="000000" w:sz="8" w:space="0"/>
            </w:tcBorders>
            <w:shd w:val="clear" w:color="auto" w:fill="auto"/>
            <w:vAlign w:val="center"/>
          </w:tcPr>
          <w:p w14:paraId="55566B41">
            <w:pPr>
              <w:jc w:val="center"/>
              <w:rPr>
                <w:rFonts w:ascii="宋体" w:hAnsi="宋体" w:cs="宋体"/>
                <w:color w:val="auto"/>
                <w:sz w:val="20"/>
                <w:szCs w:val="20"/>
              </w:rPr>
            </w:pPr>
          </w:p>
        </w:tc>
      </w:tr>
      <w:tr w14:paraId="4B61C9DD">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2E6831D5">
            <w:pPr>
              <w:jc w:val="center"/>
              <w:textAlignment w:val="center"/>
              <w:rPr>
                <w:rFonts w:ascii="宋体" w:hAnsi="宋体" w:cs="宋体"/>
                <w:color w:val="auto"/>
                <w:sz w:val="22"/>
                <w:szCs w:val="22"/>
              </w:rPr>
            </w:pPr>
            <w:r>
              <w:rPr>
                <w:rFonts w:hint="eastAsia" w:ascii="宋体" w:hAnsi="宋体" w:cs="宋体"/>
                <w:color w:val="auto"/>
                <w:kern w:val="0"/>
                <w:sz w:val="22"/>
                <w:szCs w:val="22"/>
              </w:rPr>
              <w:t>26</w:t>
            </w:r>
          </w:p>
        </w:tc>
        <w:tc>
          <w:tcPr>
            <w:tcW w:w="703" w:type="pct"/>
            <w:tcBorders>
              <w:top w:val="nil"/>
              <w:left w:val="nil"/>
              <w:bottom w:val="single" w:color="000000" w:sz="8" w:space="0"/>
              <w:right w:val="single" w:color="000000" w:sz="8" w:space="0"/>
            </w:tcBorders>
            <w:shd w:val="clear" w:color="auto" w:fill="auto"/>
            <w:vAlign w:val="center"/>
          </w:tcPr>
          <w:p w14:paraId="78B0F248">
            <w:pPr>
              <w:jc w:val="center"/>
              <w:textAlignment w:val="center"/>
              <w:rPr>
                <w:rFonts w:ascii="宋体" w:hAnsi="宋体" w:cs="宋体"/>
                <w:color w:val="auto"/>
                <w:sz w:val="20"/>
                <w:szCs w:val="20"/>
              </w:rPr>
            </w:pPr>
            <w:r>
              <w:rPr>
                <w:rStyle w:val="44"/>
                <w:rFonts w:hint="default"/>
                <w:color w:val="auto"/>
              </w:rPr>
              <w:t>后岗加工点</w:t>
            </w:r>
          </w:p>
        </w:tc>
        <w:tc>
          <w:tcPr>
            <w:tcW w:w="436" w:type="pct"/>
            <w:tcBorders>
              <w:top w:val="nil"/>
              <w:left w:val="nil"/>
              <w:bottom w:val="single" w:color="000000" w:sz="8" w:space="0"/>
              <w:right w:val="single" w:color="000000" w:sz="8" w:space="0"/>
            </w:tcBorders>
            <w:shd w:val="clear" w:color="auto" w:fill="auto"/>
            <w:vAlign w:val="center"/>
          </w:tcPr>
          <w:p w14:paraId="63925CF7">
            <w:pPr>
              <w:jc w:val="center"/>
              <w:textAlignment w:val="center"/>
              <w:rPr>
                <w:rFonts w:ascii="宋体" w:hAnsi="宋体" w:cs="宋体"/>
                <w:color w:val="auto"/>
                <w:sz w:val="20"/>
                <w:szCs w:val="20"/>
              </w:rPr>
            </w:pPr>
            <w:r>
              <w:rPr>
                <w:rFonts w:hint="eastAsia" w:ascii="宋体" w:hAnsi="宋体" w:cs="宋体"/>
                <w:color w:val="auto"/>
                <w:kern w:val="0"/>
                <w:sz w:val="20"/>
                <w:szCs w:val="20"/>
              </w:rPr>
              <w:t>10</w:t>
            </w:r>
          </w:p>
        </w:tc>
        <w:tc>
          <w:tcPr>
            <w:tcW w:w="435" w:type="pct"/>
            <w:tcBorders>
              <w:top w:val="nil"/>
              <w:left w:val="nil"/>
              <w:bottom w:val="single" w:color="000000" w:sz="8" w:space="0"/>
              <w:right w:val="single" w:color="000000" w:sz="8" w:space="0"/>
            </w:tcBorders>
            <w:shd w:val="clear" w:color="auto" w:fill="auto"/>
            <w:vAlign w:val="center"/>
          </w:tcPr>
          <w:p w14:paraId="6A506139">
            <w:pPr>
              <w:jc w:val="center"/>
              <w:textAlignment w:val="center"/>
              <w:rPr>
                <w:rFonts w:ascii="宋体" w:hAnsi="宋体" w:cs="宋体"/>
                <w:color w:val="auto"/>
                <w:sz w:val="20"/>
                <w:szCs w:val="20"/>
              </w:rPr>
            </w:pPr>
            <w:r>
              <w:rPr>
                <w:rStyle w:val="44"/>
                <w:rFonts w:hint="default"/>
                <w:color w:val="auto"/>
              </w:rPr>
              <w:t>竹木</w:t>
            </w:r>
          </w:p>
        </w:tc>
        <w:tc>
          <w:tcPr>
            <w:tcW w:w="436" w:type="pct"/>
            <w:tcBorders>
              <w:top w:val="nil"/>
              <w:left w:val="nil"/>
              <w:bottom w:val="single" w:color="000000" w:sz="8" w:space="0"/>
              <w:right w:val="single" w:color="000000" w:sz="8" w:space="0"/>
            </w:tcBorders>
            <w:shd w:val="clear" w:color="auto" w:fill="auto"/>
            <w:vAlign w:val="center"/>
          </w:tcPr>
          <w:p w14:paraId="3BE7093D">
            <w:pPr>
              <w:jc w:val="center"/>
              <w:textAlignment w:val="center"/>
              <w:rPr>
                <w:rFonts w:ascii="宋体" w:hAnsi="宋体" w:cs="宋体"/>
                <w:color w:val="auto"/>
                <w:sz w:val="20"/>
                <w:szCs w:val="20"/>
              </w:rPr>
            </w:pPr>
            <w:r>
              <w:rPr>
                <w:rStyle w:val="44"/>
                <w:rFonts w:hint="default"/>
                <w:color w:val="auto"/>
              </w:rPr>
              <w:t>15万支</w:t>
            </w:r>
          </w:p>
        </w:tc>
        <w:tc>
          <w:tcPr>
            <w:tcW w:w="435" w:type="pct"/>
            <w:tcBorders>
              <w:top w:val="nil"/>
              <w:left w:val="nil"/>
              <w:bottom w:val="single" w:color="000000" w:sz="8" w:space="0"/>
              <w:right w:val="single" w:color="000000" w:sz="8" w:space="0"/>
            </w:tcBorders>
            <w:shd w:val="clear" w:color="auto" w:fill="auto"/>
            <w:vAlign w:val="center"/>
          </w:tcPr>
          <w:p w14:paraId="31D5269C">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62C02F2C">
            <w:pPr>
              <w:jc w:val="center"/>
              <w:textAlignment w:val="center"/>
              <w:rPr>
                <w:rFonts w:ascii="宋体" w:hAnsi="宋体" w:cs="宋体"/>
                <w:color w:val="auto"/>
                <w:sz w:val="20"/>
                <w:szCs w:val="20"/>
              </w:rPr>
            </w:pPr>
            <w:r>
              <w:rPr>
                <w:rFonts w:hint="eastAsia" w:ascii="宋体" w:hAnsi="宋体" w:cs="宋体"/>
                <w:color w:val="auto"/>
                <w:kern w:val="0"/>
                <w:sz w:val="20"/>
                <w:szCs w:val="20"/>
              </w:rPr>
              <w:t>150</w:t>
            </w:r>
          </w:p>
        </w:tc>
        <w:tc>
          <w:tcPr>
            <w:tcW w:w="435" w:type="pct"/>
            <w:tcBorders>
              <w:top w:val="nil"/>
              <w:left w:val="nil"/>
              <w:bottom w:val="single" w:color="000000" w:sz="8" w:space="0"/>
              <w:right w:val="single" w:color="000000" w:sz="8" w:space="0"/>
            </w:tcBorders>
            <w:shd w:val="clear" w:color="auto" w:fill="auto"/>
            <w:vAlign w:val="center"/>
          </w:tcPr>
          <w:p w14:paraId="2865040B">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3AFE9EF1">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360BDCBA">
            <w:pPr>
              <w:jc w:val="center"/>
              <w:rPr>
                <w:rFonts w:ascii="宋体" w:hAnsi="宋体" w:cs="宋体"/>
                <w:color w:val="auto"/>
                <w:sz w:val="20"/>
                <w:szCs w:val="20"/>
              </w:rPr>
            </w:pPr>
          </w:p>
        </w:tc>
        <w:tc>
          <w:tcPr>
            <w:tcW w:w="441" w:type="pct"/>
            <w:tcBorders>
              <w:top w:val="single" w:color="000000" w:sz="8" w:space="0"/>
              <w:left w:val="nil"/>
              <w:bottom w:val="single" w:color="000000" w:sz="8" w:space="0"/>
              <w:right w:val="single" w:color="000000" w:sz="8" w:space="0"/>
            </w:tcBorders>
            <w:shd w:val="clear" w:color="auto" w:fill="auto"/>
            <w:vAlign w:val="center"/>
          </w:tcPr>
          <w:p w14:paraId="759617E8">
            <w:pPr>
              <w:jc w:val="center"/>
              <w:rPr>
                <w:rFonts w:ascii="宋体" w:hAnsi="宋体" w:cs="宋体"/>
                <w:color w:val="auto"/>
                <w:sz w:val="20"/>
                <w:szCs w:val="20"/>
              </w:rPr>
            </w:pPr>
          </w:p>
        </w:tc>
      </w:tr>
      <w:tr w14:paraId="2BE5A893">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F528C1E">
            <w:pPr>
              <w:jc w:val="center"/>
              <w:textAlignment w:val="center"/>
              <w:rPr>
                <w:rFonts w:ascii="宋体" w:hAnsi="宋体" w:cs="宋体"/>
                <w:color w:val="auto"/>
                <w:sz w:val="22"/>
                <w:szCs w:val="22"/>
              </w:rPr>
            </w:pPr>
            <w:r>
              <w:rPr>
                <w:rFonts w:hint="eastAsia" w:ascii="宋体" w:hAnsi="宋体" w:cs="宋体"/>
                <w:color w:val="auto"/>
                <w:kern w:val="0"/>
                <w:sz w:val="22"/>
                <w:szCs w:val="22"/>
              </w:rPr>
              <w:t>27</w:t>
            </w:r>
          </w:p>
        </w:tc>
        <w:tc>
          <w:tcPr>
            <w:tcW w:w="703" w:type="pct"/>
            <w:tcBorders>
              <w:top w:val="nil"/>
              <w:left w:val="nil"/>
              <w:bottom w:val="single" w:color="000000" w:sz="8" w:space="0"/>
              <w:right w:val="single" w:color="000000" w:sz="8" w:space="0"/>
            </w:tcBorders>
            <w:shd w:val="clear" w:color="auto" w:fill="auto"/>
            <w:vAlign w:val="center"/>
          </w:tcPr>
          <w:p w14:paraId="53097168">
            <w:pPr>
              <w:jc w:val="center"/>
              <w:textAlignment w:val="center"/>
              <w:rPr>
                <w:rFonts w:ascii="宋体" w:hAnsi="宋体" w:cs="宋体"/>
                <w:color w:val="auto"/>
                <w:sz w:val="20"/>
                <w:szCs w:val="20"/>
              </w:rPr>
            </w:pPr>
            <w:r>
              <w:rPr>
                <w:rStyle w:val="44"/>
                <w:rFonts w:hint="default"/>
                <w:color w:val="auto"/>
              </w:rPr>
              <w:t>老鼠坪加工点</w:t>
            </w:r>
          </w:p>
        </w:tc>
        <w:tc>
          <w:tcPr>
            <w:tcW w:w="436" w:type="pct"/>
            <w:tcBorders>
              <w:top w:val="nil"/>
              <w:left w:val="nil"/>
              <w:bottom w:val="single" w:color="000000" w:sz="8" w:space="0"/>
              <w:right w:val="single" w:color="000000" w:sz="8" w:space="0"/>
            </w:tcBorders>
            <w:shd w:val="clear" w:color="auto" w:fill="auto"/>
            <w:vAlign w:val="center"/>
          </w:tcPr>
          <w:p w14:paraId="0E35C9CE">
            <w:pPr>
              <w:jc w:val="center"/>
              <w:textAlignment w:val="center"/>
              <w:rPr>
                <w:rFonts w:ascii="宋体" w:hAnsi="宋体" w:cs="宋体"/>
                <w:color w:val="auto"/>
                <w:sz w:val="20"/>
                <w:szCs w:val="20"/>
              </w:rPr>
            </w:pPr>
            <w:r>
              <w:rPr>
                <w:rFonts w:hint="eastAsia" w:ascii="宋体" w:hAnsi="宋体" w:cs="宋体"/>
                <w:color w:val="auto"/>
                <w:kern w:val="0"/>
                <w:sz w:val="20"/>
                <w:szCs w:val="20"/>
              </w:rPr>
              <w:t>30</w:t>
            </w:r>
          </w:p>
        </w:tc>
        <w:tc>
          <w:tcPr>
            <w:tcW w:w="435" w:type="pct"/>
            <w:tcBorders>
              <w:top w:val="nil"/>
              <w:left w:val="nil"/>
              <w:bottom w:val="single" w:color="000000" w:sz="8" w:space="0"/>
              <w:right w:val="single" w:color="000000" w:sz="8" w:space="0"/>
            </w:tcBorders>
            <w:shd w:val="clear" w:color="auto" w:fill="auto"/>
            <w:vAlign w:val="center"/>
          </w:tcPr>
          <w:p w14:paraId="710B3124">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786939E5">
            <w:pPr>
              <w:jc w:val="center"/>
              <w:textAlignment w:val="center"/>
              <w:rPr>
                <w:rFonts w:ascii="宋体" w:hAnsi="宋体" w:cs="宋体"/>
                <w:color w:val="auto"/>
                <w:sz w:val="20"/>
                <w:szCs w:val="20"/>
              </w:rPr>
            </w:pPr>
            <w:r>
              <w:rPr>
                <w:rStyle w:val="44"/>
                <w:rFonts w:hint="default"/>
                <w:color w:val="auto"/>
              </w:rPr>
              <w:t>15万支</w:t>
            </w:r>
          </w:p>
        </w:tc>
        <w:tc>
          <w:tcPr>
            <w:tcW w:w="435" w:type="pct"/>
            <w:tcBorders>
              <w:top w:val="nil"/>
              <w:left w:val="nil"/>
              <w:bottom w:val="single" w:color="000000" w:sz="8" w:space="0"/>
              <w:right w:val="single" w:color="000000" w:sz="8" w:space="0"/>
            </w:tcBorders>
            <w:shd w:val="clear" w:color="auto" w:fill="auto"/>
            <w:vAlign w:val="center"/>
          </w:tcPr>
          <w:p w14:paraId="1298D02F">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396ED178">
            <w:pPr>
              <w:jc w:val="center"/>
              <w:textAlignment w:val="center"/>
              <w:rPr>
                <w:rFonts w:ascii="宋体" w:hAnsi="宋体" w:cs="宋体"/>
                <w:color w:val="auto"/>
                <w:sz w:val="20"/>
                <w:szCs w:val="20"/>
              </w:rPr>
            </w:pPr>
            <w:r>
              <w:rPr>
                <w:rFonts w:hint="eastAsia" w:ascii="宋体" w:hAnsi="宋体" w:cs="宋体"/>
                <w:color w:val="auto"/>
                <w:kern w:val="0"/>
                <w:sz w:val="20"/>
                <w:szCs w:val="20"/>
              </w:rPr>
              <w:t>150</w:t>
            </w:r>
          </w:p>
        </w:tc>
        <w:tc>
          <w:tcPr>
            <w:tcW w:w="435" w:type="pct"/>
            <w:tcBorders>
              <w:top w:val="nil"/>
              <w:left w:val="nil"/>
              <w:bottom w:val="single" w:color="000000" w:sz="8" w:space="0"/>
              <w:right w:val="single" w:color="000000" w:sz="8" w:space="0"/>
            </w:tcBorders>
            <w:shd w:val="clear" w:color="auto" w:fill="auto"/>
            <w:vAlign w:val="center"/>
          </w:tcPr>
          <w:p w14:paraId="14BB2B0A">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7664380B">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22362FF9">
            <w:pPr>
              <w:jc w:val="center"/>
              <w:rPr>
                <w:rFonts w:ascii="宋体" w:hAnsi="宋体" w:cs="宋体"/>
                <w:color w:val="auto"/>
                <w:sz w:val="20"/>
                <w:szCs w:val="20"/>
              </w:rPr>
            </w:pPr>
          </w:p>
        </w:tc>
        <w:tc>
          <w:tcPr>
            <w:tcW w:w="441" w:type="pct"/>
            <w:tcBorders>
              <w:top w:val="single" w:color="000000" w:sz="8" w:space="0"/>
              <w:left w:val="nil"/>
              <w:bottom w:val="single" w:color="000000" w:sz="8" w:space="0"/>
              <w:right w:val="single" w:color="000000" w:sz="8" w:space="0"/>
            </w:tcBorders>
            <w:shd w:val="clear" w:color="auto" w:fill="auto"/>
            <w:vAlign w:val="center"/>
          </w:tcPr>
          <w:p w14:paraId="0AD6F293">
            <w:pPr>
              <w:jc w:val="center"/>
              <w:rPr>
                <w:rFonts w:ascii="宋体" w:hAnsi="宋体" w:cs="宋体"/>
                <w:color w:val="auto"/>
                <w:sz w:val="20"/>
                <w:szCs w:val="20"/>
              </w:rPr>
            </w:pPr>
          </w:p>
        </w:tc>
      </w:tr>
      <w:tr w14:paraId="2173A81C">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3CEA2A55">
            <w:pPr>
              <w:jc w:val="center"/>
              <w:rPr>
                <w:rFonts w:ascii="宋体" w:hAnsi="宋体" w:cs="宋体"/>
                <w:color w:val="auto"/>
                <w:sz w:val="20"/>
                <w:szCs w:val="20"/>
              </w:rPr>
            </w:pPr>
          </w:p>
        </w:tc>
      </w:tr>
      <w:tr w14:paraId="5923CAB0">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32A3E20A">
            <w:pPr>
              <w:jc w:val="center"/>
              <w:textAlignment w:val="center"/>
              <w:rPr>
                <w:rFonts w:ascii="宋体" w:hAnsi="宋体" w:cs="宋体"/>
                <w:color w:val="auto"/>
                <w:sz w:val="22"/>
                <w:szCs w:val="22"/>
              </w:rPr>
            </w:pPr>
            <w:r>
              <w:rPr>
                <w:rFonts w:hint="eastAsia" w:ascii="宋体" w:hAnsi="宋体" w:cs="宋体"/>
                <w:color w:val="auto"/>
                <w:kern w:val="0"/>
                <w:sz w:val="22"/>
                <w:szCs w:val="22"/>
              </w:rPr>
              <w:t>28</w:t>
            </w:r>
          </w:p>
        </w:tc>
        <w:tc>
          <w:tcPr>
            <w:tcW w:w="703" w:type="pct"/>
            <w:tcBorders>
              <w:top w:val="nil"/>
              <w:left w:val="nil"/>
              <w:bottom w:val="single" w:color="000000" w:sz="8" w:space="0"/>
              <w:right w:val="single" w:color="000000" w:sz="8" w:space="0"/>
            </w:tcBorders>
            <w:shd w:val="clear" w:color="auto" w:fill="auto"/>
            <w:vAlign w:val="center"/>
          </w:tcPr>
          <w:p w14:paraId="0BEACDED">
            <w:pPr>
              <w:jc w:val="center"/>
              <w:textAlignment w:val="center"/>
              <w:rPr>
                <w:rFonts w:ascii="宋体" w:hAnsi="宋体" w:cs="宋体"/>
                <w:color w:val="auto"/>
                <w:sz w:val="20"/>
                <w:szCs w:val="20"/>
              </w:rPr>
            </w:pPr>
            <w:r>
              <w:rPr>
                <w:rStyle w:val="45"/>
                <w:rFonts w:hint="default"/>
                <w:color w:val="auto"/>
              </w:rPr>
              <w:t>燕怡桥北端加工点</w:t>
            </w:r>
          </w:p>
        </w:tc>
        <w:tc>
          <w:tcPr>
            <w:tcW w:w="436" w:type="pct"/>
            <w:tcBorders>
              <w:top w:val="nil"/>
              <w:left w:val="nil"/>
              <w:bottom w:val="single" w:color="000000" w:sz="8" w:space="0"/>
              <w:right w:val="single" w:color="000000" w:sz="8" w:space="0"/>
            </w:tcBorders>
            <w:shd w:val="clear" w:color="auto" w:fill="auto"/>
            <w:vAlign w:val="center"/>
          </w:tcPr>
          <w:p w14:paraId="7F7611A3">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2E4638D3">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03491309">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10F3F792">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4BB25314">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0C2C183A">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468B1728">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572C8034">
            <w:pPr>
              <w:jc w:val="center"/>
              <w:textAlignment w:val="center"/>
              <w:rPr>
                <w:rFonts w:ascii="宋体" w:hAnsi="宋体" w:cs="宋体"/>
                <w:color w:val="auto"/>
                <w:sz w:val="20"/>
                <w:szCs w:val="20"/>
              </w:rPr>
            </w:pPr>
            <w:r>
              <w:rPr>
                <w:rStyle w:val="45"/>
                <w:rFonts w:hint="default"/>
                <w:color w:val="auto"/>
              </w:rPr>
              <w:t>四村</w:t>
            </w:r>
          </w:p>
        </w:tc>
        <w:tc>
          <w:tcPr>
            <w:tcW w:w="441" w:type="pct"/>
            <w:vMerge w:val="restart"/>
            <w:tcBorders>
              <w:top w:val="nil"/>
              <w:left w:val="nil"/>
              <w:bottom w:val="single" w:color="000000" w:sz="8" w:space="0"/>
              <w:right w:val="single" w:color="000000" w:sz="8" w:space="0"/>
            </w:tcBorders>
            <w:shd w:val="clear" w:color="auto" w:fill="auto"/>
            <w:vAlign w:val="center"/>
          </w:tcPr>
          <w:p w14:paraId="32237DE3">
            <w:pPr>
              <w:jc w:val="center"/>
              <w:textAlignment w:val="center"/>
              <w:rPr>
                <w:rFonts w:ascii="宋体" w:hAnsi="宋体" w:cs="宋体"/>
                <w:color w:val="auto"/>
                <w:sz w:val="20"/>
                <w:szCs w:val="20"/>
              </w:rPr>
            </w:pPr>
            <w:r>
              <w:rPr>
                <w:rStyle w:val="44"/>
                <w:rFonts w:hint="default"/>
                <w:color w:val="auto"/>
              </w:rPr>
              <w:t>八都镇</w:t>
            </w:r>
          </w:p>
        </w:tc>
      </w:tr>
      <w:tr w14:paraId="4F2D5465">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907FDB0">
            <w:pPr>
              <w:jc w:val="center"/>
              <w:textAlignment w:val="center"/>
              <w:rPr>
                <w:rFonts w:ascii="宋体" w:hAnsi="宋体" w:cs="宋体"/>
                <w:color w:val="auto"/>
                <w:sz w:val="22"/>
                <w:szCs w:val="22"/>
              </w:rPr>
            </w:pPr>
            <w:r>
              <w:rPr>
                <w:rFonts w:hint="eastAsia" w:ascii="宋体" w:hAnsi="宋体" w:cs="宋体"/>
                <w:color w:val="auto"/>
                <w:kern w:val="0"/>
                <w:sz w:val="22"/>
                <w:szCs w:val="22"/>
              </w:rPr>
              <w:t>29</w:t>
            </w:r>
          </w:p>
        </w:tc>
        <w:tc>
          <w:tcPr>
            <w:tcW w:w="703" w:type="pct"/>
            <w:tcBorders>
              <w:top w:val="nil"/>
              <w:left w:val="nil"/>
              <w:bottom w:val="single" w:color="000000" w:sz="8" w:space="0"/>
              <w:right w:val="single" w:color="000000" w:sz="8" w:space="0"/>
            </w:tcBorders>
            <w:shd w:val="clear" w:color="auto" w:fill="auto"/>
            <w:vAlign w:val="center"/>
          </w:tcPr>
          <w:p w14:paraId="01F2B011">
            <w:pPr>
              <w:jc w:val="center"/>
              <w:textAlignment w:val="center"/>
              <w:rPr>
                <w:rFonts w:ascii="宋体" w:hAnsi="宋体" w:cs="宋体"/>
                <w:color w:val="auto"/>
                <w:sz w:val="20"/>
                <w:szCs w:val="20"/>
              </w:rPr>
            </w:pPr>
            <w:r>
              <w:rPr>
                <w:rStyle w:val="45"/>
                <w:rFonts w:hint="default"/>
                <w:color w:val="auto"/>
              </w:rPr>
              <w:t>茶寮屋后加工点</w:t>
            </w:r>
          </w:p>
        </w:tc>
        <w:tc>
          <w:tcPr>
            <w:tcW w:w="436" w:type="pct"/>
            <w:tcBorders>
              <w:top w:val="nil"/>
              <w:left w:val="nil"/>
              <w:bottom w:val="single" w:color="000000" w:sz="8" w:space="0"/>
              <w:right w:val="single" w:color="000000" w:sz="8" w:space="0"/>
            </w:tcBorders>
            <w:shd w:val="clear" w:color="auto" w:fill="auto"/>
            <w:vAlign w:val="center"/>
          </w:tcPr>
          <w:p w14:paraId="664DB7DB">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18E57FA9">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09A3078C">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0F59B476">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3B6C8AA9">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6E40067E">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6BF6ED88">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460FA28B">
            <w:pPr>
              <w:jc w:val="center"/>
              <w:textAlignment w:val="center"/>
              <w:rPr>
                <w:rFonts w:ascii="宋体" w:hAnsi="宋体" w:cs="宋体"/>
                <w:color w:val="auto"/>
                <w:sz w:val="20"/>
                <w:szCs w:val="20"/>
              </w:rPr>
            </w:pPr>
            <w:r>
              <w:rPr>
                <w:rStyle w:val="45"/>
                <w:rFonts w:hint="default"/>
                <w:color w:val="auto"/>
              </w:rPr>
              <w:t>四村</w:t>
            </w:r>
          </w:p>
        </w:tc>
        <w:tc>
          <w:tcPr>
            <w:tcW w:w="441" w:type="pct"/>
            <w:vMerge w:val="continue"/>
            <w:tcBorders>
              <w:top w:val="nil"/>
              <w:left w:val="nil"/>
              <w:bottom w:val="single" w:color="000000" w:sz="8" w:space="0"/>
              <w:right w:val="single" w:color="000000" w:sz="8" w:space="0"/>
            </w:tcBorders>
            <w:shd w:val="clear" w:color="auto" w:fill="auto"/>
            <w:vAlign w:val="center"/>
          </w:tcPr>
          <w:p w14:paraId="137D9DDD">
            <w:pPr>
              <w:jc w:val="center"/>
              <w:rPr>
                <w:rFonts w:ascii="宋体" w:hAnsi="宋体" w:cs="宋体"/>
                <w:color w:val="auto"/>
                <w:sz w:val="20"/>
                <w:szCs w:val="20"/>
              </w:rPr>
            </w:pPr>
          </w:p>
        </w:tc>
      </w:tr>
      <w:tr w14:paraId="2BA913E6">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A33B502">
            <w:pPr>
              <w:jc w:val="center"/>
              <w:textAlignment w:val="center"/>
              <w:rPr>
                <w:rFonts w:ascii="宋体" w:hAnsi="宋体" w:cs="宋体"/>
                <w:color w:val="auto"/>
                <w:sz w:val="22"/>
                <w:szCs w:val="22"/>
              </w:rPr>
            </w:pPr>
            <w:r>
              <w:rPr>
                <w:rFonts w:hint="eastAsia" w:ascii="宋体" w:hAnsi="宋体" w:cs="宋体"/>
                <w:color w:val="auto"/>
                <w:kern w:val="0"/>
                <w:sz w:val="22"/>
                <w:szCs w:val="22"/>
              </w:rPr>
              <w:t>30</w:t>
            </w:r>
          </w:p>
        </w:tc>
        <w:tc>
          <w:tcPr>
            <w:tcW w:w="703" w:type="pct"/>
            <w:tcBorders>
              <w:top w:val="nil"/>
              <w:left w:val="nil"/>
              <w:bottom w:val="single" w:color="000000" w:sz="8" w:space="0"/>
              <w:right w:val="single" w:color="000000" w:sz="8" w:space="0"/>
            </w:tcBorders>
            <w:shd w:val="clear" w:color="auto" w:fill="auto"/>
            <w:vAlign w:val="center"/>
          </w:tcPr>
          <w:p w14:paraId="7C2E1A49">
            <w:pPr>
              <w:jc w:val="center"/>
              <w:textAlignment w:val="center"/>
              <w:rPr>
                <w:rFonts w:ascii="宋体" w:hAnsi="宋体" w:cs="宋体"/>
                <w:color w:val="auto"/>
                <w:sz w:val="20"/>
                <w:szCs w:val="20"/>
              </w:rPr>
            </w:pPr>
            <w:r>
              <w:rPr>
                <w:rStyle w:val="45"/>
                <w:rFonts w:hint="default"/>
                <w:color w:val="auto"/>
              </w:rPr>
              <w:t>大桥头窑头加工点</w:t>
            </w:r>
          </w:p>
        </w:tc>
        <w:tc>
          <w:tcPr>
            <w:tcW w:w="436" w:type="pct"/>
            <w:tcBorders>
              <w:top w:val="nil"/>
              <w:left w:val="nil"/>
              <w:bottom w:val="single" w:color="000000" w:sz="8" w:space="0"/>
              <w:right w:val="single" w:color="000000" w:sz="8" w:space="0"/>
            </w:tcBorders>
            <w:shd w:val="clear" w:color="auto" w:fill="auto"/>
            <w:vAlign w:val="center"/>
          </w:tcPr>
          <w:p w14:paraId="3D585574">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3F2FF2B7">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136C12BD">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27CBA0FB">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6BE619EB">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6238B5BA">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2DB3774D">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4EEA2616">
            <w:pPr>
              <w:jc w:val="center"/>
              <w:textAlignment w:val="center"/>
              <w:rPr>
                <w:rFonts w:ascii="宋体" w:hAnsi="宋体" w:cs="宋体"/>
                <w:color w:val="auto"/>
                <w:sz w:val="20"/>
                <w:szCs w:val="20"/>
              </w:rPr>
            </w:pPr>
            <w:r>
              <w:rPr>
                <w:rStyle w:val="45"/>
                <w:rFonts w:hint="default"/>
                <w:color w:val="auto"/>
              </w:rPr>
              <w:t>四村</w:t>
            </w:r>
          </w:p>
        </w:tc>
        <w:tc>
          <w:tcPr>
            <w:tcW w:w="441" w:type="pct"/>
            <w:vMerge w:val="continue"/>
            <w:tcBorders>
              <w:top w:val="nil"/>
              <w:left w:val="nil"/>
              <w:bottom w:val="single" w:color="000000" w:sz="8" w:space="0"/>
              <w:right w:val="single" w:color="000000" w:sz="8" w:space="0"/>
            </w:tcBorders>
            <w:shd w:val="clear" w:color="auto" w:fill="auto"/>
            <w:vAlign w:val="center"/>
          </w:tcPr>
          <w:p w14:paraId="33A80E88">
            <w:pPr>
              <w:jc w:val="center"/>
              <w:rPr>
                <w:rFonts w:ascii="宋体" w:hAnsi="宋体" w:cs="宋体"/>
                <w:color w:val="auto"/>
                <w:sz w:val="20"/>
                <w:szCs w:val="20"/>
              </w:rPr>
            </w:pPr>
          </w:p>
        </w:tc>
      </w:tr>
      <w:tr w14:paraId="51854F07">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D304BD8">
            <w:pPr>
              <w:jc w:val="center"/>
              <w:textAlignment w:val="center"/>
              <w:rPr>
                <w:rFonts w:ascii="宋体" w:hAnsi="宋体" w:cs="宋体"/>
                <w:color w:val="auto"/>
                <w:sz w:val="22"/>
                <w:szCs w:val="22"/>
              </w:rPr>
            </w:pPr>
            <w:r>
              <w:rPr>
                <w:rFonts w:hint="eastAsia" w:ascii="宋体" w:hAnsi="宋体" w:cs="宋体"/>
                <w:color w:val="auto"/>
                <w:kern w:val="0"/>
                <w:sz w:val="22"/>
                <w:szCs w:val="22"/>
              </w:rPr>
              <w:t>31</w:t>
            </w:r>
          </w:p>
        </w:tc>
        <w:tc>
          <w:tcPr>
            <w:tcW w:w="703" w:type="pct"/>
            <w:tcBorders>
              <w:top w:val="nil"/>
              <w:left w:val="nil"/>
              <w:bottom w:val="single" w:color="000000" w:sz="8" w:space="0"/>
              <w:right w:val="single" w:color="000000" w:sz="8" w:space="0"/>
            </w:tcBorders>
            <w:shd w:val="clear" w:color="auto" w:fill="auto"/>
            <w:vAlign w:val="center"/>
          </w:tcPr>
          <w:p w14:paraId="5A47F726">
            <w:pPr>
              <w:jc w:val="center"/>
              <w:textAlignment w:val="center"/>
              <w:rPr>
                <w:rFonts w:ascii="宋体" w:hAnsi="宋体" w:cs="宋体"/>
                <w:color w:val="auto"/>
                <w:sz w:val="20"/>
                <w:szCs w:val="20"/>
              </w:rPr>
            </w:pPr>
            <w:r>
              <w:rPr>
                <w:rStyle w:val="45"/>
                <w:rFonts w:hint="default"/>
                <w:color w:val="auto"/>
              </w:rPr>
              <w:t>樟树下加工点</w:t>
            </w:r>
          </w:p>
        </w:tc>
        <w:tc>
          <w:tcPr>
            <w:tcW w:w="436" w:type="pct"/>
            <w:tcBorders>
              <w:top w:val="nil"/>
              <w:left w:val="nil"/>
              <w:bottom w:val="single" w:color="000000" w:sz="8" w:space="0"/>
              <w:right w:val="single" w:color="000000" w:sz="8" w:space="0"/>
            </w:tcBorders>
            <w:shd w:val="clear" w:color="auto" w:fill="auto"/>
            <w:vAlign w:val="center"/>
          </w:tcPr>
          <w:p w14:paraId="67CA40D4">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7E8F9032">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3A1C9490">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1606F359">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035296F5">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4D33B5E3">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7C774285">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0B87DDE8">
            <w:pPr>
              <w:jc w:val="center"/>
              <w:textAlignment w:val="center"/>
              <w:rPr>
                <w:rFonts w:ascii="宋体" w:hAnsi="宋体" w:cs="宋体"/>
                <w:color w:val="auto"/>
                <w:sz w:val="20"/>
                <w:szCs w:val="20"/>
              </w:rPr>
            </w:pPr>
            <w:r>
              <w:rPr>
                <w:rStyle w:val="45"/>
                <w:rFonts w:hint="default"/>
                <w:color w:val="auto"/>
              </w:rPr>
              <w:t>樟溪村</w:t>
            </w:r>
          </w:p>
        </w:tc>
        <w:tc>
          <w:tcPr>
            <w:tcW w:w="441" w:type="pct"/>
            <w:vMerge w:val="continue"/>
            <w:tcBorders>
              <w:top w:val="nil"/>
              <w:left w:val="nil"/>
              <w:bottom w:val="single" w:color="000000" w:sz="8" w:space="0"/>
              <w:right w:val="single" w:color="000000" w:sz="8" w:space="0"/>
            </w:tcBorders>
            <w:shd w:val="clear" w:color="auto" w:fill="auto"/>
            <w:vAlign w:val="center"/>
          </w:tcPr>
          <w:p w14:paraId="5E4483CD">
            <w:pPr>
              <w:jc w:val="center"/>
              <w:rPr>
                <w:rFonts w:ascii="宋体" w:hAnsi="宋体" w:cs="宋体"/>
                <w:color w:val="auto"/>
                <w:sz w:val="20"/>
                <w:szCs w:val="20"/>
              </w:rPr>
            </w:pPr>
          </w:p>
        </w:tc>
      </w:tr>
      <w:tr w14:paraId="3FC82E8E">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F1E0DE0">
            <w:pPr>
              <w:jc w:val="center"/>
              <w:textAlignment w:val="center"/>
              <w:rPr>
                <w:rFonts w:ascii="宋体" w:hAnsi="宋体" w:cs="宋体"/>
                <w:color w:val="auto"/>
                <w:sz w:val="22"/>
                <w:szCs w:val="22"/>
              </w:rPr>
            </w:pPr>
            <w:r>
              <w:rPr>
                <w:rFonts w:hint="eastAsia" w:ascii="宋体" w:hAnsi="宋体" w:cs="宋体"/>
                <w:color w:val="auto"/>
                <w:kern w:val="0"/>
                <w:sz w:val="22"/>
                <w:szCs w:val="22"/>
              </w:rPr>
              <w:t>32</w:t>
            </w:r>
          </w:p>
        </w:tc>
        <w:tc>
          <w:tcPr>
            <w:tcW w:w="703" w:type="pct"/>
            <w:tcBorders>
              <w:top w:val="nil"/>
              <w:left w:val="nil"/>
              <w:bottom w:val="single" w:color="000000" w:sz="8" w:space="0"/>
              <w:right w:val="single" w:color="000000" w:sz="8" w:space="0"/>
            </w:tcBorders>
            <w:shd w:val="clear" w:color="auto" w:fill="auto"/>
            <w:vAlign w:val="center"/>
          </w:tcPr>
          <w:p w14:paraId="4B72BCD7">
            <w:pPr>
              <w:jc w:val="center"/>
              <w:textAlignment w:val="center"/>
              <w:rPr>
                <w:rFonts w:ascii="宋体" w:hAnsi="宋体" w:cs="宋体"/>
                <w:color w:val="auto"/>
                <w:sz w:val="20"/>
                <w:szCs w:val="20"/>
              </w:rPr>
            </w:pPr>
            <w:r>
              <w:rPr>
                <w:rStyle w:val="45"/>
                <w:rFonts w:hint="default"/>
                <w:color w:val="auto"/>
              </w:rPr>
              <w:t>下弄加工点</w:t>
            </w:r>
          </w:p>
        </w:tc>
        <w:tc>
          <w:tcPr>
            <w:tcW w:w="436" w:type="pct"/>
            <w:tcBorders>
              <w:top w:val="nil"/>
              <w:left w:val="nil"/>
              <w:bottom w:val="single" w:color="000000" w:sz="8" w:space="0"/>
              <w:right w:val="single" w:color="000000" w:sz="8" w:space="0"/>
            </w:tcBorders>
            <w:shd w:val="clear" w:color="auto" w:fill="auto"/>
            <w:vAlign w:val="center"/>
          </w:tcPr>
          <w:p w14:paraId="325BE167">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49440069">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2EC37B96">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723285A7">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1E3A0886">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449B8F49">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0EF6DF58">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616D3AA4">
            <w:pPr>
              <w:jc w:val="center"/>
              <w:textAlignment w:val="center"/>
              <w:rPr>
                <w:rFonts w:ascii="宋体" w:hAnsi="宋体" w:cs="宋体"/>
                <w:color w:val="auto"/>
                <w:sz w:val="20"/>
                <w:szCs w:val="20"/>
              </w:rPr>
            </w:pPr>
            <w:r>
              <w:rPr>
                <w:rStyle w:val="45"/>
                <w:rFonts w:hint="default"/>
                <w:color w:val="auto"/>
              </w:rPr>
              <w:t>松渠村</w:t>
            </w:r>
          </w:p>
        </w:tc>
        <w:tc>
          <w:tcPr>
            <w:tcW w:w="441" w:type="pct"/>
            <w:vMerge w:val="continue"/>
            <w:tcBorders>
              <w:top w:val="nil"/>
              <w:left w:val="nil"/>
              <w:bottom w:val="single" w:color="000000" w:sz="8" w:space="0"/>
              <w:right w:val="single" w:color="000000" w:sz="8" w:space="0"/>
            </w:tcBorders>
            <w:shd w:val="clear" w:color="auto" w:fill="auto"/>
            <w:vAlign w:val="center"/>
          </w:tcPr>
          <w:p w14:paraId="7EB2FCE4">
            <w:pPr>
              <w:jc w:val="center"/>
              <w:rPr>
                <w:rFonts w:ascii="宋体" w:hAnsi="宋体" w:cs="宋体"/>
                <w:color w:val="auto"/>
                <w:sz w:val="20"/>
                <w:szCs w:val="20"/>
              </w:rPr>
            </w:pPr>
          </w:p>
        </w:tc>
      </w:tr>
      <w:tr w14:paraId="18C504F0">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414E1039">
            <w:pPr>
              <w:jc w:val="center"/>
              <w:textAlignment w:val="center"/>
              <w:rPr>
                <w:rFonts w:ascii="宋体" w:hAnsi="宋体" w:cs="宋体"/>
                <w:color w:val="auto"/>
                <w:sz w:val="22"/>
                <w:szCs w:val="22"/>
              </w:rPr>
            </w:pPr>
            <w:r>
              <w:rPr>
                <w:rFonts w:hint="eastAsia" w:ascii="宋体" w:hAnsi="宋体" w:cs="宋体"/>
                <w:color w:val="auto"/>
                <w:kern w:val="0"/>
                <w:sz w:val="22"/>
                <w:szCs w:val="22"/>
              </w:rPr>
              <w:t>33</w:t>
            </w:r>
          </w:p>
        </w:tc>
        <w:tc>
          <w:tcPr>
            <w:tcW w:w="703" w:type="pct"/>
            <w:tcBorders>
              <w:top w:val="nil"/>
              <w:left w:val="nil"/>
              <w:bottom w:val="single" w:color="000000" w:sz="8" w:space="0"/>
              <w:right w:val="single" w:color="000000" w:sz="8" w:space="0"/>
            </w:tcBorders>
            <w:shd w:val="clear" w:color="auto" w:fill="auto"/>
            <w:vAlign w:val="center"/>
          </w:tcPr>
          <w:p w14:paraId="0B870995">
            <w:pPr>
              <w:jc w:val="center"/>
              <w:textAlignment w:val="center"/>
              <w:rPr>
                <w:rFonts w:ascii="宋体" w:hAnsi="宋体" w:cs="宋体"/>
                <w:color w:val="auto"/>
                <w:sz w:val="20"/>
                <w:szCs w:val="20"/>
              </w:rPr>
            </w:pPr>
            <w:r>
              <w:rPr>
                <w:rStyle w:val="45"/>
                <w:rFonts w:hint="default"/>
                <w:color w:val="auto"/>
              </w:rPr>
              <w:t>乌吉儿加工点</w:t>
            </w:r>
          </w:p>
        </w:tc>
        <w:tc>
          <w:tcPr>
            <w:tcW w:w="436" w:type="pct"/>
            <w:tcBorders>
              <w:top w:val="nil"/>
              <w:left w:val="nil"/>
              <w:bottom w:val="single" w:color="000000" w:sz="8" w:space="0"/>
              <w:right w:val="single" w:color="000000" w:sz="8" w:space="0"/>
            </w:tcBorders>
            <w:shd w:val="clear" w:color="auto" w:fill="auto"/>
            <w:vAlign w:val="center"/>
          </w:tcPr>
          <w:p w14:paraId="3EC98E71">
            <w:pPr>
              <w:jc w:val="center"/>
              <w:textAlignment w:val="center"/>
              <w:rPr>
                <w:rFonts w:ascii="宋体" w:hAnsi="宋体" w:cs="宋体"/>
                <w:color w:val="auto"/>
                <w:sz w:val="20"/>
                <w:szCs w:val="20"/>
              </w:rPr>
            </w:pPr>
            <w:r>
              <w:rPr>
                <w:rFonts w:hint="eastAsia" w:ascii="宋体" w:hAnsi="宋体" w:cs="宋体"/>
                <w:color w:val="auto"/>
                <w:kern w:val="0"/>
                <w:sz w:val="20"/>
                <w:szCs w:val="20"/>
              </w:rPr>
              <w:t>13</w:t>
            </w:r>
          </w:p>
        </w:tc>
        <w:tc>
          <w:tcPr>
            <w:tcW w:w="435" w:type="pct"/>
            <w:tcBorders>
              <w:top w:val="nil"/>
              <w:left w:val="nil"/>
              <w:bottom w:val="single" w:color="000000" w:sz="8" w:space="0"/>
              <w:right w:val="single" w:color="000000" w:sz="8" w:space="0"/>
            </w:tcBorders>
            <w:shd w:val="clear" w:color="auto" w:fill="auto"/>
            <w:vAlign w:val="center"/>
          </w:tcPr>
          <w:p w14:paraId="16E9E68F">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2170423A">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76F4B18F">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6D063FFA">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14F6A294">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0E3CA8C8">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0E98046B">
            <w:pPr>
              <w:jc w:val="center"/>
              <w:textAlignment w:val="center"/>
              <w:rPr>
                <w:rFonts w:ascii="宋体" w:hAnsi="宋体" w:cs="宋体"/>
                <w:color w:val="auto"/>
                <w:sz w:val="20"/>
                <w:szCs w:val="20"/>
              </w:rPr>
            </w:pPr>
            <w:r>
              <w:rPr>
                <w:rStyle w:val="45"/>
                <w:rFonts w:hint="default"/>
                <w:color w:val="auto"/>
              </w:rPr>
              <w:t>安田村</w:t>
            </w:r>
          </w:p>
        </w:tc>
        <w:tc>
          <w:tcPr>
            <w:tcW w:w="441" w:type="pct"/>
            <w:vMerge w:val="continue"/>
            <w:tcBorders>
              <w:top w:val="nil"/>
              <w:left w:val="nil"/>
              <w:bottom w:val="single" w:color="000000" w:sz="8" w:space="0"/>
              <w:right w:val="single" w:color="000000" w:sz="8" w:space="0"/>
            </w:tcBorders>
            <w:shd w:val="clear" w:color="auto" w:fill="auto"/>
            <w:vAlign w:val="center"/>
          </w:tcPr>
          <w:p w14:paraId="4BB65EEF">
            <w:pPr>
              <w:jc w:val="center"/>
              <w:rPr>
                <w:rFonts w:ascii="宋体" w:hAnsi="宋体" w:cs="宋体"/>
                <w:color w:val="auto"/>
                <w:sz w:val="20"/>
                <w:szCs w:val="20"/>
              </w:rPr>
            </w:pPr>
          </w:p>
        </w:tc>
      </w:tr>
      <w:tr w14:paraId="29A20C59">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02D9129D">
            <w:pPr>
              <w:jc w:val="center"/>
              <w:textAlignment w:val="center"/>
              <w:rPr>
                <w:rFonts w:ascii="宋体" w:hAnsi="宋体" w:cs="宋体"/>
                <w:color w:val="auto"/>
                <w:sz w:val="22"/>
                <w:szCs w:val="22"/>
              </w:rPr>
            </w:pPr>
            <w:r>
              <w:rPr>
                <w:rFonts w:hint="eastAsia" w:ascii="宋体" w:hAnsi="宋体" w:cs="宋体"/>
                <w:color w:val="auto"/>
                <w:kern w:val="0"/>
                <w:sz w:val="22"/>
                <w:szCs w:val="22"/>
              </w:rPr>
              <w:t>34</w:t>
            </w:r>
          </w:p>
        </w:tc>
        <w:tc>
          <w:tcPr>
            <w:tcW w:w="703" w:type="pct"/>
            <w:tcBorders>
              <w:top w:val="nil"/>
              <w:left w:val="nil"/>
              <w:bottom w:val="single" w:color="000000" w:sz="8" w:space="0"/>
              <w:right w:val="single" w:color="000000" w:sz="8" w:space="0"/>
            </w:tcBorders>
            <w:shd w:val="clear" w:color="auto" w:fill="auto"/>
            <w:vAlign w:val="center"/>
          </w:tcPr>
          <w:p w14:paraId="521E3A52">
            <w:pPr>
              <w:jc w:val="center"/>
              <w:textAlignment w:val="center"/>
              <w:rPr>
                <w:rFonts w:ascii="宋体" w:hAnsi="宋体" w:cs="宋体"/>
                <w:color w:val="auto"/>
                <w:sz w:val="20"/>
                <w:szCs w:val="20"/>
              </w:rPr>
            </w:pPr>
            <w:r>
              <w:rPr>
                <w:rStyle w:val="45"/>
                <w:rFonts w:hint="default"/>
                <w:color w:val="auto"/>
              </w:rPr>
              <w:t>茶山岗加工点</w:t>
            </w:r>
          </w:p>
        </w:tc>
        <w:tc>
          <w:tcPr>
            <w:tcW w:w="436" w:type="pct"/>
            <w:tcBorders>
              <w:top w:val="nil"/>
              <w:left w:val="nil"/>
              <w:bottom w:val="single" w:color="000000" w:sz="8" w:space="0"/>
              <w:right w:val="single" w:color="000000" w:sz="8" w:space="0"/>
            </w:tcBorders>
            <w:shd w:val="clear" w:color="auto" w:fill="auto"/>
            <w:vAlign w:val="center"/>
          </w:tcPr>
          <w:p w14:paraId="19D027A5">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6AB65F9F">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223A9C7F">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4C671F59">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34041F4A">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7D303E09">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3C2FDBD0">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7E88EFF4">
            <w:pPr>
              <w:jc w:val="center"/>
              <w:textAlignment w:val="center"/>
              <w:rPr>
                <w:rFonts w:ascii="宋体" w:hAnsi="宋体" w:cs="宋体"/>
                <w:color w:val="auto"/>
                <w:sz w:val="20"/>
                <w:szCs w:val="20"/>
              </w:rPr>
            </w:pPr>
            <w:r>
              <w:rPr>
                <w:rStyle w:val="45"/>
                <w:rFonts w:hint="default"/>
                <w:color w:val="auto"/>
              </w:rPr>
              <w:t>高大门</w:t>
            </w:r>
          </w:p>
        </w:tc>
        <w:tc>
          <w:tcPr>
            <w:tcW w:w="441" w:type="pct"/>
            <w:vMerge w:val="continue"/>
            <w:tcBorders>
              <w:top w:val="nil"/>
              <w:left w:val="nil"/>
              <w:bottom w:val="single" w:color="000000" w:sz="8" w:space="0"/>
              <w:right w:val="single" w:color="000000" w:sz="8" w:space="0"/>
            </w:tcBorders>
            <w:shd w:val="clear" w:color="auto" w:fill="auto"/>
            <w:vAlign w:val="center"/>
          </w:tcPr>
          <w:p w14:paraId="1135EC77">
            <w:pPr>
              <w:jc w:val="center"/>
              <w:rPr>
                <w:rFonts w:ascii="宋体" w:hAnsi="宋体" w:cs="宋体"/>
                <w:color w:val="auto"/>
                <w:sz w:val="20"/>
                <w:szCs w:val="20"/>
              </w:rPr>
            </w:pPr>
          </w:p>
        </w:tc>
      </w:tr>
      <w:tr w14:paraId="20328822">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290B8230">
            <w:pPr>
              <w:jc w:val="center"/>
              <w:textAlignment w:val="center"/>
              <w:rPr>
                <w:rFonts w:ascii="宋体" w:hAnsi="宋体" w:cs="宋体"/>
                <w:color w:val="auto"/>
                <w:sz w:val="22"/>
                <w:szCs w:val="22"/>
              </w:rPr>
            </w:pPr>
            <w:r>
              <w:rPr>
                <w:rFonts w:hint="eastAsia" w:ascii="宋体" w:hAnsi="宋体" w:cs="宋体"/>
                <w:color w:val="auto"/>
                <w:kern w:val="0"/>
                <w:sz w:val="22"/>
                <w:szCs w:val="22"/>
              </w:rPr>
              <w:t>35</w:t>
            </w:r>
          </w:p>
        </w:tc>
        <w:tc>
          <w:tcPr>
            <w:tcW w:w="703" w:type="pct"/>
            <w:tcBorders>
              <w:top w:val="nil"/>
              <w:left w:val="nil"/>
              <w:bottom w:val="single" w:color="000000" w:sz="8" w:space="0"/>
              <w:right w:val="single" w:color="000000" w:sz="8" w:space="0"/>
            </w:tcBorders>
            <w:shd w:val="clear" w:color="auto" w:fill="auto"/>
            <w:vAlign w:val="center"/>
          </w:tcPr>
          <w:p w14:paraId="68882919">
            <w:pPr>
              <w:jc w:val="center"/>
              <w:textAlignment w:val="center"/>
              <w:rPr>
                <w:rFonts w:ascii="宋体" w:hAnsi="宋体" w:cs="宋体"/>
                <w:color w:val="auto"/>
                <w:sz w:val="20"/>
                <w:szCs w:val="20"/>
              </w:rPr>
            </w:pPr>
            <w:r>
              <w:rPr>
                <w:rStyle w:val="45"/>
                <w:rFonts w:hint="default"/>
                <w:color w:val="auto"/>
              </w:rPr>
              <w:t>双竹社加工点</w:t>
            </w:r>
          </w:p>
        </w:tc>
        <w:tc>
          <w:tcPr>
            <w:tcW w:w="436" w:type="pct"/>
            <w:tcBorders>
              <w:top w:val="nil"/>
              <w:left w:val="nil"/>
              <w:bottom w:val="single" w:color="000000" w:sz="8" w:space="0"/>
              <w:right w:val="single" w:color="000000" w:sz="8" w:space="0"/>
            </w:tcBorders>
            <w:shd w:val="clear" w:color="auto" w:fill="auto"/>
            <w:vAlign w:val="center"/>
          </w:tcPr>
          <w:p w14:paraId="4D2D022A">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49FD37DA">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6557F95C">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7BD4E427">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4FFF4C58">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4A04CCEC">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279D8952">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0B8EE78F">
            <w:pPr>
              <w:jc w:val="center"/>
              <w:textAlignment w:val="center"/>
              <w:rPr>
                <w:rFonts w:ascii="宋体" w:hAnsi="宋体" w:cs="宋体"/>
                <w:color w:val="auto"/>
                <w:sz w:val="20"/>
                <w:szCs w:val="20"/>
              </w:rPr>
            </w:pPr>
            <w:r>
              <w:rPr>
                <w:rStyle w:val="45"/>
                <w:rFonts w:hint="default"/>
                <w:color w:val="auto"/>
              </w:rPr>
              <w:t>龙竹村</w:t>
            </w:r>
          </w:p>
        </w:tc>
        <w:tc>
          <w:tcPr>
            <w:tcW w:w="441" w:type="pct"/>
            <w:vMerge w:val="continue"/>
            <w:tcBorders>
              <w:top w:val="nil"/>
              <w:left w:val="nil"/>
              <w:bottom w:val="single" w:color="000000" w:sz="8" w:space="0"/>
              <w:right w:val="single" w:color="000000" w:sz="8" w:space="0"/>
            </w:tcBorders>
            <w:shd w:val="clear" w:color="auto" w:fill="auto"/>
            <w:vAlign w:val="center"/>
          </w:tcPr>
          <w:p w14:paraId="306DDFEC">
            <w:pPr>
              <w:jc w:val="center"/>
              <w:rPr>
                <w:rFonts w:ascii="宋体" w:hAnsi="宋体" w:cs="宋体"/>
                <w:color w:val="auto"/>
                <w:sz w:val="20"/>
                <w:szCs w:val="20"/>
              </w:rPr>
            </w:pPr>
          </w:p>
        </w:tc>
      </w:tr>
      <w:tr w14:paraId="340A5698">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088E7B23">
            <w:pPr>
              <w:jc w:val="center"/>
              <w:textAlignment w:val="center"/>
              <w:rPr>
                <w:rFonts w:ascii="宋体" w:hAnsi="宋体" w:cs="宋体"/>
                <w:color w:val="auto"/>
                <w:sz w:val="22"/>
                <w:szCs w:val="22"/>
              </w:rPr>
            </w:pPr>
            <w:r>
              <w:rPr>
                <w:rFonts w:hint="eastAsia" w:ascii="宋体" w:hAnsi="宋体" w:cs="宋体"/>
                <w:color w:val="auto"/>
                <w:kern w:val="0"/>
                <w:sz w:val="22"/>
                <w:szCs w:val="22"/>
              </w:rPr>
              <w:t>36</w:t>
            </w:r>
          </w:p>
        </w:tc>
        <w:tc>
          <w:tcPr>
            <w:tcW w:w="703" w:type="pct"/>
            <w:tcBorders>
              <w:top w:val="nil"/>
              <w:left w:val="nil"/>
              <w:bottom w:val="single" w:color="000000" w:sz="8" w:space="0"/>
              <w:right w:val="single" w:color="000000" w:sz="8" w:space="0"/>
            </w:tcBorders>
            <w:shd w:val="clear" w:color="auto" w:fill="auto"/>
            <w:vAlign w:val="center"/>
          </w:tcPr>
          <w:p w14:paraId="50BDD03E">
            <w:pPr>
              <w:jc w:val="center"/>
              <w:textAlignment w:val="center"/>
              <w:rPr>
                <w:rFonts w:ascii="宋体" w:hAnsi="宋体" w:cs="宋体"/>
                <w:color w:val="auto"/>
                <w:sz w:val="20"/>
                <w:szCs w:val="20"/>
              </w:rPr>
            </w:pPr>
            <w:r>
              <w:rPr>
                <w:rStyle w:val="45"/>
                <w:rFonts w:hint="default"/>
                <w:color w:val="auto"/>
              </w:rPr>
              <w:t>张湾社硬窑后加工点</w:t>
            </w:r>
          </w:p>
        </w:tc>
        <w:tc>
          <w:tcPr>
            <w:tcW w:w="436" w:type="pct"/>
            <w:tcBorders>
              <w:top w:val="nil"/>
              <w:left w:val="nil"/>
              <w:bottom w:val="single" w:color="000000" w:sz="8" w:space="0"/>
              <w:right w:val="single" w:color="000000" w:sz="8" w:space="0"/>
            </w:tcBorders>
            <w:shd w:val="clear" w:color="auto" w:fill="auto"/>
            <w:vAlign w:val="center"/>
          </w:tcPr>
          <w:p w14:paraId="3F4D5F5F">
            <w:pPr>
              <w:jc w:val="center"/>
              <w:textAlignment w:val="center"/>
              <w:rPr>
                <w:rFonts w:ascii="宋体" w:hAnsi="宋体" w:cs="宋体"/>
                <w:color w:val="auto"/>
                <w:sz w:val="20"/>
                <w:szCs w:val="20"/>
              </w:rPr>
            </w:pPr>
            <w:r>
              <w:rPr>
                <w:rFonts w:hint="eastAsia" w:ascii="宋体" w:hAnsi="宋体" w:cs="宋体"/>
                <w:color w:val="auto"/>
                <w:kern w:val="0"/>
                <w:sz w:val="20"/>
                <w:szCs w:val="20"/>
              </w:rPr>
              <w:t>14</w:t>
            </w:r>
          </w:p>
        </w:tc>
        <w:tc>
          <w:tcPr>
            <w:tcW w:w="435" w:type="pct"/>
            <w:tcBorders>
              <w:top w:val="nil"/>
              <w:left w:val="nil"/>
              <w:bottom w:val="single" w:color="000000" w:sz="8" w:space="0"/>
              <w:right w:val="single" w:color="000000" w:sz="8" w:space="0"/>
            </w:tcBorders>
            <w:shd w:val="clear" w:color="auto" w:fill="auto"/>
            <w:vAlign w:val="center"/>
          </w:tcPr>
          <w:p w14:paraId="22E7179D">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74D72B9E">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5C0490F6">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23453FF9">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3E280036">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3A1D5443">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16C113E2">
            <w:pPr>
              <w:jc w:val="center"/>
              <w:textAlignment w:val="center"/>
              <w:rPr>
                <w:rFonts w:ascii="宋体" w:hAnsi="宋体" w:cs="宋体"/>
                <w:color w:val="auto"/>
                <w:sz w:val="20"/>
                <w:szCs w:val="20"/>
              </w:rPr>
            </w:pPr>
            <w:r>
              <w:rPr>
                <w:rStyle w:val="45"/>
                <w:rFonts w:hint="default"/>
                <w:color w:val="auto"/>
              </w:rPr>
              <w:t>双溪口村</w:t>
            </w:r>
          </w:p>
        </w:tc>
        <w:tc>
          <w:tcPr>
            <w:tcW w:w="441" w:type="pct"/>
            <w:vMerge w:val="continue"/>
            <w:tcBorders>
              <w:top w:val="nil"/>
              <w:left w:val="nil"/>
              <w:bottom w:val="single" w:color="000000" w:sz="8" w:space="0"/>
              <w:right w:val="single" w:color="000000" w:sz="8" w:space="0"/>
            </w:tcBorders>
            <w:shd w:val="clear" w:color="auto" w:fill="auto"/>
            <w:vAlign w:val="center"/>
          </w:tcPr>
          <w:p w14:paraId="79F77F49">
            <w:pPr>
              <w:jc w:val="center"/>
              <w:rPr>
                <w:rFonts w:ascii="宋体" w:hAnsi="宋体" w:cs="宋体"/>
                <w:color w:val="auto"/>
                <w:sz w:val="20"/>
                <w:szCs w:val="20"/>
              </w:rPr>
            </w:pPr>
          </w:p>
        </w:tc>
      </w:tr>
      <w:tr w14:paraId="4FF0655A">
        <w:tblPrEx>
          <w:tblCellMar>
            <w:top w:w="0" w:type="dxa"/>
            <w:left w:w="108" w:type="dxa"/>
            <w:bottom w:w="0" w:type="dxa"/>
            <w:right w:w="108" w:type="dxa"/>
          </w:tblCellMar>
        </w:tblPrEx>
        <w:trPr>
          <w:trHeight w:val="73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29501DA">
            <w:pPr>
              <w:jc w:val="center"/>
              <w:textAlignment w:val="center"/>
              <w:rPr>
                <w:rFonts w:ascii="宋体" w:hAnsi="宋体" w:cs="宋体"/>
                <w:color w:val="auto"/>
                <w:sz w:val="22"/>
                <w:szCs w:val="22"/>
              </w:rPr>
            </w:pPr>
            <w:r>
              <w:rPr>
                <w:rFonts w:hint="eastAsia" w:ascii="宋体" w:hAnsi="宋体" w:cs="宋体"/>
                <w:color w:val="auto"/>
                <w:kern w:val="0"/>
                <w:sz w:val="22"/>
                <w:szCs w:val="22"/>
              </w:rPr>
              <w:t>37</w:t>
            </w:r>
          </w:p>
        </w:tc>
        <w:tc>
          <w:tcPr>
            <w:tcW w:w="703" w:type="pct"/>
            <w:tcBorders>
              <w:top w:val="nil"/>
              <w:left w:val="nil"/>
              <w:bottom w:val="single" w:color="000000" w:sz="8" w:space="0"/>
              <w:right w:val="single" w:color="000000" w:sz="8" w:space="0"/>
            </w:tcBorders>
            <w:shd w:val="clear" w:color="auto" w:fill="auto"/>
            <w:vAlign w:val="center"/>
          </w:tcPr>
          <w:p w14:paraId="3953B85E">
            <w:pPr>
              <w:jc w:val="center"/>
              <w:textAlignment w:val="center"/>
              <w:rPr>
                <w:rFonts w:ascii="宋体" w:hAnsi="宋体" w:cs="宋体"/>
                <w:color w:val="auto"/>
                <w:sz w:val="20"/>
                <w:szCs w:val="20"/>
              </w:rPr>
            </w:pPr>
            <w:r>
              <w:rPr>
                <w:rStyle w:val="45"/>
                <w:rFonts w:hint="default"/>
                <w:color w:val="auto"/>
              </w:rPr>
              <w:t>埠头岙 瀑云毛巾厂对面吴公村内</w:t>
            </w:r>
          </w:p>
        </w:tc>
        <w:tc>
          <w:tcPr>
            <w:tcW w:w="436" w:type="pct"/>
            <w:tcBorders>
              <w:top w:val="nil"/>
              <w:left w:val="nil"/>
              <w:bottom w:val="single" w:color="000000" w:sz="8" w:space="0"/>
              <w:right w:val="single" w:color="000000" w:sz="8" w:space="0"/>
            </w:tcBorders>
            <w:shd w:val="clear" w:color="auto" w:fill="auto"/>
            <w:vAlign w:val="center"/>
          </w:tcPr>
          <w:p w14:paraId="5613CD87">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04BACFAE">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6A695427">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1F9EA0D5">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32293009">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5EF5B930">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06A195F9">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1030DAAD">
            <w:pPr>
              <w:jc w:val="center"/>
              <w:textAlignment w:val="center"/>
              <w:rPr>
                <w:rFonts w:ascii="宋体" w:hAnsi="宋体" w:cs="宋体"/>
                <w:color w:val="auto"/>
                <w:sz w:val="20"/>
                <w:szCs w:val="20"/>
              </w:rPr>
            </w:pPr>
            <w:r>
              <w:rPr>
                <w:rStyle w:val="45"/>
                <w:rFonts w:hint="default"/>
                <w:color w:val="auto"/>
              </w:rPr>
              <w:t>吴公村</w:t>
            </w:r>
          </w:p>
        </w:tc>
        <w:tc>
          <w:tcPr>
            <w:tcW w:w="441" w:type="pct"/>
            <w:vMerge w:val="continue"/>
            <w:tcBorders>
              <w:top w:val="nil"/>
              <w:left w:val="nil"/>
              <w:bottom w:val="single" w:color="000000" w:sz="8" w:space="0"/>
              <w:right w:val="single" w:color="000000" w:sz="8" w:space="0"/>
            </w:tcBorders>
            <w:shd w:val="clear" w:color="auto" w:fill="auto"/>
            <w:vAlign w:val="center"/>
          </w:tcPr>
          <w:p w14:paraId="7CE0DE02">
            <w:pPr>
              <w:jc w:val="center"/>
              <w:rPr>
                <w:rFonts w:ascii="宋体" w:hAnsi="宋体" w:cs="宋体"/>
                <w:color w:val="auto"/>
                <w:sz w:val="20"/>
                <w:szCs w:val="20"/>
              </w:rPr>
            </w:pPr>
          </w:p>
        </w:tc>
      </w:tr>
      <w:tr w14:paraId="0EB0BE56">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72428CE5">
            <w:pPr>
              <w:jc w:val="center"/>
              <w:textAlignment w:val="center"/>
              <w:rPr>
                <w:rFonts w:ascii="宋体" w:hAnsi="宋体" w:cs="宋体"/>
                <w:color w:val="auto"/>
                <w:sz w:val="22"/>
                <w:szCs w:val="22"/>
              </w:rPr>
            </w:pPr>
            <w:r>
              <w:rPr>
                <w:rFonts w:hint="eastAsia" w:ascii="宋体" w:hAnsi="宋体" w:cs="宋体"/>
                <w:color w:val="auto"/>
                <w:kern w:val="0"/>
                <w:sz w:val="22"/>
                <w:szCs w:val="22"/>
              </w:rPr>
              <w:t>38</w:t>
            </w:r>
          </w:p>
        </w:tc>
        <w:tc>
          <w:tcPr>
            <w:tcW w:w="703" w:type="pct"/>
            <w:tcBorders>
              <w:top w:val="nil"/>
              <w:left w:val="nil"/>
              <w:bottom w:val="single" w:color="000000" w:sz="8" w:space="0"/>
              <w:right w:val="single" w:color="000000" w:sz="8" w:space="0"/>
            </w:tcBorders>
            <w:shd w:val="clear" w:color="auto" w:fill="auto"/>
            <w:vAlign w:val="center"/>
          </w:tcPr>
          <w:p w14:paraId="07B63283">
            <w:pPr>
              <w:jc w:val="center"/>
              <w:textAlignment w:val="center"/>
              <w:rPr>
                <w:rFonts w:ascii="宋体" w:hAnsi="宋体" w:cs="宋体"/>
                <w:color w:val="auto"/>
                <w:sz w:val="20"/>
                <w:szCs w:val="20"/>
              </w:rPr>
            </w:pPr>
            <w:r>
              <w:rPr>
                <w:rStyle w:val="45"/>
                <w:rFonts w:hint="default"/>
                <w:color w:val="auto"/>
              </w:rPr>
              <w:t>野窖加工点</w:t>
            </w:r>
          </w:p>
        </w:tc>
        <w:tc>
          <w:tcPr>
            <w:tcW w:w="436" w:type="pct"/>
            <w:tcBorders>
              <w:top w:val="nil"/>
              <w:left w:val="nil"/>
              <w:bottom w:val="single" w:color="000000" w:sz="8" w:space="0"/>
              <w:right w:val="single" w:color="000000" w:sz="8" w:space="0"/>
            </w:tcBorders>
            <w:shd w:val="clear" w:color="auto" w:fill="auto"/>
            <w:vAlign w:val="center"/>
          </w:tcPr>
          <w:p w14:paraId="02251916">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272DB1A4">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4AC7C06C">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116039E9">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47875403">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6CA11CCB">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4D5AC3D1">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124116A6">
            <w:pPr>
              <w:jc w:val="center"/>
              <w:textAlignment w:val="center"/>
              <w:rPr>
                <w:rFonts w:ascii="宋体" w:hAnsi="宋体" w:cs="宋体"/>
                <w:color w:val="auto"/>
                <w:sz w:val="20"/>
                <w:szCs w:val="20"/>
              </w:rPr>
            </w:pPr>
            <w:r>
              <w:rPr>
                <w:rStyle w:val="45"/>
                <w:rFonts w:hint="default"/>
                <w:color w:val="auto"/>
              </w:rPr>
              <w:t>野窖村</w:t>
            </w:r>
          </w:p>
        </w:tc>
        <w:tc>
          <w:tcPr>
            <w:tcW w:w="441" w:type="pct"/>
            <w:vMerge w:val="continue"/>
            <w:tcBorders>
              <w:top w:val="nil"/>
              <w:left w:val="nil"/>
              <w:bottom w:val="single" w:color="000000" w:sz="8" w:space="0"/>
              <w:right w:val="single" w:color="000000" w:sz="8" w:space="0"/>
            </w:tcBorders>
            <w:shd w:val="clear" w:color="auto" w:fill="auto"/>
            <w:vAlign w:val="center"/>
          </w:tcPr>
          <w:p w14:paraId="66DC7DA5">
            <w:pPr>
              <w:jc w:val="center"/>
              <w:rPr>
                <w:rFonts w:ascii="宋体" w:hAnsi="宋体" w:cs="宋体"/>
                <w:color w:val="auto"/>
                <w:sz w:val="20"/>
                <w:szCs w:val="20"/>
              </w:rPr>
            </w:pPr>
          </w:p>
        </w:tc>
      </w:tr>
      <w:tr w14:paraId="4E18CC03">
        <w:tblPrEx>
          <w:tblCellMar>
            <w:top w:w="0" w:type="dxa"/>
            <w:left w:w="108" w:type="dxa"/>
            <w:bottom w:w="0" w:type="dxa"/>
            <w:right w:w="108" w:type="dxa"/>
          </w:tblCellMar>
        </w:tblPrEx>
        <w:trPr>
          <w:trHeight w:val="28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2678AC0B">
            <w:pPr>
              <w:jc w:val="center"/>
              <w:textAlignment w:val="center"/>
              <w:rPr>
                <w:rFonts w:ascii="宋体" w:hAnsi="宋体" w:cs="宋体"/>
                <w:color w:val="auto"/>
                <w:sz w:val="22"/>
                <w:szCs w:val="22"/>
              </w:rPr>
            </w:pPr>
            <w:r>
              <w:rPr>
                <w:rFonts w:hint="eastAsia" w:ascii="宋体" w:hAnsi="宋体" w:cs="宋体"/>
                <w:color w:val="auto"/>
                <w:kern w:val="0"/>
                <w:sz w:val="22"/>
                <w:szCs w:val="22"/>
              </w:rPr>
              <w:t>39</w:t>
            </w:r>
          </w:p>
        </w:tc>
        <w:tc>
          <w:tcPr>
            <w:tcW w:w="703" w:type="pct"/>
            <w:tcBorders>
              <w:top w:val="nil"/>
              <w:left w:val="nil"/>
              <w:bottom w:val="single" w:color="000000" w:sz="8" w:space="0"/>
              <w:right w:val="single" w:color="000000" w:sz="8" w:space="0"/>
            </w:tcBorders>
            <w:shd w:val="clear" w:color="auto" w:fill="auto"/>
            <w:vAlign w:val="center"/>
          </w:tcPr>
          <w:p w14:paraId="78218722">
            <w:pPr>
              <w:jc w:val="center"/>
              <w:textAlignment w:val="center"/>
              <w:rPr>
                <w:rFonts w:ascii="宋体" w:hAnsi="宋体" w:cs="宋体"/>
                <w:color w:val="auto"/>
                <w:sz w:val="20"/>
                <w:szCs w:val="20"/>
              </w:rPr>
            </w:pPr>
            <w:r>
              <w:rPr>
                <w:rStyle w:val="45"/>
                <w:rFonts w:hint="default"/>
                <w:color w:val="auto"/>
              </w:rPr>
              <w:t>木西丘加工点</w:t>
            </w:r>
          </w:p>
        </w:tc>
        <w:tc>
          <w:tcPr>
            <w:tcW w:w="436" w:type="pct"/>
            <w:tcBorders>
              <w:top w:val="nil"/>
              <w:left w:val="nil"/>
              <w:bottom w:val="single" w:color="000000" w:sz="8" w:space="0"/>
              <w:right w:val="single" w:color="000000" w:sz="8" w:space="0"/>
            </w:tcBorders>
            <w:shd w:val="clear" w:color="auto" w:fill="auto"/>
            <w:vAlign w:val="center"/>
          </w:tcPr>
          <w:p w14:paraId="30BF1BC9">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4C918AB8">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0194CEB5">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45C6C654">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0816F3A5">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31FFF820">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20BC313B">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4834E031">
            <w:pPr>
              <w:jc w:val="center"/>
              <w:textAlignment w:val="center"/>
              <w:rPr>
                <w:rFonts w:ascii="宋体" w:hAnsi="宋体" w:cs="宋体"/>
                <w:color w:val="auto"/>
                <w:sz w:val="20"/>
                <w:szCs w:val="20"/>
              </w:rPr>
            </w:pPr>
            <w:r>
              <w:rPr>
                <w:rStyle w:val="45"/>
                <w:rFonts w:hint="default"/>
                <w:color w:val="auto"/>
              </w:rPr>
              <w:t>枫锦村</w:t>
            </w:r>
          </w:p>
        </w:tc>
        <w:tc>
          <w:tcPr>
            <w:tcW w:w="441" w:type="pct"/>
            <w:vMerge w:val="continue"/>
            <w:tcBorders>
              <w:top w:val="nil"/>
              <w:left w:val="nil"/>
              <w:bottom w:val="single" w:color="000000" w:sz="8" w:space="0"/>
              <w:right w:val="single" w:color="000000" w:sz="8" w:space="0"/>
            </w:tcBorders>
            <w:shd w:val="clear" w:color="auto" w:fill="auto"/>
            <w:vAlign w:val="center"/>
          </w:tcPr>
          <w:p w14:paraId="0FF50B94">
            <w:pPr>
              <w:jc w:val="center"/>
              <w:rPr>
                <w:rFonts w:ascii="宋体" w:hAnsi="宋体" w:cs="宋体"/>
                <w:color w:val="auto"/>
                <w:sz w:val="20"/>
                <w:szCs w:val="20"/>
              </w:rPr>
            </w:pPr>
          </w:p>
        </w:tc>
      </w:tr>
      <w:tr w14:paraId="576AAE62">
        <w:tblPrEx>
          <w:tblCellMar>
            <w:top w:w="0" w:type="dxa"/>
            <w:left w:w="108" w:type="dxa"/>
            <w:bottom w:w="0" w:type="dxa"/>
            <w:right w:w="108" w:type="dxa"/>
          </w:tblCellMar>
        </w:tblPrEx>
        <w:trPr>
          <w:trHeight w:val="270" w:hRule="atLeast"/>
        </w:trPr>
        <w:tc>
          <w:tcPr>
            <w:tcW w:w="5000" w:type="pct"/>
            <w:gridSpan w:val="11"/>
            <w:tcBorders>
              <w:top w:val="nil"/>
              <w:left w:val="single" w:color="000000" w:sz="8" w:space="0"/>
              <w:bottom w:val="single" w:color="000000" w:sz="8" w:space="0"/>
              <w:right w:val="single" w:color="000000" w:sz="8" w:space="0"/>
            </w:tcBorders>
            <w:shd w:val="clear" w:color="auto" w:fill="D7D7D7"/>
            <w:vAlign w:val="center"/>
          </w:tcPr>
          <w:p w14:paraId="5D5F218C">
            <w:pPr>
              <w:jc w:val="center"/>
              <w:rPr>
                <w:rFonts w:ascii="宋体" w:hAnsi="宋体" w:cs="宋体"/>
                <w:color w:val="auto"/>
                <w:sz w:val="20"/>
                <w:szCs w:val="20"/>
              </w:rPr>
            </w:pPr>
          </w:p>
        </w:tc>
      </w:tr>
      <w:tr w14:paraId="5DCCFEA1">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1E58C5C8">
            <w:pPr>
              <w:jc w:val="center"/>
              <w:textAlignment w:val="center"/>
              <w:rPr>
                <w:rFonts w:ascii="宋体" w:hAnsi="宋体" w:cs="宋体"/>
                <w:color w:val="auto"/>
                <w:sz w:val="22"/>
                <w:szCs w:val="22"/>
              </w:rPr>
            </w:pPr>
            <w:r>
              <w:rPr>
                <w:rFonts w:hint="eastAsia" w:ascii="宋体" w:hAnsi="宋体" w:cs="宋体"/>
                <w:color w:val="auto"/>
                <w:kern w:val="0"/>
                <w:sz w:val="22"/>
                <w:szCs w:val="22"/>
              </w:rPr>
              <w:t>40</w:t>
            </w:r>
          </w:p>
        </w:tc>
        <w:tc>
          <w:tcPr>
            <w:tcW w:w="703" w:type="pct"/>
            <w:tcBorders>
              <w:top w:val="nil"/>
              <w:left w:val="nil"/>
              <w:bottom w:val="single" w:color="000000" w:sz="8" w:space="0"/>
              <w:right w:val="single" w:color="000000" w:sz="8" w:space="0"/>
            </w:tcBorders>
            <w:shd w:val="clear" w:color="auto" w:fill="auto"/>
            <w:vAlign w:val="center"/>
          </w:tcPr>
          <w:p w14:paraId="1B30B953">
            <w:pPr>
              <w:jc w:val="center"/>
              <w:textAlignment w:val="center"/>
              <w:rPr>
                <w:rFonts w:ascii="宋体" w:hAnsi="宋体" w:cs="宋体"/>
                <w:color w:val="auto"/>
                <w:sz w:val="20"/>
                <w:szCs w:val="20"/>
              </w:rPr>
            </w:pPr>
            <w:r>
              <w:rPr>
                <w:rStyle w:val="44"/>
                <w:rFonts w:hint="default"/>
                <w:color w:val="auto"/>
              </w:rPr>
              <w:t>金塘自然村加工点</w:t>
            </w:r>
          </w:p>
        </w:tc>
        <w:tc>
          <w:tcPr>
            <w:tcW w:w="436" w:type="pct"/>
            <w:tcBorders>
              <w:top w:val="nil"/>
              <w:left w:val="nil"/>
              <w:bottom w:val="single" w:color="000000" w:sz="8" w:space="0"/>
              <w:right w:val="single" w:color="000000" w:sz="8" w:space="0"/>
            </w:tcBorders>
            <w:shd w:val="clear" w:color="auto" w:fill="auto"/>
            <w:vAlign w:val="center"/>
          </w:tcPr>
          <w:p w14:paraId="22617DDF">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6F3D9D1E">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79AB0310">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1BC91E80">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1A7D67F4">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36EA2E78">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6477C2BD">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1DEBA0B7">
            <w:pPr>
              <w:jc w:val="center"/>
              <w:textAlignment w:val="center"/>
              <w:rPr>
                <w:rFonts w:ascii="宋体" w:hAnsi="宋体" w:cs="宋体"/>
                <w:color w:val="auto"/>
                <w:sz w:val="20"/>
                <w:szCs w:val="20"/>
              </w:rPr>
            </w:pPr>
            <w:r>
              <w:rPr>
                <w:rStyle w:val="44"/>
                <w:rFonts w:hint="default"/>
                <w:color w:val="auto"/>
              </w:rPr>
              <w:t>岱岭村</w:t>
            </w:r>
          </w:p>
        </w:tc>
        <w:tc>
          <w:tcPr>
            <w:tcW w:w="441" w:type="pct"/>
            <w:vMerge w:val="restart"/>
            <w:tcBorders>
              <w:top w:val="nil"/>
              <w:left w:val="nil"/>
              <w:bottom w:val="single" w:color="000000" w:sz="8" w:space="0"/>
              <w:right w:val="single" w:color="000000" w:sz="8" w:space="0"/>
            </w:tcBorders>
            <w:shd w:val="clear" w:color="auto" w:fill="auto"/>
            <w:vAlign w:val="center"/>
          </w:tcPr>
          <w:p w14:paraId="47411D9E">
            <w:pPr>
              <w:jc w:val="center"/>
              <w:textAlignment w:val="center"/>
              <w:rPr>
                <w:rFonts w:ascii="宋体" w:hAnsi="宋体" w:cs="宋体"/>
                <w:color w:val="auto"/>
                <w:sz w:val="20"/>
                <w:szCs w:val="20"/>
              </w:rPr>
            </w:pPr>
            <w:r>
              <w:rPr>
                <w:rStyle w:val="44"/>
                <w:rFonts w:hint="default"/>
                <w:color w:val="auto"/>
              </w:rPr>
              <w:t>岩樟乡</w:t>
            </w:r>
          </w:p>
        </w:tc>
      </w:tr>
      <w:tr w14:paraId="1E196E46">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83B0D1F">
            <w:pPr>
              <w:jc w:val="center"/>
              <w:textAlignment w:val="center"/>
              <w:rPr>
                <w:rFonts w:ascii="宋体" w:hAnsi="宋体" w:cs="宋体"/>
                <w:color w:val="auto"/>
                <w:sz w:val="22"/>
                <w:szCs w:val="22"/>
              </w:rPr>
            </w:pPr>
            <w:r>
              <w:rPr>
                <w:rFonts w:hint="eastAsia" w:ascii="宋体" w:hAnsi="宋体" w:cs="宋体"/>
                <w:color w:val="auto"/>
                <w:kern w:val="0"/>
                <w:sz w:val="22"/>
                <w:szCs w:val="22"/>
              </w:rPr>
              <w:t>41</w:t>
            </w:r>
          </w:p>
        </w:tc>
        <w:tc>
          <w:tcPr>
            <w:tcW w:w="703" w:type="pct"/>
            <w:tcBorders>
              <w:top w:val="nil"/>
              <w:left w:val="nil"/>
              <w:bottom w:val="single" w:color="000000" w:sz="8" w:space="0"/>
              <w:right w:val="single" w:color="000000" w:sz="8" w:space="0"/>
            </w:tcBorders>
            <w:shd w:val="clear" w:color="auto" w:fill="auto"/>
            <w:vAlign w:val="center"/>
          </w:tcPr>
          <w:p w14:paraId="0057E8A4">
            <w:pPr>
              <w:jc w:val="center"/>
              <w:textAlignment w:val="center"/>
              <w:rPr>
                <w:rFonts w:ascii="宋体" w:hAnsi="宋体" w:cs="宋体"/>
                <w:color w:val="auto"/>
                <w:sz w:val="20"/>
                <w:szCs w:val="20"/>
              </w:rPr>
            </w:pPr>
            <w:r>
              <w:rPr>
                <w:rStyle w:val="44"/>
                <w:rFonts w:hint="default"/>
                <w:color w:val="auto"/>
              </w:rPr>
              <w:t>绿坑自然村加工点</w:t>
            </w:r>
          </w:p>
        </w:tc>
        <w:tc>
          <w:tcPr>
            <w:tcW w:w="436" w:type="pct"/>
            <w:tcBorders>
              <w:top w:val="nil"/>
              <w:left w:val="nil"/>
              <w:bottom w:val="single" w:color="000000" w:sz="8" w:space="0"/>
              <w:right w:val="single" w:color="000000" w:sz="8" w:space="0"/>
            </w:tcBorders>
            <w:shd w:val="clear" w:color="auto" w:fill="auto"/>
            <w:vAlign w:val="center"/>
          </w:tcPr>
          <w:p w14:paraId="77F51F53">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1BF365D5">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662C1B6F">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6E575302">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1C444101">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3FDCA053">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145CDE00">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6A83F1CE">
            <w:pPr>
              <w:jc w:val="center"/>
              <w:textAlignment w:val="center"/>
              <w:rPr>
                <w:rFonts w:ascii="宋体" w:hAnsi="宋体" w:cs="宋体"/>
                <w:color w:val="auto"/>
                <w:sz w:val="20"/>
                <w:szCs w:val="20"/>
              </w:rPr>
            </w:pPr>
            <w:r>
              <w:rPr>
                <w:rStyle w:val="44"/>
                <w:rFonts w:hint="default"/>
                <w:color w:val="auto"/>
              </w:rPr>
              <w:t>岱岭村</w:t>
            </w:r>
          </w:p>
        </w:tc>
        <w:tc>
          <w:tcPr>
            <w:tcW w:w="441" w:type="pct"/>
            <w:vMerge w:val="continue"/>
            <w:tcBorders>
              <w:top w:val="nil"/>
              <w:left w:val="nil"/>
              <w:bottom w:val="single" w:color="000000" w:sz="8" w:space="0"/>
              <w:right w:val="single" w:color="000000" w:sz="8" w:space="0"/>
            </w:tcBorders>
            <w:shd w:val="clear" w:color="auto" w:fill="auto"/>
            <w:vAlign w:val="center"/>
          </w:tcPr>
          <w:p w14:paraId="3188EFD8">
            <w:pPr>
              <w:jc w:val="center"/>
              <w:rPr>
                <w:rFonts w:ascii="宋体" w:hAnsi="宋体" w:cs="宋体"/>
                <w:color w:val="auto"/>
                <w:sz w:val="20"/>
                <w:szCs w:val="20"/>
              </w:rPr>
            </w:pPr>
          </w:p>
        </w:tc>
      </w:tr>
      <w:tr w14:paraId="6828663A">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5124D57F">
            <w:pPr>
              <w:jc w:val="center"/>
              <w:textAlignment w:val="center"/>
              <w:rPr>
                <w:rFonts w:ascii="宋体" w:hAnsi="宋体" w:cs="宋体"/>
                <w:color w:val="auto"/>
                <w:sz w:val="22"/>
                <w:szCs w:val="22"/>
              </w:rPr>
            </w:pPr>
            <w:r>
              <w:rPr>
                <w:rFonts w:hint="eastAsia" w:ascii="宋体" w:hAnsi="宋体" w:cs="宋体"/>
                <w:color w:val="auto"/>
                <w:kern w:val="0"/>
                <w:sz w:val="22"/>
                <w:szCs w:val="22"/>
              </w:rPr>
              <w:t>42</w:t>
            </w:r>
          </w:p>
        </w:tc>
        <w:tc>
          <w:tcPr>
            <w:tcW w:w="703" w:type="pct"/>
            <w:tcBorders>
              <w:top w:val="nil"/>
              <w:left w:val="nil"/>
              <w:bottom w:val="single" w:color="000000" w:sz="8" w:space="0"/>
              <w:right w:val="single" w:color="000000" w:sz="8" w:space="0"/>
            </w:tcBorders>
            <w:shd w:val="clear" w:color="auto" w:fill="auto"/>
            <w:vAlign w:val="center"/>
          </w:tcPr>
          <w:p w14:paraId="662FB28E">
            <w:pPr>
              <w:jc w:val="center"/>
              <w:textAlignment w:val="center"/>
              <w:rPr>
                <w:rFonts w:ascii="宋体" w:hAnsi="宋体" w:cs="宋体"/>
                <w:color w:val="auto"/>
                <w:sz w:val="20"/>
                <w:szCs w:val="20"/>
              </w:rPr>
            </w:pPr>
            <w:r>
              <w:rPr>
                <w:rStyle w:val="44"/>
                <w:rFonts w:hint="default"/>
                <w:color w:val="auto"/>
              </w:rPr>
              <w:t>仓坞自然村加工点</w:t>
            </w:r>
          </w:p>
        </w:tc>
        <w:tc>
          <w:tcPr>
            <w:tcW w:w="436" w:type="pct"/>
            <w:tcBorders>
              <w:top w:val="nil"/>
              <w:left w:val="nil"/>
              <w:bottom w:val="single" w:color="000000" w:sz="8" w:space="0"/>
              <w:right w:val="single" w:color="000000" w:sz="8" w:space="0"/>
            </w:tcBorders>
            <w:shd w:val="clear" w:color="auto" w:fill="auto"/>
            <w:vAlign w:val="center"/>
          </w:tcPr>
          <w:p w14:paraId="4AC2D0F9">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3B6A2F01">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110107B1">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425046FD">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03E63883">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346F5717">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2BE0711C">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6326E97E">
            <w:pPr>
              <w:jc w:val="center"/>
              <w:textAlignment w:val="center"/>
              <w:rPr>
                <w:rFonts w:ascii="宋体" w:hAnsi="宋体" w:cs="宋体"/>
                <w:color w:val="auto"/>
                <w:sz w:val="20"/>
                <w:szCs w:val="20"/>
              </w:rPr>
            </w:pPr>
            <w:r>
              <w:rPr>
                <w:rStyle w:val="44"/>
                <w:rFonts w:hint="default"/>
                <w:color w:val="auto"/>
              </w:rPr>
              <w:t>郑庄村</w:t>
            </w:r>
          </w:p>
        </w:tc>
        <w:tc>
          <w:tcPr>
            <w:tcW w:w="441" w:type="pct"/>
            <w:vMerge w:val="continue"/>
            <w:tcBorders>
              <w:top w:val="nil"/>
              <w:left w:val="nil"/>
              <w:bottom w:val="single" w:color="000000" w:sz="8" w:space="0"/>
              <w:right w:val="single" w:color="000000" w:sz="8" w:space="0"/>
            </w:tcBorders>
            <w:shd w:val="clear" w:color="auto" w:fill="auto"/>
            <w:vAlign w:val="center"/>
          </w:tcPr>
          <w:p w14:paraId="792FE990">
            <w:pPr>
              <w:jc w:val="center"/>
              <w:rPr>
                <w:rFonts w:ascii="宋体" w:hAnsi="宋体" w:cs="宋体"/>
                <w:color w:val="auto"/>
                <w:sz w:val="20"/>
                <w:szCs w:val="20"/>
              </w:rPr>
            </w:pPr>
          </w:p>
        </w:tc>
      </w:tr>
      <w:tr w14:paraId="079650D9">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6C0408F6">
            <w:pPr>
              <w:jc w:val="center"/>
              <w:textAlignment w:val="center"/>
              <w:rPr>
                <w:rFonts w:ascii="宋体" w:hAnsi="宋体" w:cs="宋体"/>
                <w:color w:val="auto"/>
                <w:sz w:val="22"/>
                <w:szCs w:val="22"/>
              </w:rPr>
            </w:pPr>
            <w:r>
              <w:rPr>
                <w:rFonts w:hint="eastAsia" w:ascii="宋体" w:hAnsi="宋体" w:cs="宋体"/>
                <w:color w:val="auto"/>
                <w:kern w:val="0"/>
                <w:sz w:val="22"/>
                <w:szCs w:val="22"/>
              </w:rPr>
              <w:t>43</w:t>
            </w:r>
          </w:p>
        </w:tc>
        <w:tc>
          <w:tcPr>
            <w:tcW w:w="703" w:type="pct"/>
            <w:tcBorders>
              <w:top w:val="nil"/>
              <w:left w:val="nil"/>
              <w:bottom w:val="single" w:color="000000" w:sz="8" w:space="0"/>
              <w:right w:val="single" w:color="000000" w:sz="8" w:space="0"/>
            </w:tcBorders>
            <w:shd w:val="clear" w:color="auto" w:fill="auto"/>
            <w:vAlign w:val="center"/>
          </w:tcPr>
          <w:p w14:paraId="23E21DF7">
            <w:pPr>
              <w:jc w:val="center"/>
              <w:textAlignment w:val="center"/>
              <w:rPr>
                <w:rFonts w:ascii="宋体" w:hAnsi="宋体" w:cs="宋体"/>
                <w:color w:val="auto"/>
                <w:sz w:val="20"/>
                <w:szCs w:val="20"/>
              </w:rPr>
            </w:pPr>
            <w:r>
              <w:rPr>
                <w:rStyle w:val="44"/>
                <w:rFonts w:hint="default"/>
                <w:color w:val="auto"/>
              </w:rPr>
              <w:t>金元自然村加工点</w:t>
            </w:r>
          </w:p>
        </w:tc>
        <w:tc>
          <w:tcPr>
            <w:tcW w:w="436" w:type="pct"/>
            <w:tcBorders>
              <w:top w:val="nil"/>
              <w:left w:val="nil"/>
              <w:bottom w:val="single" w:color="000000" w:sz="8" w:space="0"/>
              <w:right w:val="single" w:color="000000" w:sz="8" w:space="0"/>
            </w:tcBorders>
            <w:shd w:val="clear" w:color="auto" w:fill="auto"/>
            <w:vAlign w:val="center"/>
          </w:tcPr>
          <w:p w14:paraId="79C02197">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0C865F70">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365DFFF7">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089227CC">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57EE0BC9">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2003CE46">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4A84A2AB">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5EB22C1A">
            <w:pPr>
              <w:jc w:val="center"/>
              <w:textAlignment w:val="center"/>
              <w:rPr>
                <w:rFonts w:ascii="宋体" w:hAnsi="宋体" w:cs="宋体"/>
                <w:color w:val="auto"/>
                <w:sz w:val="20"/>
                <w:szCs w:val="20"/>
              </w:rPr>
            </w:pPr>
            <w:r>
              <w:rPr>
                <w:rStyle w:val="44"/>
                <w:rFonts w:hint="default"/>
                <w:color w:val="auto"/>
              </w:rPr>
              <w:t>柳山头村</w:t>
            </w:r>
          </w:p>
        </w:tc>
        <w:tc>
          <w:tcPr>
            <w:tcW w:w="441" w:type="pct"/>
            <w:vMerge w:val="continue"/>
            <w:tcBorders>
              <w:top w:val="nil"/>
              <w:left w:val="nil"/>
              <w:bottom w:val="single" w:color="000000" w:sz="8" w:space="0"/>
              <w:right w:val="single" w:color="000000" w:sz="8" w:space="0"/>
            </w:tcBorders>
            <w:shd w:val="clear" w:color="auto" w:fill="auto"/>
            <w:vAlign w:val="center"/>
          </w:tcPr>
          <w:p w14:paraId="1E5C7DD6">
            <w:pPr>
              <w:jc w:val="center"/>
              <w:rPr>
                <w:rFonts w:ascii="宋体" w:hAnsi="宋体" w:cs="宋体"/>
                <w:color w:val="auto"/>
                <w:sz w:val="20"/>
                <w:szCs w:val="20"/>
              </w:rPr>
            </w:pPr>
          </w:p>
        </w:tc>
      </w:tr>
      <w:tr w14:paraId="3C02B6B8">
        <w:tblPrEx>
          <w:tblCellMar>
            <w:top w:w="0" w:type="dxa"/>
            <w:left w:w="108" w:type="dxa"/>
            <w:bottom w:w="0" w:type="dxa"/>
            <w:right w:w="108" w:type="dxa"/>
          </w:tblCellMar>
        </w:tblPrEx>
        <w:trPr>
          <w:trHeight w:val="495" w:hRule="atLeast"/>
        </w:trPr>
        <w:tc>
          <w:tcPr>
            <w:tcW w:w="349" w:type="pct"/>
            <w:tcBorders>
              <w:top w:val="nil"/>
              <w:left w:val="single" w:color="000000" w:sz="8" w:space="0"/>
              <w:bottom w:val="single" w:color="000000" w:sz="8" w:space="0"/>
              <w:right w:val="single" w:color="000000" w:sz="8" w:space="0"/>
            </w:tcBorders>
            <w:shd w:val="clear" w:color="auto" w:fill="auto"/>
            <w:vAlign w:val="center"/>
          </w:tcPr>
          <w:p w14:paraId="222016A8">
            <w:pPr>
              <w:jc w:val="center"/>
              <w:textAlignment w:val="center"/>
              <w:rPr>
                <w:rFonts w:ascii="宋体" w:hAnsi="宋体" w:cs="宋体"/>
                <w:color w:val="auto"/>
                <w:sz w:val="22"/>
                <w:szCs w:val="22"/>
              </w:rPr>
            </w:pPr>
            <w:r>
              <w:rPr>
                <w:rFonts w:hint="eastAsia" w:ascii="宋体" w:hAnsi="宋体" w:cs="宋体"/>
                <w:color w:val="auto"/>
                <w:kern w:val="0"/>
                <w:sz w:val="22"/>
                <w:szCs w:val="22"/>
              </w:rPr>
              <w:t>44</w:t>
            </w:r>
          </w:p>
        </w:tc>
        <w:tc>
          <w:tcPr>
            <w:tcW w:w="703" w:type="pct"/>
            <w:tcBorders>
              <w:top w:val="nil"/>
              <w:left w:val="nil"/>
              <w:bottom w:val="single" w:color="000000" w:sz="8" w:space="0"/>
              <w:right w:val="single" w:color="000000" w:sz="8" w:space="0"/>
            </w:tcBorders>
            <w:shd w:val="clear" w:color="auto" w:fill="auto"/>
            <w:vAlign w:val="center"/>
          </w:tcPr>
          <w:p w14:paraId="17B8C6D6">
            <w:pPr>
              <w:jc w:val="center"/>
              <w:textAlignment w:val="center"/>
              <w:rPr>
                <w:rFonts w:ascii="宋体" w:hAnsi="宋体" w:cs="宋体"/>
                <w:color w:val="auto"/>
                <w:sz w:val="20"/>
                <w:szCs w:val="20"/>
              </w:rPr>
            </w:pPr>
            <w:r>
              <w:rPr>
                <w:rStyle w:val="44"/>
                <w:rFonts w:hint="default"/>
                <w:color w:val="auto"/>
              </w:rPr>
              <w:t>坑口自然村加工点</w:t>
            </w:r>
          </w:p>
        </w:tc>
        <w:tc>
          <w:tcPr>
            <w:tcW w:w="436" w:type="pct"/>
            <w:tcBorders>
              <w:top w:val="nil"/>
              <w:left w:val="nil"/>
              <w:bottom w:val="single" w:color="000000" w:sz="8" w:space="0"/>
              <w:right w:val="single" w:color="000000" w:sz="8" w:space="0"/>
            </w:tcBorders>
            <w:shd w:val="clear" w:color="auto" w:fill="auto"/>
            <w:vAlign w:val="center"/>
          </w:tcPr>
          <w:p w14:paraId="6DBCB5B1">
            <w:pPr>
              <w:jc w:val="center"/>
              <w:textAlignment w:val="center"/>
              <w:rPr>
                <w:rFonts w:ascii="宋体" w:hAnsi="宋体" w:cs="宋体"/>
                <w:color w:val="auto"/>
                <w:sz w:val="20"/>
                <w:szCs w:val="20"/>
              </w:rPr>
            </w:pPr>
            <w:r>
              <w:rPr>
                <w:rFonts w:hint="eastAsia" w:ascii="宋体" w:hAnsi="宋体" w:cs="宋体"/>
                <w:color w:val="auto"/>
                <w:kern w:val="0"/>
                <w:sz w:val="20"/>
                <w:szCs w:val="20"/>
              </w:rPr>
              <w:t>15</w:t>
            </w:r>
          </w:p>
        </w:tc>
        <w:tc>
          <w:tcPr>
            <w:tcW w:w="435" w:type="pct"/>
            <w:tcBorders>
              <w:top w:val="nil"/>
              <w:left w:val="nil"/>
              <w:bottom w:val="single" w:color="000000" w:sz="8" w:space="0"/>
              <w:right w:val="single" w:color="000000" w:sz="8" w:space="0"/>
            </w:tcBorders>
            <w:shd w:val="clear" w:color="auto" w:fill="auto"/>
            <w:vAlign w:val="center"/>
          </w:tcPr>
          <w:p w14:paraId="53E84458">
            <w:pPr>
              <w:jc w:val="center"/>
              <w:textAlignment w:val="center"/>
              <w:rPr>
                <w:rFonts w:ascii="宋体" w:hAnsi="宋体" w:cs="宋体"/>
                <w:color w:val="auto"/>
                <w:sz w:val="20"/>
                <w:szCs w:val="20"/>
              </w:rPr>
            </w:pPr>
            <w:r>
              <w:rPr>
                <w:rStyle w:val="44"/>
                <w:rFonts w:hint="default"/>
                <w:color w:val="auto"/>
              </w:rPr>
              <w:t>毛竹</w:t>
            </w:r>
          </w:p>
        </w:tc>
        <w:tc>
          <w:tcPr>
            <w:tcW w:w="436" w:type="pct"/>
            <w:tcBorders>
              <w:top w:val="nil"/>
              <w:left w:val="nil"/>
              <w:bottom w:val="single" w:color="000000" w:sz="8" w:space="0"/>
              <w:right w:val="single" w:color="000000" w:sz="8" w:space="0"/>
            </w:tcBorders>
            <w:shd w:val="clear" w:color="auto" w:fill="auto"/>
            <w:vAlign w:val="center"/>
          </w:tcPr>
          <w:p w14:paraId="66EB49D2">
            <w:pPr>
              <w:jc w:val="center"/>
              <w:textAlignment w:val="center"/>
              <w:rPr>
                <w:rFonts w:ascii="宋体" w:hAnsi="宋体" w:cs="宋体"/>
                <w:color w:val="auto"/>
                <w:sz w:val="20"/>
                <w:szCs w:val="20"/>
              </w:rPr>
            </w:pPr>
            <w:r>
              <w:rPr>
                <w:rStyle w:val="44"/>
                <w:rFonts w:hint="default"/>
                <w:color w:val="auto"/>
              </w:rPr>
              <w:t>10万支</w:t>
            </w:r>
          </w:p>
        </w:tc>
        <w:tc>
          <w:tcPr>
            <w:tcW w:w="435" w:type="pct"/>
            <w:tcBorders>
              <w:top w:val="nil"/>
              <w:left w:val="nil"/>
              <w:bottom w:val="single" w:color="000000" w:sz="8" w:space="0"/>
              <w:right w:val="single" w:color="000000" w:sz="8" w:space="0"/>
            </w:tcBorders>
            <w:shd w:val="clear" w:color="auto" w:fill="auto"/>
            <w:vAlign w:val="center"/>
          </w:tcPr>
          <w:p w14:paraId="2413C9B8">
            <w:pPr>
              <w:jc w:val="center"/>
              <w:textAlignment w:val="center"/>
              <w:rPr>
                <w:rFonts w:ascii="宋体" w:hAnsi="宋体" w:cs="宋体"/>
                <w:color w:val="auto"/>
                <w:sz w:val="20"/>
                <w:szCs w:val="20"/>
              </w:rPr>
            </w:pPr>
            <w:r>
              <w:rPr>
                <w:rStyle w:val="44"/>
                <w:rFonts w:hint="default"/>
                <w:color w:val="auto"/>
              </w:rPr>
              <w:t>粗刨机</w:t>
            </w:r>
          </w:p>
        </w:tc>
        <w:tc>
          <w:tcPr>
            <w:tcW w:w="435" w:type="pct"/>
            <w:tcBorders>
              <w:top w:val="nil"/>
              <w:left w:val="nil"/>
              <w:bottom w:val="single" w:color="000000" w:sz="8" w:space="0"/>
              <w:right w:val="single" w:color="000000" w:sz="8" w:space="0"/>
            </w:tcBorders>
            <w:shd w:val="clear" w:color="auto" w:fill="auto"/>
            <w:vAlign w:val="center"/>
          </w:tcPr>
          <w:p w14:paraId="5E8EFBA0">
            <w:pPr>
              <w:jc w:val="center"/>
              <w:textAlignment w:val="center"/>
              <w:rPr>
                <w:rFonts w:ascii="宋体" w:hAnsi="宋体" w:cs="宋体"/>
                <w:color w:val="auto"/>
                <w:sz w:val="20"/>
                <w:szCs w:val="20"/>
              </w:rPr>
            </w:pPr>
            <w:r>
              <w:rPr>
                <w:rFonts w:hint="eastAsia" w:ascii="宋体" w:hAnsi="宋体" w:cs="宋体"/>
                <w:color w:val="auto"/>
                <w:kern w:val="0"/>
                <w:sz w:val="20"/>
                <w:szCs w:val="20"/>
              </w:rPr>
              <w:t>100</w:t>
            </w:r>
          </w:p>
        </w:tc>
        <w:tc>
          <w:tcPr>
            <w:tcW w:w="435" w:type="pct"/>
            <w:tcBorders>
              <w:top w:val="nil"/>
              <w:left w:val="nil"/>
              <w:bottom w:val="single" w:color="000000" w:sz="8" w:space="0"/>
              <w:right w:val="single" w:color="000000" w:sz="8" w:space="0"/>
            </w:tcBorders>
            <w:shd w:val="clear" w:color="auto" w:fill="auto"/>
            <w:vAlign w:val="center"/>
          </w:tcPr>
          <w:p w14:paraId="17B79097">
            <w:pPr>
              <w:jc w:val="center"/>
              <w:textAlignment w:val="center"/>
              <w:rPr>
                <w:rFonts w:ascii="宋体" w:hAnsi="宋体" w:cs="宋体"/>
                <w:color w:val="auto"/>
                <w:sz w:val="20"/>
                <w:szCs w:val="20"/>
              </w:rPr>
            </w:pPr>
            <w:r>
              <w:rPr>
                <w:rStyle w:val="44"/>
                <w:rFonts w:hint="default"/>
                <w:color w:val="auto"/>
              </w:rPr>
              <w:t>村委</w:t>
            </w:r>
          </w:p>
        </w:tc>
        <w:tc>
          <w:tcPr>
            <w:tcW w:w="452" w:type="pct"/>
            <w:tcBorders>
              <w:top w:val="nil"/>
              <w:left w:val="nil"/>
              <w:bottom w:val="single" w:color="000000" w:sz="8" w:space="0"/>
              <w:right w:val="single" w:color="000000" w:sz="8" w:space="0"/>
            </w:tcBorders>
            <w:shd w:val="clear" w:color="auto" w:fill="auto"/>
            <w:vAlign w:val="center"/>
          </w:tcPr>
          <w:p w14:paraId="2B7470FD">
            <w:pPr>
              <w:jc w:val="center"/>
              <w:textAlignment w:val="center"/>
              <w:rPr>
                <w:rFonts w:ascii="宋体" w:hAnsi="宋体" w:cs="宋体"/>
                <w:color w:val="auto"/>
                <w:sz w:val="20"/>
                <w:szCs w:val="20"/>
              </w:rPr>
            </w:pPr>
            <w:r>
              <w:rPr>
                <w:rFonts w:hint="eastAsia" w:ascii="宋体" w:hAnsi="宋体" w:cs="宋体"/>
                <w:color w:val="auto"/>
                <w:kern w:val="0"/>
                <w:sz w:val="20"/>
                <w:szCs w:val="20"/>
              </w:rPr>
              <w:t>2024</w:t>
            </w:r>
          </w:p>
        </w:tc>
        <w:tc>
          <w:tcPr>
            <w:tcW w:w="435" w:type="pct"/>
            <w:tcBorders>
              <w:top w:val="nil"/>
              <w:left w:val="nil"/>
              <w:bottom w:val="single" w:color="000000" w:sz="8" w:space="0"/>
              <w:right w:val="single" w:color="000000" w:sz="8" w:space="0"/>
            </w:tcBorders>
            <w:shd w:val="clear" w:color="auto" w:fill="auto"/>
            <w:vAlign w:val="center"/>
          </w:tcPr>
          <w:p w14:paraId="783B9FCC">
            <w:pPr>
              <w:jc w:val="center"/>
              <w:textAlignment w:val="center"/>
              <w:rPr>
                <w:rFonts w:ascii="宋体" w:hAnsi="宋体" w:cs="宋体"/>
                <w:color w:val="auto"/>
                <w:sz w:val="20"/>
                <w:szCs w:val="20"/>
              </w:rPr>
            </w:pPr>
            <w:r>
              <w:rPr>
                <w:rStyle w:val="44"/>
                <w:rFonts w:hint="default"/>
                <w:color w:val="auto"/>
              </w:rPr>
              <w:t>柳山头村</w:t>
            </w:r>
          </w:p>
        </w:tc>
        <w:tc>
          <w:tcPr>
            <w:tcW w:w="441" w:type="pct"/>
            <w:vMerge w:val="continue"/>
            <w:tcBorders>
              <w:top w:val="nil"/>
              <w:left w:val="nil"/>
              <w:bottom w:val="single" w:color="000000" w:sz="8" w:space="0"/>
              <w:right w:val="single" w:color="000000" w:sz="8" w:space="0"/>
            </w:tcBorders>
            <w:shd w:val="clear" w:color="auto" w:fill="auto"/>
            <w:vAlign w:val="center"/>
          </w:tcPr>
          <w:p w14:paraId="75A56269">
            <w:pPr>
              <w:jc w:val="center"/>
              <w:rPr>
                <w:rFonts w:ascii="宋体" w:hAnsi="宋体" w:cs="宋体"/>
                <w:color w:val="auto"/>
                <w:sz w:val="20"/>
                <w:szCs w:val="20"/>
              </w:rPr>
            </w:pPr>
          </w:p>
        </w:tc>
      </w:tr>
    </w:tbl>
    <w:p w14:paraId="60421856">
      <w:pPr>
        <w:pStyle w:val="19"/>
        <w:ind w:firstLine="0"/>
        <w:rPr>
          <w:color w:val="auto"/>
        </w:rPr>
      </w:pPr>
    </w:p>
    <w:p w14:paraId="1DE62D0A">
      <w:pPr>
        <w:rPr>
          <w:color w:val="auto"/>
        </w:rPr>
        <w:sectPr>
          <w:pgSz w:w="16838" w:h="11906" w:orient="landscape"/>
          <w:pgMar w:top="1800" w:right="1440" w:bottom="1800" w:left="1440" w:header="851" w:footer="992" w:gutter="0"/>
          <w:cols w:space="425" w:num="1"/>
          <w:docGrid w:type="lines" w:linePitch="312" w:charSpace="0"/>
        </w:sectPr>
      </w:pPr>
    </w:p>
    <w:p w14:paraId="2B6C6315">
      <w:pPr>
        <w:pStyle w:val="18"/>
        <w:ind w:firstLine="480"/>
        <w:rPr>
          <w:color w:val="auto"/>
        </w:rPr>
      </w:pPr>
      <w:r>
        <w:rPr>
          <w:rFonts w:hint="eastAsia"/>
          <w:color w:val="auto"/>
          <w:lang w:eastAsia="zh-CN"/>
        </w:rPr>
        <w:t>2024-2028</w:t>
      </w:r>
      <w:r>
        <w:rPr>
          <w:rFonts w:hint="eastAsia"/>
          <w:color w:val="auto"/>
        </w:rPr>
        <w:t>年龙泉市竹加工小微园建设规划建设表</w:t>
      </w:r>
    </w:p>
    <w:tbl>
      <w:tblPr>
        <w:tblStyle w:val="21"/>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383"/>
        <w:gridCol w:w="1616"/>
        <w:gridCol w:w="4503"/>
        <w:gridCol w:w="1386"/>
        <w:gridCol w:w="3254"/>
        <w:gridCol w:w="1517"/>
      </w:tblGrid>
      <w:tr w14:paraId="5454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188" w:type="pct"/>
            <w:vMerge w:val="restart"/>
            <w:vAlign w:val="center"/>
          </w:tcPr>
          <w:p w14:paraId="20304F79">
            <w:pPr>
              <w:jc w:val="center"/>
              <w:rPr>
                <w:rFonts w:ascii="黑体" w:hAnsi="黑体" w:eastAsia="黑体" w:cs="黑体"/>
                <w:color w:val="auto"/>
                <w:kern w:val="0"/>
                <w:szCs w:val="21"/>
              </w:rPr>
            </w:pPr>
            <w:r>
              <w:rPr>
                <w:rFonts w:hint="eastAsia" w:ascii="黑体" w:hAnsi="黑体" w:eastAsia="黑体" w:cs="黑体"/>
                <w:color w:val="auto"/>
                <w:kern w:val="0"/>
                <w:szCs w:val="21"/>
              </w:rPr>
              <w:t>序号</w:t>
            </w:r>
          </w:p>
        </w:tc>
        <w:tc>
          <w:tcPr>
            <w:tcW w:w="487" w:type="pct"/>
            <w:vMerge w:val="restart"/>
            <w:vAlign w:val="center"/>
          </w:tcPr>
          <w:p w14:paraId="67E2C1EF">
            <w:pPr>
              <w:jc w:val="center"/>
              <w:rPr>
                <w:rFonts w:ascii="黑体" w:hAnsi="黑体" w:eastAsia="黑体" w:cs="黑体"/>
                <w:color w:val="auto"/>
                <w:kern w:val="0"/>
                <w:szCs w:val="21"/>
              </w:rPr>
            </w:pPr>
            <w:r>
              <w:rPr>
                <w:rFonts w:hint="eastAsia" w:ascii="黑体" w:hAnsi="黑体" w:eastAsia="黑体" w:cs="黑体"/>
                <w:color w:val="auto"/>
                <w:kern w:val="0"/>
                <w:szCs w:val="21"/>
              </w:rPr>
              <w:t>名称</w:t>
            </w:r>
          </w:p>
        </w:tc>
        <w:tc>
          <w:tcPr>
            <w:tcW w:w="569" w:type="pct"/>
            <w:vMerge w:val="restart"/>
            <w:vAlign w:val="center"/>
          </w:tcPr>
          <w:p w14:paraId="48C7D1DD">
            <w:pPr>
              <w:jc w:val="center"/>
              <w:rPr>
                <w:rFonts w:ascii="黑体" w:hAnsi="黑体" w:eastAsia="黑体" w:cs="黑体"/>
                <w:color w:val="auto"/>
                <w:kern w:val="0"/>
                <w:szCs w:val="21"/>
              </w:rPr>
            </w:pPr>
            <w:r>
              <w:rPr>
                <w:rFonts w:hint="eastAsia" w:ascii="黑体" w:hAnsi="黑体" w:eastAsia="黑体" w:cs="黑体"/>
                <w:color w:val="auto"/>
                <w:kern w:val="0"/>
                <w:szCs w:val="21"/>
              </w:rPr>
              <w:t>所在区域位置</w:t>
            </w:r>
          </w:p>
        </w:tc>
        <w:tc>
          <w:tcPr>
            <w:tcW w:w="1585" w:type="pct"/>
            <w:vMerge w:val="restart"/>
            <w:vAlign w:val="center"/>
          </w:tcPr>
          <w:p w14:paraId="20C2CC85">
            <w:pPr>
              <w:jc w:val="center"/>
              <w:rPr>
                <w:rFonts w:ascii="黑体" w:hAnsi="黑体" w:eastAsia="黑体" w:cs="黑体"/>
                <w:color w:val="auto"/>
                <w:kern w:val="0"/>
                <w:szCs w:val="21"/>
              </w:rPr>
            </w:pPr>
            <w:r>
              <w:rPr>
                <w:rFonts w:hint="eastAsia" w:ascii="黑体" w:hAnsi="黑体" w:eastAsia="黑体" w:cs="黑体"/>
                <w:color w:val="auto"/>
                <w:kern w:val="0"/>
                <w:szCs w:val="21"/>
              </w:rPr>
              <w:t>项目背景</w:t>
            </w:r>
          </w:p>
        </w:tc>
        <w:tc>
          <w:tcPr>
            <w:tcW w:w="488" w:type="pct"/>
            <w:vMerge w:val="restart"/>
            <w:vAlign w:val="center"/>
          </w:tcPr>
          <w:p w14:paraId="4DEC1F04">
            <w:pPr>
              <w:jc w:val="center"/>
              <w:rPr>
                <w:rFonts w:ascii="黑体" w:hAnsi="黑体" w:eastAsia="黑体" w:cs="黑体"/>
                <w:color w:val="auto"/>
                <w:kern w:val="0"/>
                <w:szCs w:val="21"/>
              </w:rPr>
            </w:pPr>
            <w:r>
              <w:rPr>
                <w:rFonts w:hint="eastAsia" w:ascii="黑体" w:hAnsi="黑体" w:eastAsia="黑体" w:cs="黑体"/>
                <w:color w:val="auto"/>
                <w:kern w:val="0"/>
                <w:szCs w:val="21"/>
              </w:rPr>
              <w:t>规划占地面积(亩）</w:t>
            </w:r>
          </w:p>
        </w:tc>
        <w:tc>
          <w:tcPr>
            <w:tcW w:w="1145" w:type="pct"/>
            <w:vMerge w:val="restart"/>
            <w:vAlign w:val="center"/>
          </w:tcPr>
          <w:p w14:paraId="5162FC16">
            <w:pPr>
              <w:jc w:val="center"/>
              <w:rPr>
                <w:rFonts w:ascii="黑体" w:hAnsi="黑体" w:eastAsia="黑体" w:cs="黑体"/>
                <w:color w:val="auto"/>
                <w:kern w:val="0"/>
                <w:szCs w:val="21"/>
              </w:rPr>
            </w:pPr>
            <w:r>
              <w:rPr>
                <w:rFonts w:hint="eastAsia" w:ascii="黑体" w:hAnsi="黑体" w:eastAsia="黑体" w:cs="黑体"/>
                <w:color w:val="auto"/>
                <w:kern w:val="0"/>
                <w:szCs w:val="21"/>
              </w:rPr>
              <w:t>建设计划</w:t>
            </w:r>
          </w:p>
        </w:tc>
        <w:tc>
          <w:tcPr>
            <w:tcW w:w="534" w:type="pct"/>
            <w:vMerge w:val="restart"/>
            <w:vAlign w:val="center"/>
          </w:tcPr>
          <w:p w14:paraId="22093CFA">
            <w:pPr>
              <w:jc w:val="center"/>
              <w:rPr>
                <w:rFonts w:ascii="黑体" w:hAnsi="黑体" w:eastAsia="黑体" w:cs="黑体"/>
                <w:color w:val="auto"/>
                <w:kern w:val="0"/>
                <w:szCs w:val="21"/>
              </w:rPr>
            </w:pPr>
            <w:r>
              <w:rPr>
                <w:rFonts w:hint="eastAsia" w:ascii="黑体" w:hAnsi="黑体" w:eastAsia="黑体" w:cs="黑体"/>
                <w:color w:val="auto"/>
                <w:kern w:val="0"/>
                <w:szCs w:val="21"/>
              </w:rPr>
              <w:t>产业定位</w:t>
            </w:r>
          </w:p>
        </w:tc>
      </w:tr>
      <w:tr w14:paraId="1D42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88" w:type="pct"/>
            <w:vMerge w:val="continue"/>
            <w:vAlign w:val="center"/>
          </w:tcPr>
          <w:p w14:paraId="5B68D5E6">
            <w:pPr>
              <w:jc w:val="center"/>
              <w:rPr>
                <w:rFonts w:ascii="宋体" w:hAnsi="宋体" w:cs="宋体"/>
                <w:color w:val="auto"/>
                <w:kern w:val="0"/>
                <w:szCs w:val="21"/>
              </w:rPr>
            </w:pPr>
          </w:p>
        </w:tc>
        <w:tc>
          <w:tcPr>
            <w:tcW w:w="487" w:type="pct"/>
            <w:vMerge w:val="continue"/>
            <w:vAlign w:val="center"/>
          </w:tcPr>
          <w:p w14:paraId="61653A62">
            <w:pPr>
              <w:jc w:val="left"/>
              <w:rPr>
                <w:rFonts w:ascii="黑体" w:hAnsi="黑体" w:eastAsia="黑体" w:cs="宋体"/>
                <w:color w:val="auto"/>
                <w:kern w:val="0"/>
                <w:szCs w:val="21"/>
              </w:rPr>
            </w:pPr>
          </w:p>
        </w:tc>
        <w:tc>
          <w:tcPr>
            <w:tcW w:w="569" w:type="pct"/>
            <w:vMerge w:val="continue"/>
            <w:vAlign w:val="center"/>
          </w:tcPr>
          <w:p w14:paraId="2C4E9802">
            <w:pPr>
              <w:jc w:val="left"/>
              <w:rPr>
                <w:rFonts w:ascii="黑体" w:hAnsi="黑体" w:eastAsia="黑体" w:cs="宋体"/>
                <w:color w:val="auto"/>
                <w:kern w:val="0"/>
                <w:szCs w:val="21"/>
              </w:rPr>
            </w:pPr>
          </w:p>
        </w:tc>
        <w:tc>
          <w:tcPr>
            <w:tcW w:w="1585" w:type="pct"/>
            <w:vMerge w:val="continue"/>
            <w:vAlign w:val="center"/>
          </w:tcPr>
          <w:p w14:paraId="76EABA72">
            <w:pPr>
              <w:jc w:val="left"/>
              <w:rPr>
                <w:rFonts w:ascii="黑体" w:hAnsi="黑体" w:eastAsia="黑体" w:cs="宋体"/>
                <w:color w:val="auto"/>
                <w:kern w:val="0"/>
                <w:szCs w:val="21"/>
              </w:rPr>
            </w:pPr>
          </w:p>
        </w:tc>
        <w:tc>
          <w:tcPr>
            <w:tcW w:w="488" w:type="pct"/>
            <w:vMerge w:val="continue"/>
            <w:vAlign w:val="center"/>
          </w:tcPr>
          <w:p w14:paraId="77A0897A">
            <w:pPr>
              <w:jc w:val="center"/>
              <w:rPr>
                <w:rFonts w:ascii="黑体" w:hAnsi="黑体" w:eastAsia="黑体" w:cs="宋体"/>
                <w:color w:val="auto"/>
                <w:kern w:val="0"/>
                <w:szCs w:val="21"/>
              </w:rPr>
            </w:pPr>
          </w:p>
        </w:tc>
        <w:tc>
          <w:tcPr>
            <w:tcW w:w="1145" w:type="pct"/>
            <w:vMerge w:val="continue"/>
            <w:vAlign w:val="center"/>
          </w:tcPr>
          <w:p w14:paraId="3DFB0E71">
            <w:pPr>
              <w:jc w:val="left"/>
              <w:rPr>
                <w:rFonts w:ascii="黑体" w:hAnsi="黑体" w:eastAsia="黑体" w:cs="宋体"/>
                <w:color w:val="auto"/>
                <w:kern w:val="0"/>
                <w:szCs w:val="21"/>
              </w:rPr>
            </w:pPr>
          </w:p>
        </w:tc>
        <w:tc>
          <w:tcPr>
            <w:tcW w:w="534" w:type="pct"/>
            <w:vMerge w:val="continue"/>
            <w:vAlign w:val="center"/>
          </w:tcPr>
          <w:p w14:paraId="183D0B56">
            <w:pPr>
              <w:jc w:val="center"/>
              <w:rPr>
                <w:rFonts w:ascii="黑体" w:hAnsi="黑体" w:eastAsia="黑体" w:cs="宋体"/>
                <w:color w:val="auto"/>
                <w:kern w:val="0"/>
                <w:szCs w:val="21"/>
              </w:rPr>
            </w:pPr>
          </w:p>
        </w:tc>
      </w:tr>
      <w:tr w14:paraId="0FD4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2E5110F3">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1</w:t>
            </w:r>
          </w:p>
        </w:tc>
        <w:tc>
          <w:tcPr>
            <w:tcW w:w="487" w:type="pct"/>
            <w:vMerge w:val="restart"/>
            <w:vAlign w:val="center"/>
          </w:tcPr>
          <w:p w14:paraId="5BDB6CD4">
            <w:pPr>
              <w:spacing w:line="240" w:lineRule="auto"/>
              <w:jc w:val="center"/>
              <w:textAlignment w:val="center"/>
              <w:rPr>
                <w:rStyle w:val="44"/>
                <w:rFonts w:hint="default"/>
                <w:color w:val="auto"/>
              </w:rPr>
            </w:pPr>
            <w:r>
              <w:rPr>
                <w:rStyle w:val="44"/>
                <w:rFonts w:hint="default"/>
                <w:color w:val="auto"/>
              </w:rPr>
              <w:t>龙渊街道村头村竹木制品小微园</w:t>
            </w:r>
          </w:p>
        </w:tc>
        <w:tc>
          <w:tcPr>
            <w:tcW w:w="569" w:type="pct"/>
            <w:vMerge w:val="restart"/>
            <w:vAlign w:val="center"/>
          </w:tcPr>
          <w:p w14:paraId="5FB3C1F4">
            <w:pPr>
              <w:spacing w:line="240" w:lineRule="auto"/>
              <w:jc w:val="center"/>
              <w:textAlignment w:val="center"/>
              <w:rPr>
                <w:rStyle w:val="44"/>
                <w:rFonts w:hint="default"/>
                <w:color w:val="auto"/>
              </w:rPr>
            </w:pPr>
            <w:r>
              <w:rPr>
                <w:rStyle w:val="44"/>
                <w:rFonts w:hint="default"/>
                <w:color w:val="auto"/>
              </w:rPr>
              <w:t>龙渊街道村头村立树户湾门（砖瓦厂）</w:t>
            </w:r>
          </w:p>
        </w:tc>
        <w:tc>
          <w:tcPr>
            <w:tcW w:w="1585" w:type="pct"/>
            <w:vMerge w:val="restart"/>
            <w:vAlign w:val="center"/>
          </w:tcPr>
          <w:p w14:paraId="2EE8D1F0">
            <w:pPr>
              <w:spacing w:line="240" w:lineRule="auto"/>
              <w:jc w:val="left"/>
              <w:textAlignment w:val="center"/>
              <w:rPr>
                <w:rStyle w:val="44"/>
                <w:rFonts w:hint="default"/>
                <w:color w:val="auto"/>
              </w:rPr>
            </w:pPr>
            <w:r>
              <w:rPr>
                <w:rStyle w:val="44"/>
                <w:rFonts w:hint="default"/>
                <w:color w:val="auto"/>
              </w:rPr>
              <w:t>龙渊街道村头、张村一带木制品加工小微企业多，存在着散、乱、污的问题，急需入园规范发展。该区块为村头村、白墓村集体土地，现为采矿用地场。该区块建设小微园有利于村庄环境整治，有利于村集体增加收入。</w:t>
            </w:r>
          </w:p>
        </w:tc>
        <w:tc>
          <w:tcPr>
            <w:tcW w:w="488" w:type="pct"/>
            <w:vMerge w:val="restart"/>
            <w:vAlign w:val="center"/>
          </w:tcPr>
          <w:p w14:paraId="295D98E2">
            <w:pPr>
              <w:spacing w:line="240" w:lineRule="auto"/>
              <w:jc w:val="center"/>
              <w:textAlignment w:val="center"/>
              <w:rPr>
                <w:rStyle w:val="44"/>
                <w:rFonts w:hint="default"/>
                <w:color w:val="auto"/>
              </w:rPr>
            </w:pPr>
            <w:r>
              <w:rPr>
                <w:rStyle w:val="44"/>
                <w:rFonts w:hint="default"/>
                <w:color w:val="auto"/>
              </w:rPr>
              <w:t>78</w:t>
            </w:r>
          </w:p>
        </w:tc>
        <w:tc>
          <w:tcPr>
            <w:tcW w:w="1145" w:type="pct"/>
            <w:vMerge w:val="restart"/>
            <w:vAlign w:val="center"/>
          </w:tcPr>
          <w:p w14:paraId="1D6C1F93">
            <w:pPr>
              <w:spacing w:line="240" w:lineRule="auto"/>
              <w:jc w:val="left"/>
              <w:textAlignment w:val="center"/>
              <w:rPr>
                <w:rStyle w:val="44"/>
                <w:rFonts w:hint="default"/>
                <w:color w:val="auto"/>
              </w:rPr>
            </w:pPr>
            <w:r>
              <w:rPr>
                <w:rStyle w:val="44"/>
                <w:rFonts w:hint="default"/>
                <w:color w:val="auto"/>
              </w:rPr>
              <w:t>全部为村集体用地，由村头村负责建设边坡、场地平整等，计划厂房用于招引相关企业。</w:t>
            </w:r>
          </w:p>
        </w:tc>
        <w:tc>
          <w:tcPr>
            <w:tcW w:w="534" w:type="pct"/>
            <w:vMerge w:val="restart"/>
            <w:vAlign w:val="center"/>
          </w:tcPr>
          <w:p w14:paraId="3F748360">
            <w:pPr>
              <w:spacing w:line="240" w:lineRule="auto"/>
              <w:jc w:val="center"/>
              <w:textAlignment w:val="center"/>
              <w:rPr>
                <w:rStyle w:val="44"/>
                <w:rFonts w:hint="default"/>
                <w:color w:val="auto"/>
              </w:rPr>
            </w:pPr>
            <w:r>
              <w:rPr>
                <w:rStyle w:val="44"/>
                <w:rFonts w:hint="default"/>
                <w:color w:val="auto"/>
              </w:rPr>
              <w:t>竹木制品</w:t>
            </w:r>
          </w:p>
        </w:tc>
      </w:tr>
      <w:tr w14:paraId="5709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32F4A2C">
            <w:pPr>
              <w:spacing w:line="240" w:lineRule="auto"/>
              <w:jc w:val="center"/>
              <w:rPr>
                <w:rFonts w:ascii="宋体" w:hAnsi="宋体" w:cs="宋体"/>
                <w:color w:val="auto"/>
                <w:kern w:val="0"/>
                <w:sz w:val="24"/>
              </w:rPr>
            </w:pPr>
          </w:p>
        </w:tc>
        <w:tc>
          <w:tcPr>
            <w:tcW w:w="487" w:type="pct"/>
            <w:vMerge w:val="continue"/>
            <w:vAlign w:val="center"/>
          </w:tcPr>
          <w:p w14:paraId="30E935D2">
            <w:pPr>
              <w:spacing w:line="240" w:lineRule="auto"/>
              <w:jc w:val="center"/>
              <w:textAlignment w:val="center"/>
              <w:rPr>
                <w:rStyle w:val="44"/>
                <w:rFonts w:hint="default"/>
                <w:color w:val="auto"/>
              </w:rPr>
            </w:pPr>
          </w:p>
        </w:tc>
        <w:tc>
          <w:tcPr>
            <w:tcW w:w="569" w:type="pct"/>
            <w:vMerge w:val="continue"/>
            <w:vAlign w:val="center"/>
          </w:tcPr>
          <w:p w14:paraId="71E114C4">
            <w:pPr>
              <w:spacing w:line="240" w:lineRule="auto"/>
              <w:jc w:val="center"/>
              <w:textAlignment w:val="center"/>
              <w:rPr>
                <w:rStyle w:val="44"/>
                <w:rFonts w:hint="default"/>
                <w:color w:val="auto"/>
              </w:rPr>
            </w:pPr>
          </w:p>
        </w:tc>
        <w:tc>
          <w:tcPr>
            <w:tcW w:w="1585" w:type="pct"/>
            <w:vMerge w:val="continue"/>
            <w:vAlign w:val="center"/>
          </w:tcPr>
          <w:p w14:paraId="2E3FC4CD">
            <w:pPr>
              <w:spacing w:line="240" w:lineRule="auto"/>
              <w:jc w:val="left"/>
              <w:textAlignment w:val="center"/>
              <w:rPr>
                <w:rStyle w:val="44"/>
                <w:rFonts w:hint="default"/>
                <w:color w:val="auto"/>
              </w:rPr>
            </w:pPr>
          </w:p>
        </w:tc>
        <w:tc>
          <w:tcPr>
            <w:tcW w:w="488" w:type="pct"/>
            <w:vMerge w:val="continue"/>
            <w:vAlign w:val="center"/>
          </w:tcPr>
          <w:p w14:paraId="3E10EF0D">
            <w:pPr>
              <w:spacing w:line="240" w:lineRule="auto"/>
              <w:jc w:val="center"/>
              <w:textAlignment w:val="center"/>
              <w:rPr>
                <w:rStyle w:val="44"/>
                <w:rFonts w:hint="default"/>
                <w:color w:val="auto"/>
              </w:rPr>
            </w:pPr>
          </w:p>
        </w:tc>
        <w:tc>
          <w:tcPr>
            <w:tcW w:w="1145" w:type="pct"/>
            <w:vMerge w:val="continue"/>
            <w:vAlign w:val="center"/>
          </w:tcPr>
          <w:p w14:paraId="0CDE9700">
            <w:pPr>
              <w:spacing w:line="240" w:lineRule="auto"/>
              <w:jc w:val="left"/>
              <w:textAlignment w:val="center"/>
              <w:rPr>
                <w:rStyle w:val="44"/>
                <w:rFonts w:hint="default"/>
                <w:color w:val="auto"/>
              </w:rPr>
            </w:pPr>
          </w:p>
        </w:tc>
        <w:tc>
          <w:tcPr>
            <w:tcW w:w="534" w:type="pct"/>
            <w:vMerge w:val="continue"/>
            <w:vAlign w:val="center"/>
          </w:tcPr>
          <w:p w14:paraId="3A4F508D">
            <w:pPr>
              <w:spacing w:line="240" w:lineRule="auto"/>
              <w:jc w:val="center"/>
              <w:textAlignment w:val="center"/>
              <w:rPr>
                <w:rStyle w:val="44"/>
                <w:rFonts w:hint="default"/>
                <w:color w:val="auto"/>
              </w:rPr>
            </w:pPr>
          </w:p>
        </w:tc>
      </w:tr>
      <w:tr w14:paraId="2D3D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trPr>
        <w:tc>
          <w:tcPr>
            <w:tcW w:w="188" w:type="pct"/>
            <w:vMerge w:val="continue"/>
            <w:vAlign w:val="center"/>
          </w:tcPr>
          <w:p w14:paraId="286EB2D9">
            <w:pPr>
              <w:spacing w:line="240" w:lineRule="auto"/>
              <w:jc w:val="center"/>
              <w:rPr>
                <w:rFonts w:ascii="宋体" w:hAnsi="宋体" w:cs="宋体"/>
                <w:color w:val="auto"/>
                <w:kern w:val="0"/>
                <w:sz w:val="24"/>
              </w:rPr>
            </w:pPr>
          </w:p>
        </w:tc>
        <w:tc>
          <w:tcPr>
            <w:tcW w:w="487" w:type="pct"/>
            <w:vMerge w:val="continue"/>
            <w:vAlign w:val="center"/>
          </w:tcPr>
          <w:p w14:paraId="5F39E263">
            <w:pPr>
              <w:spacing w:line="240" w:lineRule="auto"/>
              <w:jc w:val="center"/>
              <w:textAlignment w:val="center"/>
              <w:rPr>
                <w:rStyle w:val="44"/>
                <w:rFonts w:hint="default"/>
                <w:color w:val="auto"/>
              </w:rPr>
            </w:pPr>
          </w:p>
        </w:tc>
        <w:tc>
          <w:tcPr>
            <w:tcW w:w="569" w:type="pct"/>
            <w:vMerge w:val="continue"/>
            <w:vAlign w:val="center"/>
          </w:tcPr>
          <w:p w14:paraId="515F3790">
            <w:pPr>
              <w:spacing w:line="240" w:lineRule="auto"/>
              <w:jc w:val="center"/>
              <w:textAlignment w:val="center"/>
              <w:rPr>
                <w:rStyle w:val="44"/>
                <w:rFonts w:hint="default"/>
                <w:color w:val="auto"/>
              </w:rPr>
            </w:pPr>
          </w:p>
        </w:tc>
        <w:tc>
          <w:tcPr>
            <w:tcW w:w="1585" w:type="pct"/>
            <w:vMerge w:val="continue"/>
            <w:vAlign w:val="center"/>
          </w:tcPr>
          <w:p w14:paraId="402C1D54">
            <w:pPr>
              <w:spacing w:line="240" w:lineRule="auto"/>
              <w:jc w:val="left"/>
              <w:textAlignment w:val="center"/>
              <w:rPr>
                <w:rStyle w:val="44"/>
                <w:rFonts w:hint="default"/>
                <w:color w:val="auto"/>
              </w:rPr>
            </w:pPr>
          </w:p>
        </w:tc>
        <w:tc>
          <w:tcPr>
            <w:tcW w:w="488" w:type="pct"/>
            <w:vMerge w:val="continue"/>
            <w:vAlign w:val="center"/>
          </w:tcPr>
          <w:p w14:paraId="3230F394">
            <w:pPr>
              <w:spacing w:line="240" w:lineRule="auto"/>
              <w:jc w:val="center"/>
              <w:textAlignment w:val="center"/>
              <w:rPr>
                <w:rStyle w:val="44"/>
                <w:rFonts w:hint="default"/>
                <w:color w:val="auto"/>
              </w:rPr>
            </w:pPr>
          </w:p>
        </w:tc>
        <w:tc>
          <w:tcPr>
            <w:tcW w:w="1145" w:type="pct"/>
            <w:vMerge w:val="continue"/>
            <w:vAlign w:val="center"/>
          </w:tcPr>
          <w:p w14:paraId="03ACC5C1">
            <w:pPr>
              <w:spacing w:line="240" w:lineRule="auto"/>
              <w:jc w:val="left"/>
              <w:textAlignment w:val="center"/>
              <w:rPr>
                <w:rStyle w:val="44"/>
                <w:rFonts w:hint="default"/>
                <w:color w:val="auto"/>
              </w:rPr>
            </w:pPr>
          </w:p>
        </w:tc>
        <w:tc>
          <w:tcPr>
            <w:tcW w:w="534" w:type="pct"/>
            <w:vMerge w:val="continue"/>
            <w:vAlign w:val="center"/>
          </w:tcPr>
          <w:p w14:paraId="34BC8B5E">
            <w:pPr>
              <w:spacing w:line="240" w:lineRule="auto"/>
              <w:jc w:val="center"/>
              <w:textAlignment w:val="center"/>
              <w:rPr>
                <w:rStyle w:val="44"/>
                <w:rFonts w:hint="default"/>
                <w:color w:val="auto"/>
              </w:rPr>
            </w:pPr>
          </w:p>
        </w:tc>
      </w:tr>
      <w:tr w14:paraId="2177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restart"/>
            <w:vAlign w:val="center"/>
          </w:tcPr>
          <w:p w14:paraId="1F472074">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2</w:t>
            </w:r>
          </w:p>
        </w:tc>
        <w:tc>
          <w:tcPr>
            <w:tcW w:w="487" w:type="pct"/>
            <w:vMerge w:val="restart"/>
            <w:vAlign w:val="center"/>
          </w:tcPr>
          <w:p w14:paraId="3B707878">
            <w:pPr>
              <w:spacing w:line="240" w:lineRule="auto"/>
              <w:jc w:val="center"/>
              <w:textAlignment w:val="center"/>
              <w:rPr>
                <w:rStyle w:val="44"/>
                <w:rFonts w:hint="default"/>
                <w:color w:val="auto"/>
              </w:rPr>
            </w:pPr>
            <w:r>
              <w:rPr>
                <w:rStyle w:val="44"/>
                <w:rFonts w:hint="default"/>
                <w:color w:val="auto"/>
              </w:rPr>
              <w:t>八都镇溪坪小微园</w:t>
            </w:r>
          </w:p>
        </w:tc>
        <w:tc>
          <w:tcPr>
            <w:tcW w:w="569" w:type="pct"/>
            <w:vMerge w:val="restart"/>
            <w:vAlign w:val="center"/>
          </w:tcPr>
          <w:p w14:paraId="4BAAAA26">
            <w:pPr>
              <w:spacing w:line="240" w:lineRule="auto"/>
              <w:jc w:val="center"/>
              <w:textAlignment w:val="center"/>
              <w:rPr>
                <w:rStyle w:val="44"/>
                <w:rFonts w:hint="default"/>
                <w:color w:val="auto"/>
              </w:rPr>
            </w:pPr>
            <w:r>
              <w:rPr>
                <w:rStyle w:val="44"/>
                <w:rFonts w:hint="default"/>
                <w:color w:val="auto"/>
              </w:rPr>
              <w:t>八都镇溪坪区块</w:t>
            </w:r>
          </w:p>
        </w:tc>
        <w:tc>
          <w:tcPr>
            <w:tcW w:w="1585" w:type="pct"/>
            <w:vMerge w:val="restart"/>
            <w:vAlign w:val="center"/>
          </w:tcPr>
          <w:p w14:paraId="2B2CC42C">
            <w:pPr>
              <w:spacing w:line="240" w:lineRule="auto"/>
              <w:jc w:val="left"/>
              <w:textAlignment w:val="center"/>
              <w:rPr>
                <w:rStyle w:val="44"/>
                <w:rFonts w:hint="default"/>
                <w:color w:val="auto"/>
              </w:rPr>
            </w:pPr>
            <w:r>
              <w:rPr>
                <w:rStyle w:val="44"/>
                <w:rFonts w:hint="default"/>
                <w:color w:val="auto"/>
              </w:rPr>
              <w:t>八都镇是我市的毛竹主要产区，拥有丰富的毛竹资源，已建的八都镇平山岭小微园已不能满足产业发展需要，为满足小微企业发展需求，做强竹木制品产业链，需要建设溪坪小微园。</w:t>
            </w:r>
          </w:p>
        </w:tc>
        <w:tc>
          <w:tcPr>
            <w:tcW w:w="488" w:type="pct"/>
            <w:vMerge w:val="restart"/>
            <w:vAlign w:val="center"/>
          </w:tcPr>
          <w:p w14:paraId="376896C6">
            <w:pPr>
              <w:spacing w:line="240" w:lineRule="auto"/>
              <w:jc w:val="center"/>
              <w:textAlignment w:val="center"/>
              <w:rPr>
                <w:rStyle w:val="44"/>
                <w:rFonts w:hint="default"/>
                <w:color w:val="auto"/>
              </w:rPr>
            </w:pPr>
            <w:r>
              <w:rPr>
                <w:rStyle w:val="44"/>
                <w:rFonts w:hint="default"/>
                <w:color w:val="auto"/>
              </w:rPr>
              <w:t>39</w:t>
            </w:r>
          </w:p>
        </w:tc>
        <w:tc>
          <w:tcPr>
            <w:tcW w:w="1145" w:type="pct"/>
            <w:vMerge w:val="restart"/>
            <w:vAlign w:val="center"/>
          </w:tcPr>
          <w:p w14:paraId="4EE05DD6">
            <w:pPr>
              <w:spacing w:line="240" w:lineRule="auto"/>
              <w:jc w:val="left"/>
              <w:textAlignment w:val="center"/>
              <w:rPr>
                <w:rStyle w:val="44"/>
                <w:rFonts w:hint="default"/>
                <w:color w:val="auto"/>
              </w:rPr>
            </w:pPr>
            <w:r>
              <w:rPr>
                <w:rStyle w:val="44"/>
                <w:rFonts w:hint="default"/>
                <w:color w:val="auto"/>
              </w:rPr>
              <w:t>该园区由经济开发区下属东盛标准厂房有限公司开发建设。</w:t>
            </w:r>
          </w:p>
        </w:tc>
        <w:tc>
          <w:tcPr>
            <w:tcW w:w="534" w:type="pct"/>
            <w:vMerge w:val="restart"/>
            <w:vAlign w:val="center"/>
          </w:tcPr>
          <w:p w14:paraId="6CF3FAF9">
            <w:pPr>
              <w:spacing w:line="240" w:lineRule="auto"/>
              <w:jc w:val="center"/>
              <w:textAlignment w:val="center"/>
              <w:rPr>
                <w:rStyle w:val="44"/>
                <w:rFonts w:hint="default"/>
                <w:color w:val="auto"/>
              </w:rPr>
            </w:pPr>
            <w:r>
              <w:rPr>
                <w:rStyle w:val="44"/>
                <w:rFonts w:hint="default"/>
                <w:color w:val="auto"/>
              </w:rPr>
              <w:t>竹木制品</w:t>
            </w:r>
          </w:p>
        </w:tc>
      </w:tr>
      <w:tr w14:paraId="14E8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6D9687E5">
            <w:pPr>
              <w:spacing w:line="240" w:lineRule="auto"/>
              <w:jc w:val="center"/>
              <w:rPr>
                <w:rFonts w:ascii="宋体" w:hAnsi="宋体" w:cs="宋体"/>
                <w:color w:val="auto"/>
                <w:kern w:val="0"/>
                <w:sz w:val="24"/>
              </w:rPr>
            </w:pPr>
          </w:p>
        </w:tc>
        <w:tc>
          <w:tcPr>
            <w:tcW w:w="487" w:type="pct"/>
            <w:vMerge w:val="continue"/>
            <w:vAlign w:val="center"/>
          </w:tcPr>
          <w:p w14:paraId="7F296C04">
            <w:pPr>
              <w:spacing w:line="240" w:lineRule="auto"/>
              <w:jc w:val="center"/>
              <w:textAlignment w:val="center"/>
              <w:rPr>
                <w:rStyle w:val="44"/>
                <w:rFonts w:hint="default"/>
                <w:color w:val="auto"/>
              </w:rPr>
            </w:pPr>
          </w:p>
        </w:tc>
        <w:tc>
          <w:tcPr>
            <w:tcW w:w="569" w:type="pct"/>
            <w:vMerge w:val="continue"/>
            <w:vAlign w:val="center"/>
          </w:tcPr>
          <w:p w14:paraId="32DA3776">
            <w:pPr>
              <w:spacing w:line="240" w:lineRule="auto"/>
              <w:jc w:val="center"/>
              <w:textAlignment w:val="center"/>
              <w:rPr>
                <w:rStyle w:val="44"/>
                <w:rFonts w:hint="default"/>
                <w:color w:val="auto"/>
              </w:rPr>
            </w:pPr>
          </w:p>
        </w:tc>
        <w:tc>
          <w:tcPr>
            <w:tcW w:w="1585" w:type="pct"/>
            <w:vMerge w:val="continue"/>
            <w:vAlign w:val="center"/>
          </w:tcPr>
          <w:p w14:paraId="182F4409">
            <w:pPr>
              <w:spacing w:line="240" w:lineRule="auto"/>
              <w:jc w:val="left"/>
              <w:textAlignment w:val="center"/>
              <w:rPr>
                <w:rStyle w:val="44"/>
                <w:rFonts w:hint="default"/>
                <w:color w:val="auto"/>
              </w:rPr>
            </w:pPr>
          </w:p>
        </w:tc>
        <w:tc>
          <w:tcPr>
            <w:tcW w:w="488" w:type="pct"/>
            <w:vMerge w:val="continue"/>
            <w:vAlign w:val="center"/>
          </w:tcPr>
          <w:p w14:paraId="44116B02">
            <w:pPr>
              <w:spacing w:line="240" w:lineRule="auto"/>
              <w:jc w:val="center"/>
              <w:textAlignment w:val="center"/>
              <w:rPr>
                <w:rStyle w:val="44"/>
                <w:rFonts w:hint="default"/>
                <w:color w:val="auto"/>
              </w:rPr>
            </w:pPr>
          </w:p>
        </w:tc>
        <w:tc>
          <w:tcPr>
            <w:tcW w:w="1145" w:type="pct"/>
            <w:vMerge w:val="continue"/>
            <w:vAlign w:val="center"/>
          </w:tcPr>
          <w:p w14:paraId="089C1E1A">
            <w:pPr>
              <w:spacing w:line="240" w:lineRule="auto"/>
              <w:jc w:val="left"/>
              <w:textAlignment w:val="center"/>
              <w:rPr>
                <w:rStyle w:val="44"/>
                <w:rFonts w:hint="default"/>
                <w:color w:val="auto"/>
              </w:rPr>
            </w:pPr>
          </w:p>
        </w:tc>
        <w:tc>
          <w:tcPr>
            <w:tcW w:w="534" w:type="pct"/>
            <w:vMerge w:val="continue"/>
            <w:vAlign w:val="center"/>
          </w:tcPr>
          <w:p w14:paraId="478CC121">
            <w:pPr>
              <w:spacing w:line="240" w:lineRule="auto"/>
              <w:jc w:val="center"/>
              <w:textAlignment w:val="center"/>
              <w:rPr>
                <w:rStyle w:val="44"/>
                <w:rFonts w:hint="default"/>
                <w:color w:val="auto"/>
              </w:rPr>
            </w:pPr>
          </w:p>
        </w:tc>
      </w:tr>
      <w:tr w14:paraId="7DE8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3BAFC978">
            <w:pPr>
              <w:spacing w:line="240" w:lineRule="auto"/>
              <w:jc w:val="center"/>
              <w:rPr>
                <w:rFonts w:ascii="宋体" w:hAnsi="宋体" w:cs="宋体"/>
                <w:color w:val="auto"/>
                <w:kern w:val="0"/>
                <w:sz w:val="24"/>
              </w:rPr>
            </w:pPr>
          </w:p>
        </w:tc>
        <w:tc>
          <w:tcPr>
            <w:tcW w:w="487" w:type="pct"/>
            <w:vMerge w:val="continue"/>
            <w:vAlign w:val="center"/>
          </w:tcPr>
          <w:p w14:paraId="1781ED34">
            <w:pPr>
              <w:spacing w:line="240" w:lineRule="auto"/>
              <w:jc w:val="center"/>
              <w:textAlignment w:val="center"/>
              <w:rPr>
                <w:rStyle w:val="44"/>
                <w:rFonts w:hint="default"/>
                <w:color w:val="auto"/>
              </w:rPr>
            </w:pPr>
          </w:p>
        </w:tc>
        <w:tc>
          <w:tcPr>
            <w:tcW w:w="569" w:type="pct"/>
            <w:vMerge w:val="continue"/>
            <w:vAlign w:val="center"/>
          </w:tcPr>
          <w:p w14:paraId="262C3155">
            <w:pPr>
              <w:spacing w:line="240" w:lineRule="auto"/>
              <w:jc w:val="center"/>
              <w:textAlignment w:val="center"/>
              <w:rPr>
                <w:rStyle w:val="44"/>
                <w:rFonts w:hint="default"/>
                <w:color w:val="auto"/>
              </w:rPr>
            </w:pPr>
          </w:p>
        </w:tc>
        <w:tc>
          <w:tcPr>
            <w:tcW w:w="1585" w:type="pct"/>
            <w:vMerge w:val="continue"/>
            <w:vAlign w:val="center"/>
          </w:tcPr>
          <w:p w14:paraId="1AE1505C">
            <w:pPr>
              <w:spacing w:line="240" w:lineRule="auto"/>
              <w:jc w:val="left"/>
              <w:textAlignment w:val="center"/>
              <w:rPr>
                <w:rStyle w:val="44"/>
                <w:rFonts w:hint="default"/>
                <w:color w:val="auto"/>
              </w:rPr>
            </w:pPr>
          </w:p>
        </w:tc>
        <w:tc>
          <w:tcPr>
            <w:tcW w:w="488" w:type="pct"/>
            <w:vMerge w:val="continue"/>
            <w:vAlign w:val="center"/>
          </w:tcPr>
          <w:p w14:paraId="559DE885">
            <w:pPr>
              <w:spacing w:line="240" w:lineRule="auto"/>
              <w:jc w:val="center"/>
              <w:textAlignment w:val="center"/>
              <w:rPr>
                <w:rStyle w:val="44"/>
                <w:rFonts w:hint="default"/>
                <w:color w:val="auto"/>
              </w:rPr>
            </w:pPr>
          </w:p>
        </w:tc>
        <w:tc>
          <w:tcPr>
            <w:tcW w:w="1145" w:type="pct"/>
            <w:vMerge w:val="continue"/>
            <w:vAlign w:val="center"/>
          </w:tcPr>
          <w:p w14:paraId="02ED8B5B">
            <w:pPr>
              <w:spacing w:line="240" w:lineRule="auto"/>
              <w:jc w:val="left"/>
              <w:textAlignment w:val="center"/>
              <w:rPr>
                <w:rStyle w:val="44"/>
                <w:rFonts w:hint="default"/>
                <w:color w:val="auto"/>
              </w:rPr>
            </w:pPr>
          </w:p>
        </w:tc>
        <w:tc>
          <w:tcPr>
            <w:tcW w:w="534" w:type="pct"/>
            <w:vMerge w:val="continue"/>
            <w:vAlign w:val="center"/>
          </w:tcPr>
          <w:p w14:paraId="1FD6B14F">
            <w:pPr>
              <w:spacing w:line="240" w:lineRule="auto"/>
              <w:jc w:val="center"/>
              <w:textAlignment w:val="center"/>
              <w:rPr>
                <w:rStyle w:val="44"/>
                <w:rFonts w:hint="default"/>
                <w:color w:val="auto"/>
              </w:rPr>
            </w:pPr>
          </w:p>
        </w:tc>
      </w:tr>
      <w:tr w14:paraId="7AD9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763B280F">
            <w:pPr>
              <w:spacing w:line="240" w:lineRule="auto"/>
              <w:jc w:val="center"/>
              <w:rPr>
                <w:rFonts w:ascii="宋体" w:hAnsi="宋体" w:cs="宋体"/>
                <w:color w:val="auto"/>
                <w:kern w:val="0"/>
                <w:sz w:val="24"/>
              </w:rPr>
            </w:pPr>
          </w:p>
        </w:tc>
        <w:tc>
          <w:tcPr>
            <w:tcW w:w="487" w:type="pct"/>
            <w:vMerge w:val="continue"/>
            <w:vAlign w:val="center"/>
          </w:tcPr>
          <w:p w14:paraId="1B6885EC">
            <w:pPr>
              <w:spacing w:line="240" w:lineRule="auto"/>
              <w:jc w:val="center"/>
              <w:textAlignment w:val="center"/>
              <w:rPr>
                <w:rStyle w:val="44"/>
                <w:rFonts w:hint="default"/>
                <w:color w:val="auto"/>
              </w:rPr>
            </w:pPr>
          </w:p>
        </w:tc>
        <w:tc>
          <w:tcPr>
            <w:tcW w:w="569" w:type="pct"/>
            <w:vMerge w:val="continue"/>
            <w:vAlign w:val="center"/>
          </w:tcPr>
          <w:p w14:paraId="01352EA9">
            <w:pPr>
              <w:spacing w:line="240" w:lineRule="auto"/>
              <w:jc w:val="center"/>
              <w:textAlignment w:val="center"/>
              <w:rPr>
                <w:rStyle w:val="44"/>
                <w:rFonts w:hint="default"/>
                <w:color w:val="auto"/>
              </w:rPr>
            </w:pPr>
          </w:p>
        </w:tc>
        <w:tc>
          <w:tcPr>
            <w:tcW w:w="1585" w:type="pct"/>
            <w:vMerge w:val="continue"/>
            <w:vAlign w:val="center"/>
          </w:tcPr>
          <w:p w14:paraId="5DB6F27C">
            <w:pPr>
              <w:spacing w:line="240" w:lineRule="auto"/>
              <w:jc w:val="left"/>
              <w:textAlignment w:val="center"/>
              <w:rPr>
                <w:rStyle w:val="44"/>
                <w:rFonts w:hint="default"/>
                <w:color w:val="auto"/>
              </w:rPr>
            </w:pPr>
          </w:p>
        </w:tc>
        <w:tc>
          <w:tcPr>
            <w:tcW w:w="488" w:type="pct"/>
            <w:vMerge w:val="continue"/>
            <w:vAlign w:val="center"/>
          </w:tcPr>
          <w:p w14:paraId="2E52FE44">
            <w:pPr>
              <w:spacing w:line="240" w:lineRule="auto"/>
              <w:jc w:val="center"/>
              <w:textAlignment w:val="center"/>
              <w:rPr>
                <w:rStyle w:val="44"/>
                <w:rFonts w:hint="default"/>
                <w:color w:val="auto"/>
              </w:rPr>
            </w:pPr>
          </w:p>
        </w:tc>
        <w:tc>
          <w:tcPr>
            <w:tcW w:w="1145" w:type="pct"/>
            <w:vMerge w:val="continue"/>
            <w:vAlign w:val="center"/>
          </w:tcPr>
          <w:p w14:paraId="7C67CDC5">
            <w:pPr>
              <w:spacing w:line="240" w:lineRule="auto"/>
              <w:jc w:val="left"/>
              <w:textAlignment w:val="center"/>
              <w:rPr>
                <w:rStyle w:val="44"/>
                <w:rFonts w:hint="default"/>
                <w:color w:val="auto"/>
              </w:rPr>
            </w:pPr>
          </w:p>
        </w:tc>
        <w:tc>
          <w:tcPr>
            <w:tcW w:w="534" w:type="pct"/>
            <w:vMerge w:val="continue"/>
            <w:vAlign w:val="center"/>
          </w:tcPr>
          <w:p w14:paraId="409BFF33">
            <w:pPr>
              <w:spacing w:line="240" w:lineRule="auto"/>
              <w:jc w:val="center"/>
              <w:textAlignment w:val="center"/>
              <w:rPr>
                <w:rStyle w:val="44"/>
                <w:rFonts w:hint="default"/>
                <w:color w:val="auto"/>
              </w:rPr>
            </w:pPr>
          </w:p>
        </w:tc>
      </w:tr>
      <w:tr w14:paraId="591C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restart"/>
            <w:vAlign w:val="center"/>
          </w:tcPr>
          <w:p w14:paraId="5ED8F50E">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3</w:t>
            </w:r>
          </w:p>
        </w:tc>
        <w:tc>
          <w:tcPr>
            <w:tcW w:w="487" w:type="pct"/>
            <w:vMerge w:val="restart"/>
            <w:vAlign w:val="center"/>
          </w:tcPr>
          <w:p w14:paraId="41607367">
            <w:pPr>
              <w:spacing w:line="240" w:lineRule="auto"/>
              <w:jc w:val="center"/>
              <w:textAlignment w:val="center"/>
              <w:rPr>
                <w:rStyle w:val="44"/>
                <w:rFonts w:hint="default"/>
                <w:color w:val="auto"/>
              </w:rPr>
            </w:pPr>
            <w:r>
              <w:rPr>
                <w:rStyle w:val="44"/>
                <w:rFonts w:hint="default"/>
                <w:color w:val="auto"/>
              </w:rPr>
              <w:t>八都镇大坦竹木加工小微园</w:t>
            </w:r>
          </w:p>
        </w:tc>
        <w:tc>
          <w:tcPr>
            <w:tcW w:w="569" w:type="pct"/>
            <w:vMerge w:val="restart"/>
            <w:vAlign w:val="center"/>
          </w:tcPr>
          <w:p w14:paraId="7E6BCDC0">
            <w:pPr>
              <w:spacing w:line="240" w:lineRule="auto"/>
              <w:jc w:val="center"/>
              <w:textAlignment w:val="center"/>
              <w:rPr>
                <w:rStyle w:val="44"/>
                <w:rFonts w:hint="default"/>
                <w:color w:val="auto"/>
              </w:rPr>
            </w:pPr>
            <w:r>
              <w:rPr>
                <w:rStyle w:val="44"/>
                <w:rFonts w:hint="default"/>
                <w:color w:val="auto"/>
              </w:rPr>
              <w:t>八都镇大坦村</w:t>
            </w:r>
          </w:p>
        </w:tc>
        <w:tc>
          <w:tcPr>
            <w:tcW w:w="1585" w:type="pct"/>
            <w:vMerge w:val="restart"/>
            <w:vAlign w:val="center"/>
          </w:tcPr>
          <w:p w14:paraId="053ED02D">
            <w:pPr>
              <w:spacing w:line="240" w:lineRule="auto"/>
              <w:jc w:val="left"/>
              <w:textAlignment w:val="center"/>
              <w:rPr>
                <w:rStyle w:val="44"/>
                <w:rFonts w:hint="default"/>
                <w:color w:val="auto"/>
              </w:rPr>
            </w:pPr>
            <w:r>
              <w:rPr>
                <w:rStyle w:val="44"/>
                <w:rFonts w:hint="default"/>
                <w:color w:val="auto"/>
              </w:rPr>
              <w:t>原区块内有12家企业被拆除后，用于小微园建设。项目共分为两期建设，总用地面积57亩，其中一期用地21.2亩，二期用地36亩，总建筑面积20160平方米。</w:t>
            </w:r>
          </w:p>
        </w:tc>
        <w:tc>
          <w:tcPr>
            <w:tcW w:w="488" w:type="pct"/>
            <w:vMerge w:val="restart"/>
            <w:vAlign w:val="center"/>
          </w:tcPr>
          <w:p w14:paraId="6A3C620A">
            <w:pPr>
              <w:spacing w:line="240" w:lineRule="auto"/>
              <w:jc w:val="center"/>
              <w:textAlignment w:val="center"/>
              <w:rPr>
                <w:rStyle w:val="44"/>
                <w:rFonts w:hint="default"/>
                <w:color w:val="auto"/>
              </w:rPr>
            </w:pPr>
            <w:r>
              <w:rPr>
                <w:rStyle w:val="44"/>
                <w:rFonts w:hint="default"/>
                <w:color w:val="auto"/>
              </w:rPr>
              <w:t>57</w:t>
            </w:r>
          </w:p>
        </w:tc>
        <w:tc>
          <w:tcPr>
            <w:tcW w:w="1145" w:type="pct"/>
            <w:vMerge w:val="restart"/>
            <w:vAlign w:val="center"/>
          </w:tcPr>
          <w:p w14:paraId="10FC36DE">
            <w:pPr>
              <w:spacing w:line="240" w:lineRule="auto"/>
              <w:jc w:val="left"/>
              <w:textAlignment w:val="center"/>
              <w:rPr>
                <w:rStyle w:val="44"/>
                <w:rFonts w:hint="default"/>
                <w:color w:val="auto"/>
              </w:rPr>
            </w:pPr>
            <w:r>
              <w:rPr>
                <w:rStyle w:val="44"/>
                <w:rFonts w:hint="default"/>
                <w:color w:val="auto"/>
              </w:rPr>
              <w:t>一期21.2亩用地、5栋标准厂房7212平方米已在建设。二期计划2023年竣工投入使用。</w:t>
            </w:r>
          </w:p>
        </w:tc>
        <w:tc>
          <w:tcPr>
            <w:tcW w:w="534" w:type="pct"/>
            <w:vMerge w:val="restart"/>
            <w:vAlign w:val="center"/>
          </w:tcPr>
          <w:p w14:paraId="2D55E1E9">
            <w:pPr>
              <w:spacing w:line="240" w:lineRule="auto"/>
              <w:jc w:val="center"/>
              <w:textAlignment w:val="center"/>
              <w:rPr>
                <w:rStyle w:val="44"/>
                <w:rFonts w:hint="default"/>
                <w:color w:val="auto"/>
              </w:rPr>
            </w:pPr>
            <w:r>
              <w:rPr>
                <w:rStyle w:val="44"/>
                <w:rFonts w:hint="default"/>
                <w:color w:val="auto"/>
              </w:rPr>
              <w:t>竹木制品</w:t>
            </w:r>
          </w:p>
        </w:tc>
      </w:tr>
      <w:tr w14:paraId="38D9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74763D6C">
            <w:pPr>
              <w:spacing w:line="240" w:lineRule="auto"/>
              <w:jc w:val="center"/>
              <w:rPr>
                <w:rFonts w:ascii="宋体" w:hAnsi="宋体" w:cs="宋体"/>
                <w:color w:val="auto"/>
                <w:kern w:val="0"/>
                <w:sz w:val="24"/>
              </w:rPr>
            </w:pPr>
          </w:p>
        </w:tc>
        <w:tc>
          <w:tcPr>
            <w:tcW w:w="487" w:type="pct"/>
            <w:vMerge w:val="continue"/>
            <w:vAlign w:val="center"/>
          </w:tcPr>
          <w:p w14:paraId="29A83A86">
            <w:pPr>
              <w:spacing w:line="240" w:lineRule="auto"/>
              <w:jc w:val="center"/>
              <w:textAlignment w:val="center"/>
              <w:rPr>
                <w:rStyle w:val="44"/>
                <w:rFonts w:hint="default"/>
                <w:color w:val="auto"/>
              </w:rPr>
            </w:pPr>
          </w:p>
        </w:tc>
        <w:tc>
          <w:tcPr>
            <w:tcW w:w="569" w:type="pct"/>
            <w:vMerge w:val="continue"/>
            <w:vAlign w:val="center"/>
          </w:tcPr>
          <w:p w14:paraId="42AFB24D">
            <w:pPr>
              <w:spacing w:line="240" w:lineRule="auto"/>
              <w:jc w:val="center"/>
              <w:textAlignment w:val="center"/>
              <w:rPr>
                <w:rStyle w:val="44"/>
                <w:rFonts w:hint="default"/>
                <w:color w:val="auto"/>
              </w:rPr>
            </w:pPr>
          </w:p>
        </w:tc>
        <w:tc>
          <w:tcPr>
            <w:tcW w:w="1585" w:type="pct"/>
            <w:vMerge w:val="continue"/>
            <w:vAlign w:val="center"/>
          </w:tcPr>
          <w:p w14:paraId="6F667C99">
            <w:pPr>
              <w:spacing w:line="240" w:lineRule="auto"/>
              <w:jc w:val="left"/>
              <w:textAlignment w:val="center"/>
              <w:rPr>
                <w:rStyle w:val="44"/>
                <w:rFonts w:hint="default"/>
                <w:color w:val="auto"/>
              </w:rPr>
            </w:pPr>
          </w:p>
        </w:tc>
        <w:tc>
          <w:tcPr>
            <w:tcW w:w="488" w:type="pct"/>
            <w:vMerge w:val="continue"/>
            <w:vAlign w:val="center"/>
          </w:tcPr>
          <w:p w14:paraId="4DEE2950">
            <w:pPr>
              <w:spacing w:line="240" w:lineRule="auto"/>
              <w:jc w:val="center"/>
              <w:textAlignment w:val="center"/>
              <w:rPr>
                <w:rStyle w:val="44"/>
                <w:rFonts w:hint="default"/>
                <w:color w:val="auto"/>
              </w:rPr>
            </w:pPr>
          </w:p>
        </w:tc>
        <w:tc>
          <w:tcPr>
            <w:tcW w:w="1145" w:type="pct"/>
            <w:vMerge w:val="continue"/>
            <w:vAlign w:val="center"/>
          </w:tcPr>
          <w:p w14:paraId="63A187E6">
            <w:pPr>
              <w:spacing w:line="240" w:lineRule="auto"/>
              <w:jc w:val="left"/>
              <w:textAlignment w:val="center"/>
              <w:rPr>
                <w:rStyle w:val="44"/>
                <w:rFonts w:hint="default"/>
                <w:color w:val="auto"/>
              </w:rPr>
            </w:pPr>
          </w:p>
        </w:tc>
        <w:tc>
          <w:tcPr>
            <w:tcW w:w="534" w:type="pct"/>
            <w:vMerge w:val="continue"/>
            <w:vAlign w:val="center"/>
          </w:tcPr>
          <w:p w14:paraId="5183BFA1">
            <w:pPr>
              <w:spacing w:line="240" w:lineRule="auto"/>
              <w:jc w:val="center"/>
              <w:textAlignment w:val="center"/>
              <w:rPr>
                <w:rStyle w:val="44"/>
                <w:rFonts w:hint="default"/>
                <w:color w:val="auto"/>
              </w:rPr>
            </w:pPr>
          </w:p>
        </w:tc>
      </w:tr>
      <w:tr w14:paraId="5332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41B7C903">
            <w:pPr>
              <w:spacing w:line="240" w:lineRule="auto"/>
              <w:jc w:val="center"/>
              <w:rPr>
                <w:rFonts w:ascii="宋体" w:hAnsi="宋体" w:cs="宋体"/>
                <w:color w:val="auto"/>
                <w:kern w:val="0"/>
                <w:sz w:val="24"/>
              </w:rPr>
            </w:pPr>
          </w:p>
        </w:tc>
        <w:tc>
          <w:tcPr>
            <w:tcW w:w="487" w:type="pct"/>
            <w:vMerge w:val="continue"/>
            <w:vAlign w:val="center"/>
          </w:tcPr>
          <w:p w14:paraId="77D9BBD2">
            <w:pPr>
              <w:spacing w:line="240" w:lineRule="auto"/>
              <w:jc w:val="center"/>
              <w:textAlignment w:val="center"/>
              <w:rPr>
                <w:rStyle w:val="44"/>
                <w:rFonts w:hint="default"/>
                <w:color w:val="auto"/>
              </w:rPr>
            </w:pPr>
          </w:p>
        </w:tc>
        <w:tc>
          <w:tcPr>
            <w:tcW w:w="569" w:type="pct"/>
            <w:vMerge w:val="continue"/>
            <w:vAlign w:val="center"/>
          </w:tcPr>
          <w:p w14:paraId="0095AC31">
            <w:pPr>
              <w:spacing w:line="240" w:lineRule="auto"/>
              <w:jc w:val="center"/>
              <w:textAlignment w:val="center"/>
              <w:rPr>
                <w:rStyle w:val="44"/>
                <w:rFonts w:hint="default"/>
                <w:color w:val="auto"/>
              </w:rPr>
            </w:pPr>
          </w:p>
        </w:tc>
        <w:tc>
          <w:tcPr>
            <w:tcW w:w="1585" w:type="pct"/>
            <w:vMerge w:val="continue"/>
            <w:vAlign w:val="center"/>
          </w:tcPr>
          <w:p w14:paraId="0EFBEAE4">
            <w:pPr>
              <w:spacing w:line="240" w:lineRule="auto"/>
              <w:jc w:val="left"/>
              <w:textAlignment w:val="center"/>
              <w:rPr>
                <w:rStyle w:val="44"/>
                <w:rFonts w:hint="default"/>
                <w:color w:val="auto"/>
              </w:rPr>
            </w:pPr>
          </w:p>
        </w:tc>
        <w:tc>
          <w:tcPr>
            <w:tcW w:w="488" w:type="pct"/>
            <w:vMerge w:val="continue"/>
            <w:vAlign w:val="center"/>
          </w:tcPr>
          <w:p w14:paraId="277EA579">
            <w:pPr>
              <w:spacing w:line="240" w:lineRule="auto"/>
              <w:jc w:val="center"/>
              <w:textAlignment w:val="center"/>
              <w:rPr>
                <w:rStyle w:val="44"/>
                <w:rFonts w:hint="default"/>
                <w:color w:val="auto"/>
              </w:rPr>
            </w:pPr>
          </w:p>
        </w:tc>
        <w:tc>
          <w:tcPr>
            <w:tcW w:w="1145" w:type="pct"/>
            <w:vMerge w:val="continue"/>
            <w:vAlign w:val="center"/>
          </w:tcPr>
          <w:p w14:paraId="3118AE5D">
            <w:pPr>
              <w:spacing w:line="240" w:lineRule="auto"/>
              <w:jc w:val="left"/>
              <w:textAlignment w:val="center"/>
              <w:rPr>
                <w:rStyle w:val="44"/>
                <w:rFonts w:hint="default"/>
                <w:color w:val="auto"/>
              </w:rPr>
            </w:pPr>
          </w:p>
        </w:tc>
        <w:tc>
          <w:tcPr>
            <w:tcW w:w="534" w:type="pct"/>
            <w:vMerge w:val="continue"/>
            <w:vAlign w:val="center"/>
          </w:tcPr>
          <w:p w14:paraId="0EC94E8E">
            <w:pPr>
              <w:spacing w:line="240" w:lineRule="auto"/>
              <w:jc w:val="center"/>
              <w:textAlignment w:val="center"/>
              <w:rPr>
                <w:rStyle w:val="44"/>
                <w:rFonts w:hint="default"/>
                <w:color w:val="auto"/>
              </w:rPr>
            </w:pPr>
          </w:p>
        </w:tc>
      </w:tr>
      <w:tr w14:paraId="5F78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24F810DC">
            <w:pPr>
              <w:spacing w:line="240" w:lineRule="auto"/>
              <w:jc w:val="center"/>
              <w:rPr>
                <w:rFonts w:ascii="宋体" w:hAnsi="宋体" w:cs="宋体"/>
                <w:color w:val="auto"/>
                <w:kern w:val="0"/>
                <w:sz w:val="24"/>
              </w:rPr>
            </w:pPr>
          </w:p>
        </w:tc>
        <w:tc>
          <w:tcPr>
            <w:tcW w:w="487" w:type="pct"/>
            <w:vMerge w:val="continue"/>
            <w:vAlign w:val="center"/>
          </w:tcPr>
          <w:p w14:paraId="1CECF333">
            <w:pPr>
              <w:spacing w:line="240" w:lineRule="auto"/>
              <w:jc w:val="center"/>
              <w:textAlignment w:val="center"/>
              <w:rPr>
                <w:rStyle w:val="44"/>
                <w:rFonts w:hint="default"/>
                <w:color w:val="auto"/>
              </w:rPr>
            </w:pPr>
          </w:p>
        </w:tc>
        <w:tc>
          <w:tcPr>
            <w:tcW w:w="569" w:type="pct"/>
            <w:vMerge w:val="continue"/>
            <w:vAlign w:val="center"/>
          </w:tcPr>
          <w:p w14:paraId="12904671">
            <w:pPr>
              <w:spacing w:line="240" w:lineRule="auto"/>
              <w:jc w:val="center"/>
              <w:textAlignment w:val="center"/>
              <w:rPr>
                <w:rStyle w:val="44"/>
                <w:rFonts w:hint="default"/>
                <w:color w:val="auto"/>
              </w:rPr>
            </w:pPr>
          </w:p>
        </w:tc>
        <w:tc>
          <w:tcPr>
            <w:tcW w:w="1585" w:type="pct"/>
            <w:vMerge w:val="continue"/>
            <w:vAlign w:val="center"/>
          </w:tcPr>
          <w:p w14:paraId="5FF6DF4D">
            <w:pPr>
              <w:spacing w:line="240" w:lineRule="auto"/>
              <w:jc w:val="left"/>
              <w:textAlignment w:val="center"/>
              <w:rPr>
                <w:rStyle w:val="44"/>
                <w:rFonts w:hint="default"/>
                <w:color w:val="auto"/>
              </w:rPr>
            </w:pPr>
          </w:p>
        </w:tc>
        <w:tc>
          <w:tcPr>
            <w:tcW w:w="488" w:type="pct"/>
            <w:vMerge w:val="continue"/>
            <w:vAlign w:val="center"/>
          </w:tcPr>
          <w:p w14:paraId="2984C991">
            <w:pPr>
              <w:spacing w:line="240" w:lineRule="auto"/>
              <w:jc w:val="center"/>
              <w:textAlignment w:val="center"/>
              <w:rPr>
                <w:rStyle w:val="44"/>
                <w:rFonts w:hint="default"/>
                <w:color w:val="auto"/>
              </w:rPr>
            </w:pPr>
          </w:p>
        </w:tc>
        <w:tc>
          <w:tcPr>
            <w:tcW w:w="1145" w:type="pct"/>
            <w:vMerge w:val="continue"/>
            <w:vAlign w:val="center"/>
          </w:tcPr>
          <w:p w14:paraId="39DFA772">
            <w:pPr>
              <w:spacing w:line="240" w:lineRule="auto"/>
              <w:jc w:val="left"/>
              <w:textAlignment w:val="center"/>
              <w:rPr>
                <w:rStyle w:val="44"/>
                <w:rFonts w:hint="default"/>
                <w:color w:val="auto"/>
              </w:rPr>
            </w:pPr>
          </w:p>
        </w:tc>
        <w:tc>
          <w:tcPr>
            <w:tcW w:w="534" w:type="pct"/>
            <w:vMerge w:val="continue"/>
            <w:vAlign w:val="center"/>
          </w:tcPr>
          <w:p w14:paraId="5624E777">
            <w:pPr>
              <w:spacing w:line="240" w:lineRule="auto"/>
              <w:jc w:val="center"/>
              <w:textAlignment w:val="center"/>
              <w:rPr>
                <w:rStyle w:val="44"/>
                <w:rFonts w:hint="default"/>
                <w:color w:val="auto"/>
              </w:rPr>
            </w:pPr>
          </w:p>
        </w:tc>
      </w:tr>
      <w:tr w14:paraId="5E9C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2A0168CD">
            <w:pPr>
              <w:spacing w:line="240" w:lineRule="auto"/>
              <w:jc w:val="center"/>
              <w:rPr>
                <w:rFonts w:ascii="宋体" w:hAnsi="宋体" w:cs="宋体"/>
                <w:color w:val="auto"/>
                <w:kern w:val="0"/>
                <w:sz w:val="24"/>
              </w:rPr>
            </w:pPr>
          </w:p>
        </w:tc>
        <w:tc>
          <w:tcPr>
            <w:tcW w:w="487" w:type="pct"/>
            <w:vMerge w:val="continue"/>
            <w:vAlign w:val="center"/>
          </w:tcPr>
          <w:p w14:paraId="46BEEFB4">
            <w:pPr>
              <w:spacing w:line="240" w:lineRule="auto"/>
              <w:jc w:val="center"/>
              <w:textAlignment w:val="center"/>
              <w:rPr>
                <w:rStyle w:val="44"/>
                <w:rFonts w:hint="default"/>
                <w:color w:val="auto"/>
              </w:rPr>
            </w:pPr>
          </w:p>
        </w:tc>
        <w:tc>
          <w:tcPr>
            <w:tcW w:w="569" w:type="pct"/>
            <w:vMerge w:val="continue"/>
            <w:vAlign w:val="center"/>
          </w:tcPr>
          <w:p w14:paraId="2C3D6B60">
            <w:pPr>
              <w:spacing w:line="240" w:lineRule="auto"/>
              <w:jc w:val="center"/>
              <w:textAlignment w:val="center"/>
              <w:rPr>
                <w:rStyle w:val="44"/>
                <w:rFonts w:hint="default"/>
                <w:color w:val="auto"/>
              </w:rPr>
            </w:pPr>
          </w:p>
        </w:tc>
        <w:tc>
          <w:tcPr>
            <w:tcW w:w="1585" w:type="pct"/>
            <w:vMerge w:val="continue"/>
            <w:vAlign w:val="center"/>
          </w:tcPr>
          <w:p w14:paraId="6AF29BC3">
            <w:pPr>
              <w:spacing w:line="240" w:lineRule="auto"/>
              <w:jc w:val="left"/>
              <w:textAlignment w:val="center"/>
              <w:rPr>
                <w:rStyle w:val="44"/>
                <w:rFonts w:hint="default"/>
                <w:color w:val="auto"/>
              </w:rPr>
            </w:pPr>
          </w:p>
        </w:tc>
        <w:tc>
          <w:tcPr>
            <w:tcW w:w="488" w:type="pct"/>
            <w:vMerge w:val="continue"/>
            <w:vAlign w:val="center"/>
          </w:tcPr>
          <w:p w14:paraId="718C1E1B">
            <w:pPr>
              <w:spacing w:line="240" w:lineRule="auto"/>
              <w:jc w:val="center"/>
              <w:textAlignment w:val="center"/>
              <w:rPr>
                <w:rStyle w:val="44"/>
                <w:rFonts w:hint="default"/>
                <w:color w:val="auto"/>
              </w:rPr>
            </w:pPr>
          </w:p>
        </w:tc>
        <w:tc>
          <w:tcPr>
            <w:tcW w:w="1145" w:type="pct"/>
            <w:vMerge w:val="continue"/>
            <w:vAlign w:val="center"/>
          </w:tcPr>
          <w:p w14:paraId="7B75C3AF">
            <w:pPr>
              <w:spacing w:line="240" w:lineRule="auto"/>
              <w:jc w:val="left"/>
              <w:textAlignment w:val="center"/>
              <w:rPr>
                <w:rStyle w:val="44"/>
                <w:rFonts w:hint="default"/>
                <w:color w:val="auto"/>
              </w:rPr>
            </w:pPr>
          </w:p>
        </w:tc>
        <w:tc>
          <w:tcPr>
            <w:tcW w:w="534" w:type="pct"/>
            <w:vMerge w:val="continue"/>
            <w:vAlign w:val="center"/>
          </w:tcPr>
          <w:p w14:paraId="0A295885">
            <w:pPr>
              <w:spacing w:line="240" w:lineRule="auto"/>
              <w:jc w:val="center"/>
              <w:textAlignment w:val="center"/>
              <w:rPr>
                <w:rStyle w:val="44"/>
                <w:rFonts w:hint="default"/>
                <w:color w:val="auto"/>
              </w:rPr>
            </w:pPr>
          </w:p>
        </w:tc>
      </w:tr>
      <w:tr w14:paraId="4F03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restart"/>
            <w:vAlign w:val="center"/>
          </w:tcPr>
          <w:p w14:paraId="22E5EE1D">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4</w:t>
            </w:r>
          </w:p>
        </w:tc>
        <w:tc>
          <w:tcPr>
            <w:tcW w:w="487" w:type="pct"/>
            <w:vMerge w:val="restart"/>
            <w:vAlign w:val="center"/>
          </w:tcPr>
          <w:p w14:paraId="6F3C2B3C">
            <w:pPr>
              <w:spacing w:line="240" w:lineRule="auto"/>
              <w:jc w:val="center"/>
              <w:textAlignment w:val="center"/>
              <w:rPr>
                <w:rStyle w:val="44"/>
                <w:rFonts w:hint="default"/>
                <w:color w:val="auto"/>
              </w:rPr>
            </w:pPr>
            <w:r>
              <w:rPr>
                <w:rStyle w:val="44"/>
                <w:rFonts w:hint="default"/>
                <w:color w:val="auto"/>
              </w:rPr>
              <w:t>八都镇溪坪竹产业小微园</w:t>
            </w:r>
          </w:p>
        </w:tc>
        <w:tc>
          <w:tcPr>
            <w:tcW w:w="569" w:type="pct"/>
            <w:vMerge w:val="restart"/>
            <w:vAlign w:val="center"/>
          </w:tcPr>
          <w:p w14:paraId="31AF8103">
            <w:pPr>
              <w:spacing w:line="240" w:lineRule="auto"/>
              <w:jc w:val="center"/>
              <w:textAlignment w:val="center"/>
              <w:rPr>
                <w:rStyle w:val="44"/>
                <w:rFonts w:hint="default"/>
                <w:color w:val="auto"/>
              </w:rPr>
            </w:pPr>
            <w:r>
              <w:rPr>
                <w:rStyle w:val="44"/>
                <w:rFonts w:hint="default"/>
                <w:color w:val="auto"/>
              </w:rPr>
              <w:t>八都镇平山岭</w:t>
            </w:r>
          </w:p>
        </w:tc>
        <w:tc>
          <w:tcPr>
            <w:tcW w:w="1585" w:type="pct"/>
            <w:vMerge w:val="restart"/>
            <w:vAlign w:val="center"/>
          </w:tcPr>
          <w:p w14:paraId="05983CA2">
            <w:pPr>
              <w:spacing w:line="240" w:lineRule="auto"/>
              <w:jc w:val="left"/>
              <w:textAlignment w:val="center"/>
              <w:rPr>
                <w:rStyle w:val="44"/>
                <w:rFonts w:hint="default"/>
                <w:color w:val="auto"/>
              </w:rPr>
            </w:pPr>
            <w:r>
              <w:rPr>
                <w:rStyle w:val="44"/>
                <w:rFonts w:hint="default"/>
                <w:color w:val="auto"/>
              </w:rPr>
              <w:t>该园区由八都镇政府利用专项资金投资建设，建成后用于出租给竹木制品企业。</w:t>
            </w:r>
          </w:p>
        </w:tc>
        <w:tc>
          <w:tcPr>
            <w:tcW w:w="488" w:type="pct"/>
            <w:vMerge w:val="restart"/>
            <w:vAlign w:val="center"/>
          </w:tcPr>
          <w:p w14:paraId="728F0ECB">
            <w:pPr>
              <w:spacing w:line="240" w:lineRule="auto"/>
              <w:jc w:val="center"/>
              <w:textAlignment w:val="center"/>
              <w:rPr>
                <w:rStyle w:val="44"/>
                <w:rFonts w:hint="default"/>
                <w:color w:val="auto"/>
              </w:rPr>
            </w:pPr>
            <w:r>
              <w:rPr>
                <w:rStyle w:val="44"/>
                <w:rFonts w:hint="default"/>
                <w:color w:val="auto"/>
              </w:rPr>
              <w:t>36</w:t>
            </w:r>
          </w:p>
        </w:tc>
        <w:tc>
          <w:tcPr>
            <w:tcW w:w="1145" w:type="pct"/>
            <w:vMerge w:val="restart"/>
            <w:vAlign w:val="center"/>
          </w:tcPr>
          <w:p w14:paraId="6CAC6B36">
            <w:pPr>
              <w:spacing w:line="240" w:lineRule="auto"/>
              <w:jc w:val="left"/>
              <w:textAlignment w:val="center"/>
              <w:rPr>
                <w:rStyle w:val="44"/>
                <w:rFonts w:hint="default"/>
                <w:color w:val="auto"/>
              </w:rPr>
            </w:pPr>
            <w:r>
              <w:rPr>
                <w:rStyle w:val="44"/>
                <w:rFonts w:hint="default"/>
                <w:color w:val="auto"/>
              </w:rPr>
              <w:t>该园区由八都镇政府牵头负责开工建设。</w:t>
            </w:r>
          </w:p>
        </w:tc>
        <w:tc>
          <w:tcPr>
            <w:tcW w:w="534" w:type="pct"/>
            <w:vMerge w:val="restart"/>
            <w:vAlign w:val="center"/>
          </w:tcPr>
          <w:p w14:paraId="5ED33745">
            <w:pPr>
              <w:spacing w:line="240" w:lineRule="auto"/>
              <w:jc w:val="center"/>
              <w:textAlignment w:val="center"/>
              <w:rPr>
                <w:rStyle w:val="44"/>
                <w:rFonts w:hint="default"/>
                <w:color w:val="auto"/>
              </w:rPr>
            </w:pPr>
            <w:r>
              <w:rPr>
                <w:rStyle w:val="44"/>
                <w:rFonts w:hint="default"/>
                <w:color w:val="auto"/>
              </w:rPr>
              <w:t>竹木制品</w:t>
            </w:r>
          </w:p>
        </w:tc>
      </w:tr>
      <w:tr w14:paraId="1095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628A4AE8">
            <w:pPr>
              <w:spacing w:line="240" w:lineRule="auto"/>
              <w:jc w:val="center"/>
              <w:rPr>
                <w:rFonts w:ascii="宋体" w:hAnsi="宋体" w:cs="宋体"/>
                <w:color w:val="auto"/>
                <w:kern w:val="0"/>
                <w:sz w:val="24"/>
              </w:rPr>
            </w:pPr>
          </w:p>
        </w:tc>
        <w:tc>
          <w:tcPr>
            <w:tcW w:w="487" w:type="pct"/>
            <w:vMerge w:val="continue"/>
            <w:vAlign w:val="center"/>
          </w:tcPr>
          <w:p w14:paraId="48467097">
            <w:pPr>
              <w:spacing w:line="240" w:lineRule="auto"/>
              <w:jc w:val="center"/>
              <w:textAlignment w:val="center"/>
              <w:rPr>
                <w:rStyle w:val="44"/>
                <w:rFonts w:hint="default"/>
                <w:color w:val="auto"/>
              </w:rPr>
            </w:pPr>
          </w:p>
        </w:tc>
        <w:tc>
          <w:tcPr>
            <w:tcW w:w="569" w:type="pct"/>
            <w:vMerge w:val="continue"/>
            <w:vAlign w:val="center"/>
          </w:tcPr>
          <w:p w14:paraId="5FF61450">
            <w:pPr>
              <w:spacing w:line="240" w:lineRule="auto"/>
              <w:jc w:val="center"/>
              <w:textAlignment w:val="center"/>
              <w:rPr>
                <w:rStyle w:val="44"/>
                <w:rFonts w:hint="default"/>
                <w:color w:val="auto"/>
              </w:rPr>
            </w:pPr>
          </w:p>
        </w:tc>
        <w:tc>
          <w:tcPr>
            <w:tcW w:w="1585" w:type="pct"/>
            <w:vMerge w:val="continue"/>
            <w:vAlign w:val="center"/>
          </w:tcPr>
          <w:p w14:paraId="34D6833E">
            <w:pPr>
              <w:spacing w:line="240" w:lineRule="auto"/>
              <w:jc w:val="left"/>
              <w:textAlignment w:val="center"/>
              <w:rPr>
                <w:rStyle w:val="44"/>
                <w:rFonts w:hint="default"/>
                <w:color w:val="auto"/>
              </w:rPr>
            </w:pPr>
          </w:p>
        </w:tc>
        <w:tc>
          <w:tcPr>
            <w:tcW w:w="488" w:type="pct"/>
            <w:vMerge w:val="continue"/>
            <w:vAlign w:val="center"/>
          </w:tcPr>
          <w:p w14:paraId="78036AED">
            <w:pPr>
              <w:spacing w:line="240" w:lineRule="auto"/>
              <w:jc w:val="center"/>
              <w:textAlignment w:val="center"/>
              <w:rPr>
                <w:rStyle w:val="44"/>
                <w:rFonts w:hint="default"/>
                <w:color w:val="auto"/>
              </w:rPr>
            </w:pPr>
          </w:p>
        </w:tc>
        <w:tc>
          <w:tcPr>
            <w:tcW w:w="1145" w:type="pct"/>
            <w:vMerge w:val="continue"/>
            <w:vAlign w:val="center"/>
          </w:tcPr>
          <w:p w14:paraId="43E4A16D">
            <w:pPr>
              <w:spacing w:line="240" w:lineRule="auto"/>
              <w:jc w:val="left"/>
              <w:textAlignment w:val="center"/>
              <w:rPr>
                <w:rStyle w:val="44"/>
                <w:rFonts w:hint="default"/>
                <w:color w:val="auto"/>
              </w:rPr>
            </w:pPr>
          </w:p>
        </w:tc>
        <w:tc>
          <w:tcPr>
            <w:tcW w:w="534" w:type="pct"/>
            <w:vMerge w:val="continue"/>
            <w:vAlign w:val="center"/>
          </w:tcPr>
          <w:p w14:paraId="6C7738EE">
            <w:pPr>
              <w:spacing w:line="240" w:lineRule="auto"/>
              <w:jc w:val="center"/>
              <w:textAlignment w:val="center"/>
              <w:rPr>
                <w:rStyle w:val="44"/>
                <w:rFonts w:hint="default"/>
                <w:color w:val="auto"/>
              </w:rPr>
            </w:pPr>
          </w:p>
        </w:tc>
      </w:tr>
      <w:tr w14:paraId="4188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481676DA">
            <w:pPr>
              <w:spacing w:line="240" w:lineRule="auto"/>
              <w:jc w:val="center"/>
              <w:rPr>
                <w:rFonts w:ascii="宋体" w:hAnsi="宋体" w:cs="宋体"/>
                <w:color w:val="auto"/>
                <w:kern w:val="0"/>
                <w:sz w:val="24"/>
              </w:rPr>
            </w:pPr>
          </w:p>
        </w:tc>
        <w:tc>
          <w:tcPr>
            <w:tcW w:w="487" w:type="pct"/>
            <w:vMerge w:val="continue"/>
            <w:vAlign w:val="center"/>
          </w:tcPr>
          <w:p w14:paraId="60F981DA">
            <w:pPr>
              <w:spacing w:line="240" w:lineRule="auto"/>
              <w:jc w:val="center"/>
              <w:textAlignment w:val="center"/>
              <w:rPr>
                <w:rStyle w:val="44"/>
                <w:rFonts w:hint="default"/>
                <w:color w:val="auto"/>
              </w:rPr>
            </w:pPr>
          </w:p>
        </w:tc>
        <w:tc>
          <w:tcPr>
            <w:tcW w:w="569" w:type="pct"/>
            <w:vMerge w:val="continue"/>
            <w:vAlign w:val="center"/>
          </w:tcPr>
          <w:p w14:paraId="7FD44F34">
            <w:pPr>
              <w:spacing w:line="240" w:lineRule="auto"/>
              <w:jc w:val="center"/>
              <w:textAlignment w:val="center"/>
              <w:rPr>
                <w:rStyle w:val="44"/>
                <w:rFonts w:hint="default"/>
                <w:color w:val="auto"/>
              </w:rPr>
            </w:pPr>
          </w:p>
        </w:tc>
        <w:tc>
          <w:tcPr>
            <w:tcW w:w="1585" w:type="pct"/>
            <w:vMerge w:val="continue"/>
            <w:vAlign w:val="center"/>
          </w:tcPr>
          <w:p w14:paraId="2E1FB4B6">
            <w:pPr>
              <w:spacing w:line="240" w:lineRule="auto"/>
              <w:jc w:val="left"/>
              <w:textAlignment w:val="center"/>
              <w:rPr>
                <w:rStyle w:val="44"/>
                <w:rFonts w:hint="default"/>
                <w:color w:val="auto"/>
              </w:rPr>
            </w:pPr>
          </w:p>
        </w:tc>
        <w:tc>
          <w:tcPr>
            <w:tcW w:w="488" w:type="pct"/>
            <w:vMerge w:val="continue"/>
            <w:vAlign w:val="center"/>
          </w:tcPr>
          <w:p w14:paraId="4022042C">
            <w:pPr>
              <w:spacing w:line="240" w:lineRule="auto"/>
              <w:jc w:val="center"/>
              <w:textAlignment w:val="center"/>
              <w:rPr>
                <w:rStyle w:val="44"/>
                <w:rFonts w:hint="default"/>
                <w:color w:val="auto"/>
              </w:rPr>
            </w:pPr>
          </w:p>
        </w:tc>
        <w:tc>
          <w:tcPr>
            <w:tcW w:w="1145" w:type="pct"/>
            <w:vMerge w:val="continue"/>
            <w:vAlign w:val="center"/>
          </w:tcPr>
          <w:p w14:paraId="04BC8CAE">
            <w:pPr>
              <w:spacing w:line="240" w:lineRule="auto"/>
              <w:jc w:val="left"/>
              <w:textAlignment w:val="center"/>
              <w:rPr>
                <w:rStyle w:val="44"/>
                <w:rFonts w:hint="default"/>
                <w:color w:val="auto"/>
              </w:rPr>
            </w:pPr>
          </w:p>
        </w:tc>
        <w:tc>
          <w:tcPr>
            <w:tcW w:w="534" w:type="pct"/>
            <w:vMerge w:val="continue"/>
            <w:vAlign w:val="center"/>
          </w:tcPr>
          <w:p w14:paraId="581EB895">
            <w:pPr>
              <w:spacing w:line="240" w:lineRule="auto"/>
              <w:jc w:val="center"/>
              <w:textAlignment w:val="center"/>
              <w:rPr>
                <w:rStyle w:val="44"/>
                <w:rFonts w:hint="default"/>
                <w:color w:val="auto"/>
              </w:rPr>
            </w:pPr>
          </w:p>
        </w:tc>
      </w:tr>
      <w:tr w14:paraId="672E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22A300C9">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5</w:t>
            </w:r>
          </w:p>
        </w:tc>
        <w:tc>
          <w:tcPr>
            <w:tcW w:w="487" w:type="pct"/>
            <w:vMerge w:val="restart"/>
            <w:vAlign w:val="center"/>
          </w:tcPr>
          <w:p w14:paraId="36D8E6A6">
            <w:pPr>
              <w:spacing w:line="240" w:lineRule="auto"/>
              <w:jc w:val="center"/>
              <w:textAlignment w:val="center"/>
              <w:rPr>
                <w:rStyle w:val="44"/>
                <w:rFonts w:hint="default"/>
                <w:color w:val="auto"/>
              </w:rPr>
            </w:pPr>
            <w:r>
              <w:rPr>
                <w:rStyle w:val="44"/>
                <w:rFonts w:hint="default"/>
                <w:color w:val="auto"/>
              </w:rPr>
              <w:t>八都镇松渠竹木加工小微园</w:t>
            </w:r>
          </w:p>
        </w:tc>
        <w:tc>
          <w:tcPr>
            <w:tcW w:w="569" w:type="pct"/>
            <w:vMerge w:val="restart"/>
            <w:vAlign w:val="center"/>
          </w:tcPr>
          <w:p w14:paraId="7AA6A82E">
            <w:pPr>
              <w:spacing w:line="240" w:lineRule="auto"/>
              <w:jc w:val="center"/>
              <w:textAlignment w:val="center"/>
              <w:rPr>
                <w:rStyle w:val="44"/>
                <w:rFonts w:hint="default"/>
                <w:color w:val="auto"/>
              </w:rPr>
            </w:pPr>
            <w:r>
              <w:rPr>
                <w:rStyle w:val="44"/>
                <w:rFonts w:hint="default"/>
                <w:color w:val="auto"/>
              </w:rPr>
              <w:t>八都镇松渠村黄山畈</w:t>
            </w:r>
          </w:p>
        </w:tc>
        <w:tc>
          <w:tcPr>
            <w:tcW w:w="1585" w:type="pct"/>
            <w:vMerge w:val="restart"/>
            <w:vAlign w:val="center"/>
          </w:tcPr>
          <w:p w14:paraId="512E0BA0">
            <w:pPr>
              <w:spacing w:line="240" w:lineRule="auto"/>
              <w:jc w:val="left"/>
              <w:textAlignment w:val="center"/>
              <w:rPr>
                <w:rStyle w:val="44"/>
                <w:rFonts w:hint="default"/>
                <w:color w:val="auto"/>
              </w:rPr>
            </w:pPr>
            <w:r>
              <w:rPr>
                <w:rStyle w:val="44"/>
                <w:rFonts w:hint="default"/>
                <w:color w:val="auto"/>
              </w:rPr>
              <w:t>该区块目前已有三家竹木制品企业，因用地、建设不规范，需要整改建设小微园，达到企业规范发展。</w:t>
            </w:r>
          </w:p>
        </w:tc>
        <w:tc>
          <w:tcPr>
            <w:tcW w:w="488" w:type="pct"/>
            <w:vMerge w:val="restart"/>
            <w:vAlign w:val="center"/>
          </w:tcPr>
          <w:p w14:paraId="6D1CD0B6">
            <w:pPr>
              <w:spacing w:line="240" w:lineRule="auto"/>
              <w:jc w:val="center"/>
              <w:textAlignment w:val="center"/>
              <w:rPr>
                <w:rStyle w:val="44"/>
                <w:rFonts w:hint="default"/>
                <w:color w:val="auto"/>
              </w:rPr>
            </w:pPr>
            <w:r>
              <w:rPr>
                <w:rStyle w:val="44"/>
                <w:rFonts w:hint="default"/>
                <w:color w:val="auto"/>
              </w:rPr>
              <w:t>40</w:t>
            </w:r>
          </w:p>
        </w:tc>
        <w:tc>
          <w:tcPr>
            <w:tcW w:w="1145" w:type="pct"/>
            <w:vMerge w:val="restart"/>
            <w:vAlign w:val="center"/>
          </w:tcPr>
          <w:p w14:paraId="3F599E66">
            <w:pPr>
              <w:spacing w:line="240" w:lineRule="auto"/>
              <w:jc w:val="left"/>
              <w:textAlignment w:val="center"/>
              <w:rPr>
                <w:rStyle w:val="44"/>
                <w:rFonts w:hint="default"/>
                <w:color w:val="auto"/>
              </w:rPr>
            </w:pPr>
            <w:r>
              <w:rPr>
                <w:rStyle w:val="44"/>
                <w:rFonts w:hint="default"/>
                <w:color w:val="auto"/>
              </w:rPr>
              <w:t>该区块已有36亩土地符合规划，其余4亩土地需要规划调整。计划2022年下半年开工建设，2023年底建成。</w:t>
            </w:r>
          </w:p>
        </w:tc>
        <w:tc>
          <w:tcPr>
            <w:tcW w:w="534" w:type="pct"/>
            <w:vMerge w:val="restart"/>
            <w:vAlign w:val="center"/>
          </w:tcPr>
          <w:p w14:paraId="76622E70">
            <w:pPr>
              <w:spacing w:line="240" w:lineRule="auto"/>
              <w:jc w:val="center"/>
              <w:textAlignment w:val="center"/>
              <w:rPr>
                <w:rStyle w:val="44"/>
                <w:rFonts w:hint="default"/>
                <w:color w:val="auto"/>
              </w:rPr>
            </w:pPr>
            <w:r>
              <w:rPr>
                <w:rStyle w:val="44"/>
                <w:rFonts w:hint="default"/>
                <w:color w:val="auto"/>
              </w:rPr>
              <w:t>竹木制品及配套产业</w:t>
            </w:r>
          </w:p>
        </w:tc>
      </w:tr>
      <w:tr w14:paraId="110C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06494EB">
            <w:pPr>
              <w:spacing w:line="240" w:lineRule="auto"/>
              <w:jc w:val="center"/>
              <w:rPr>
                <w:rFonts w:ascii="宋体" w:hAnsi="宋体" w:cs="宋体"/>
                <w:color w:val="auto"/>
                <w:kern w:val="0"/>
                <w:sz w:val="24"/>
              </w:rPr>
            </w:pPr>
          </w:p>
        </w:tc>
        <w:tc>
          <w:tcPr>
            <w:tcW w:w="487" w:type="pct"/>
            <w:vMerge w:val="continue"/>
            <w:vAlign w:val="center"/>
          </w:tcPr>
          <w:p w14:paraId="1D578BB9">
            <w:pPr>
              <w:spacing w:line="240" w:lineRule="auto"/>
              <w:jc w:val="center"/>
              <w:textAlignment w:val="center"/>
              <w:rPr>
                <w:rStyle w:val="44"/>
                <w:rFonts w:hint="default"/>
                <w:color w:val="auto"/>
              </w:rPr>
            </w:pPr>
          </w:p>
        </w:tc>
        <w:tc>
          <w:tcPr>
            <w:tcW w:w="569" w:type="pct"/>
            <w:vMerge w:val="continue"/>
            <w:vAlign w:val="center"/>
          </w:tcPr>
          <w:p w14:paraId="481DD1D9">
            <w:pPr>
              <w:spacing w:line="240" w:lineRule="auto"/>
              <w:jc w:val="center"/>
              <w:textAlignment w:val="center"/>
              <w:rPr>
                <w:rStyle w:val="44"/>
                <w:rFonts w:hint="default"/>
                <w:color w:val="auto"/>
              </w:rPr>
            </w:pPr>
          </w:p>
        </w:tc>
        <w:tc>
          <w:tcPr>
            <w:tcW w:w="1585" w:type="pct"/>
            <w:vMerge w:val="continue"/>
            <w:vAlign w:val="center"/>
          </w:tcPr>
          <w:p w14:paraId="296F168D">
            <w:pPr>
              <w:spacing w:line="240" w:lineRule="auto"/>
              <w:jc w:val="left"/>
              <w:textAlignment w:val="center"/>
              <w:rPr>
                <w:rStyle w:val="44"/>
                <w:rFonts w:hint="default"/>
                <w:color w:val="auto"/>
              </w:rPr>
            </w:pPr>
          </w:p>
        </w:tc>
        <w:tc>
          <w:tcPr>
            <w:tcW w:w="488" w:type="pct"/>
            <w:vMerge w:val="continue"/>
            <w:vAlign w:val="center"/>
          </w:tcPr>
          <w:p w14:paraId="32A903BC">
            <w:pPr>
              <w:spacing w:line="240" w:lineRule="auto"/>
              <w:jc w:val="center"/>
              <w:textAlignment w:val="center"/>
              <w:rPr>
                <w:rStyle w:val="44"/>
                <w:rFonts w:hint="default"/>
                <w:color w:val="auto"/>
              </w:rPr>
            </w:pPr>
          </w:p>
        </w:tc>
        <w:tc>
          <w:tcPr>
            <w:tcW w:w="1145" w:type="pct"/>
            <w:vMerge w:val="continue"/>
            <w:vAlign w:val="center"/>
          </w:tcPr>
          <w:p w14:paraId="67A351F7">
            <w:pPr>
              <w:spacing w:line="240" w:lineRule="auto"/>
              <w:jc w:val="left"/>
              <w:textAlignment w:val="center"/>
              <w:rPr>
                <w:rStyle w:val="44"/>
                <w:rFonts w:hint="default"/>
                <w:color w:val="auto"/>
              </w:rPr>
            </w:pPr>
          </w:p>
        </w:tc>
        <w:tc>
          <w:tcPr>
            <w:tcW w:w="534" w:type="pct"/>
            <w:vMerge w:val="continue"/>
            <w:vAlign w:val="center"/>
          </w:tcPr>
          <w:p w14:paraId="7B451229">
            <w:pPr>
              <w:spacing w:line="240" w:lineRule="auto"/>
              <w:jc w:val="center"/>
              <w:textAlignment w:val="center"/>
              <w:rPr>
                <w:rStyle w:val="44"/>
                <w:rFonts w:hint="default"/>
                <w:color w:val="auto"/>
              </w:rPr>
            </w:pPr>
          </w:p>
        </w:tc>
      </w:tr>
      <w:tr w14:paraId="7F1B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63EDE4DA">
            <w:pPr>
              <w:spacing w:line="240" w:lineRule="auto"/>
              <w:jc w:val="center"/>
              <w:rPr>
                <w:rFonts w:ascii="宋体" w:hAnsi="宋体" w:cs="宋体"/>
                <w:color w:val="auto"/>
                <w:kern w:val="0"/>
                <w:sz w:val="24"/>
              </w:rPr>
            </w:pPr>
          </w:p>
        </w:tc>
        <w:tc>
          <w:tcPr>
            <w:tcW w:w="487" w:type="pct"/>
            <w:vMerge w:val="continue"/>
            <w:vAlign w:val="center"/>
          </w:tcPr>
          <w:p w14:paraId="325562E2">
            <w:pPr>
              <w:spacing w:line="240" w:lineRule="auto"/>
              <w:jc w:val="center"/>
              <w:textAlignment w:val="center"/>
              <w:rPr>
                <w:rStyle w:val="44"/>
                <w:rFonts w:hint="default"/>
                <w:color w:val="auto"/>
              </w:rPr>
            </w:pPr>
          </w:p>
        </w:tc>
        <w:tc>
          <w:tcPr>
            <w:tcW w:w="569" w:type="pct"/>
            <w:vMerge w:val="continue"/>
            <w:vAlign w:val="center"/>
          </w:tcPr>
          <w:p w14:paraId="04144E1D">
            <w:pPr>
              <w:spacing w:line="240" w:lineRule="auto"/>
              <w:jc w:val="center"/>
              <w:textAlignment w:val="center"/>
              <w:rPr>
                <w:rStyle w:val="44"/>
                <w:rFonts w:hint="default"/>
                <w:color w:val="auto"/>
              </w:rPr>
            </w:pPr>
          </w:p>
        </w:tc>
        <w:tc>
          <w:tcPr>
            <w:tcW w:w="1585" w:type="pct"/>
            <w:vMerge w:val="continue"/>
            <w:vAlign w:val="center"/>
          </w:tcPr>
          <w:p w14:paraId="5BE46E67">
            <w:pPr>
              <w:spacing w:line="240" w:lineRule="auto"/>
              <w:jc w:val="left"/>
              <w:textAlignment w:val="center"/>
              <w:rPr>
                <w:rStyle w:val="44"/>
                <w:rFonts w:hint="default"/>
                <w:color w:val="auto"/>
              </w:rPr>
            </w:pPr>
          </w:p>
        </w:tc>
        <w:tc>
          <w:tcPr>
            <w:tcW w:w="488" w:type="pct"/>
            <w:vMerge w:val="continue"/>
            <w:vAlign w:val="center"/>
          </w:tcPr>
          <w:p w14:paraId="4FD4A751">
            <w:pPr>
              <w:spacing w:line="240" w:lineRule="auto"/>
              <w:jc w:val="center"/>
              <w:textAlignment w:val="center"/>
              <w:rPr>
                <w:rStyle w:val="44"/>
                <w:rFonts w:hint="default"/>
                <w:color w:val="auto"/>
              </w:rPr>
            </w:pPr>
          </w:p>
        </w:tc>
        <w:tc>
          <w:tcPr>
            <w:tcW w:w="1145" w:type="pct"/>
            <w:vMerge w:val="continue"/>
            <w:vAlign w:val="center"/>
          </w:tcPr>
          <w:p w14:paraId="0F0FC547">
            <w:pPr>
              <w:spacing w:line="240" w:lineRule="auto"/>
              <w:jc w:val="left"/>
              <w:textAlignment w:val="center"/>
              <w:rPr>
                <w:rStyle w:val="44"/>
                <w:rFonts w:hint="default"/>
                <w:color w:val="auto"/>
              </w:rPr>
            </w:pPr>
          </w:p>
        </w:tc>
        <w:tc>
          <w:tcPr>
            <w:tcW w:w="534" w:type="pct"/>
            <w:vMerge w:val="continue"/>
            <w:vAlign w:val="center"/>
          </w:tcPr>
          <w:p w14:paraId="5D26BDFA">
            <w:pPr>
              <w:spacing w:line="240" w:lineRule="auto"/>
              <w:jc w:val="center"/>
              <w:textAlignment w:val="center"/>
              <w:rPr>
                <w:rStyle w:val="44"/>
                <w:rFonts w:hint="default"/>
                <w:color w:val="auto"/>
              </w:rPr>
            </w:pPr>
          </w:p>
        </w:tc>
      </w:tr>
      <w:tr w14:paraId="6842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5B9EA7D2">
            <w:pPr>
              <w:spacing w:line="240" w:lineRule="auto"/>
              <w:jc w:val="center"/>
              <w:rPr>
                <w:rFonts w:ascii="宋体" w:hAnsi="宋体" w:cs="宋体"/>
                <w:color w:val="auto"/>
                <w:kern w:val="0"/>
                <w:sz w:val="24"/>
              </w:rPr>
            </w:pPr>
          </w:p>
        </w:tc>
        <w:tc>
          <w:tcPr>
            <w:tcW w:w="487" w:type="pct"/>
            <w:vMerge w:val="continue"/>
            <w:vAlign w:val="center"/>
          </w:tcPr>
          <w:p w14:paraId="18015403">
            <w:pPr>
              <w:spacing w:line="240" w:lineRule="auto"/>
              <w:jc w:val="center"/>
              <w:textAlignment w:val="center"/>
              <w:rPr>
                <w:rStyle w:val="44"/>
                <w:rFonts w:hint="default"/>
                <w:color w:val="auto"/>
              </w:rPr>
            </w:pPr>
          </w:p>
        </w:tc>
        <w:tc>
          <w:tcPr>
            <w:tcW w:w="569" w:type="pct"/>
            <w:vMerge w:val="continue"/>
            <w:vAlign w:val="center"/>
          </w:tcPr>
          <w:p w14:paraId="0AFBB053">
            <w:pPr>
              <w:spacing w:line="240" w:lineRule="auto"/>
              <w:jc w:val="center"/>
              <w:textAlignment w:val="center"/>
              <w:rPr>
                <w:rStyle w:val="44"/>
                <w:rFonts w:hint="default"/>
                <w:color w:val="auto"/>
              </w:rPr>
            </w:pPr>
          </w:p>
        </w:tc>
        <w:tc>
          <w:tcPr>
            <w:tcW w:w="1585" w:type="pct"/>
            <w:vMerge w:val="continue"/>
            <w:vAlign w:val="center"/>
          </w:tcPr>
          <w:p w14:paraId="01398D03">
            <w:pPr>
              <w:spacing w:line="240" w:lineRule="auto"/>
              <w:jc w:val="left"/>
              <w:textAlignment w:val="center"/>
              <w:rPr>
                <w:rStyle w:val="44"/>
                <w:rFonts w:hint="default"/>
                <w:color w:val="auto"/>
              </w:rPr>
            </w:pPr>
          </w:p>
        </w:tc>
        <w:tc>
          <w:tcPr>
            <w:tcW w:w="488" w:type="pct"/>
            <w:vMerge w:val="continue"/>
            <w:vAlign w:val="center"/>
          </w:tcPr>
          <w:p w14:paraId="5A1E8A3B">
            <w:pPr>
              <w:spacing w:line="240" w:lineRule="auto"/>
              <w:jc w:val="center"/>
              <w:textAlignment w:val="center"/>
              <w:rPr>
                <w:rStyle w:val="44"/>
                <w:rFonts w:hint="default"/>
                <w:color w:val="auto"/>
              </w:rPr>
            </w:pPr>
          </w:p>
        </w:tc>
        <w:tc>
          <w:tcPr>
            <w:tcW w:w="1145" w:type="pct"/>
            <w:vMerge w:val="continue"/>
            <w:vAlign w:val="center"/>
          </w:tcPr>
          <w:p w14:paraId="2F9AEF8E">
            <w:pPr>
              <w:spacing w:line="240" w:lineRule="auto"/>
              <w:jc w:val="left"/>
              <w:textAlignment w:val="center"/>
              <w:rPr>
                <w:rStyle w:val="44"/>
                <w:rFonts w:hint="default"/>
                <w:color w:val="auto"/>
              </w:rPr>
            </w:pPr>
          </w:p>
        </w:tc>
        <w:tc>
          <w:tcPr>
            <w:tcW w:w="534" w:type="pct"/>
            <w:vMerge w:val="continue"/>
            <w:vAlign w:val="center"/>
          </w:tcPr>
          <w:p w14:paraId="01EAC9F7">
            <w:pPr>
              <w:spacing w:line="240" w:lineRule="auto"/>
              <w:jc w:val="center"/>
              <w:textAlignment w:val="center"/>
              <w:rPr>
                <w:rStyle w:val="44"/>
                <w:rFonts w:hint="default"/>
                <w:color w:val="auto"/>
              </w:rPr>
            </w:pPr>
          </w:p>
        </w:tc>
      </w:tr>
      <w:tr w14:paraId="6777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26BCB2A5">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6</w:t>
            </w:r>
          </w:p>
        </w:tc>
        <w:tc>
          <w:tcPr>
            <w:tcW w:w="487" w:type="pct"/>
            <w:vMerge w:val="restart"/>
            <w:vAlign w:val="center"/>
          </w:tcPr>
          <w:p w14:paraId="414F290A">
            <w:pPr>
              <w:spacing w:line="240" w:lineRule="auto"/>
              <w:jc w:val="center"/>
              <w:textAlignment w:val="center"/>
              <w:rPr>
                <w:rStyle w:val="44"/>
                <w:rFonts w:hint="default"/>
                <w:color w:val="auto"/>
              </w:rPr>
            </w:pPr>
            <w:r>
              <w:rPr>
                <w:rStyle w:val="44"/>
                <w:rFonts w:hint="default"/>
                <w:color w:val="auto"/>
              </w:rPr>
              <w:t>上垟镇青瓷产业小微园</w:t>
            </w:r>
          </w:p>
        </w:tc>
        <w:tc>
          <w:tcPr>
            <w:tcW w:w="569" w:type="pct"/>
            <w:vMerge w:val="restart"/>
            <w:vAlign w:val="center"/>
          </w:tcPr>
          <w:p w14:paraId="39C31F4F">
            <w:pPr>
              <w:spacing w:line="240" w:lineRule="auto"/>
              <w:jc w:val="center"/>
              <w:textAlignment w:val="center"/>
              <w:rPr>
                <w:rStyle w:val="44"/>
                <w:rFonts w:hint="default"/>
                <w:color w:val="auto"/>
              </w:rPr>
            </w:pPr>
            <w:r>
              <w:rPr>
                <w:rStyle w:val="44"/>
                <w:rFonts w:hint="default"/>
                <w:color w:val="auto"/>
              </w:rPr>
              <w:t>上垟镇黄渡区块</w:t>
            </w:r>
          </w:p>
        </w:tc>
        <w:tc>
          <w:tcPr>
            <w:tcW w:w="1585" w:type="pct"/>
            <w:vMerge w:val="restart"/>
            <w:vAlign w:val="center"/>
          </w:tcPr>
          <w:p w14:paraId="59B34FF0">
            <w:pPr>
              <w:spacing w:line="240" w:lineRule="auto"/>
              <w:jc w:val="left"/>
              <w:textAlignment w:val="center"/>
              <w:rPr>
                <w:rStyle w:val="44"/>
                <w:rFonts w:hint="default"/>
                <w:color w:val="auto"/>
              </w:rPr>
            </w:pPr>
            <w:r>
              <w:rPr>
                <w:rStyle w:val="44"/>
                <w:rFonts w:hint="default"/>
                <w:color w:val="auto"/>
              </w:rPr>
              <w:t>上垟镇是我市青瓷老工业基地，青瓷产业基础较好，需要拓展新空间、规划建设小微园发展青瓷产业；同时上垟镇毛竹资源非常丰富，小微园建成后可入驻一批竹木制品小微企业，促进当地产业发展、百姓就业增收。</w:t>
            </w:r>
          </w:p>
        </w:tc>
        <w:tc>
          <w:tcPr>
            <w:tcW w:w="488" w:type="pct"/>
            <w:vMerge w:val="restart"/>
            <w:vAlign w:val="center"/>
          </w:tcPr>
          <w:p w14:paraId="75726988">
            <w:pPr>
              <w:spacing w:line="240" w:lineRule="auto"/>
              <w:jc w:val="center"/>
              <w:textAlignment w:val="center"/>
              <w:rPr>
                <w:rStyle w:val="44"/>
                <w:rFonts w:hint="default"/>
                <w:color w:val="auto"/>
              </w:rPr>
            </w:pPr>
            <w:r>
              <w:rPr>
                <w:rStyle w:val="44"/>
                <w:rFonts w:hint="default"/>
                <w:color w:val="auto"/>
              </w:rPr>
              <w:t>845</w:t>
            </w:r>
          </w:p>
        </w:tc>
        <w:tc>
          <w:tcPr>
            <w:tcW w:w="1145" w:type="pct"/>
            <w:vMerge w:val="restart"/>
            <w:vAlign w:val="center"/>
          </w:tcPr>
          <w:p w14:paraId="59551114">
            <w:pPr>
              <w:spacing w:line="240" w:lineRule="auto"/>
              <w:jc w:val="left"/>
              <w:textAlignment w:val="center"/>
              <w:rPr>
                <w:rStyle w:val="44"/>
                <w:rFonts w:hint="default"/>
                <w:color w:val="auto"/>
              </w:rPr>
            </w:pPr>
            <w:r>
              <w:rPr>
                <w:rStyle w:val="44"/>
                <w:rFonts w:hint="default"/>
                <w:color w:val="auto"/>
              </w:rPr>
              <w:t>计划2023年完成园区基础设施建设，2023年企业开工建设厂房，2023年部分企业投入生产。</w:t>
            </w:r>
          </w:p>
        </w:tc>
        <w:tc>
          <w:tcPr>
            <w:tcW w:w="534" w:type="pct"/>
            <w:vMerge w:val="restart"/>
            <w:vAlign w:val="center"/>
          </w:tcPr>
          <w:p w14:paraId="79DB9058">
            <w:pPr>
              <w:spacing w:line="240" w:lineRule="auto"/>
              <w:jc w:val="center"/>
              <w:textAlignment w:val="center"/>
              <w:rPr>
                <w:rStyle w:val="44"/>
                <w:rFonts w:hint="default"/>
                <w:color w:val="auto"/>
              </w:rPr>
            </w:pPr>
            <w:r>
              <w:rPr>
                <w:rStyle w:val="44"/>
                <w:rFonts w:hint="default"/>
                <w:color w:val="auto"/>
              </w:rPr>
              <w:t>青瓷产业、竹木制品</w:t>
            </w:r>
          </w:p>
        </w:tc>
      </w:tr>
      <w:tr w14:paraId="25BA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6F7DA0B0">
            <w:pPr>
              <w:spacing w:line="240" w:lineRule="auto"/>
              <w:jc w:val="center"/>
              <w:rPr>
                <w:rFonts w:ascii="宋体" w:hAnsi="宋体" w:cs="宋体"/>
                <w:color w:val="auto"/>
                <w:kern w:val="0"/>
                <w:sz w:val="24"/>
              </w:rPr>
            </w:pPr>
          </w:p>
        </w:tc>
        <w:tc>
          <w:tcPr>
            <w:tcW w:w="487" w:type="pct"/>
            <w:vMerge w:val="continue"/>
            <w:vAlign w:val="center"/>
          </w:tcPr>
          <w:p w14:paraId="34E9DFC2">
            <w:pPr>
              <w:spacing w:line="240" w:lineRule="auto"/>
              <w:jc w:val="center"/>
              <w:textAlignment w:val="center"/>
              <w:rPr>
                <w:rStyle w:val="44"/>
                <w:rFonts w:hint="default"/>
                <w:color w:val="auto"/>
              </w:rPr>
            </w:pPr>
          </w:p>
        </w:tc>
        <w:tc>
          <w:tcPr>
            <w:tcW w:w="569" w:type="pct"/>
            <w:vMerge w:val="continue"/>
            <w:vAlign w:val="center"/>
          </w:tcPr>
          <w:p w14:paraId="426DF3CB">
            <w:pPr>
              <w:spacing w:line="240" w:lineRule="auto"/>
              <w:jc w:val="center"/>
              <w:textAlignment w:val="center"/>
              <w:rPr>
                <w:rStyle w:val="44"/>
                <w:rFonts w:hint="default"/>
                <w:color w:val="auto"/>
              </w:rPr>
            </w:pPr>
          </w:p>
        </w:tc>
        <w:tc>
          <w:tcPr>
            <w:tcW w:w="1585" w:type="pct"/>
            <w:vMerge w:val="continue"/>
            <w:vAlign w:val="center"/>
          </w:tcPr>
          <w:p w14:paraId="15DA9C64">
            <w:pPr>
              <w:spacing w:line="240" w:lineRule="auto"/>
              <w:jc w:val="left"/>
              <w:textAlignment w:val="center"/>
              <w:rPr>
                <w:rStyle w:val="44"/>
                <w:rFonts w:hint="default"/>
                <w:color w:val="auto"/>
              </w:rPr>
            </w:pPr>
          </w:p>
        </w:tc>
        <w:tc>
          <w:tcPr>
            <w:tcW w:w="488" w:type="pct"/>
            <w:vMerge w:val="continue"/>
            <w:vAlign w:val="center"/>
          </w:tcPr>
          <w:p w14:paraId="4D15E731">
            <w:pPr>
              <w:spacing w:line="240" w:lineRule="auto"/>
              <w:jc w:val="center"/>
              <w:textAlignment w:val="center"/>
              <w:rPr>
                <w:rStyle w:val="44"/>
                <w:rFonts w:hint="default"/>
                <w:color w:val="auto"/>
              </w:rPr>
            </w:pPr>
          </w:p>
        </w:tc>
        <w:tc>
          <w:tcPr>
            <w:tcW w:w="1145" w:type="pct"/>
            <w:vMerge w:val="continue"/>
            <w:vAlign w:val="center"/>
          </w:tcPr>
          <w:p w14:paraId="7E6242A4">
            <w:pPr>
              <w:spacing w:line="240" w:lineRule="auto"/>
              <w:jc w:val="left"/>
              <w:textAlignment w:val="center"/>
              <w:rPr>
                <w:rStyle w:val="44"/>
                <w:rFonts w:hint="default"/>
                <w:color w:val="auto"/>
              </w:rPr>
            </w:pPr>
          </w:p>
        </w:tc>
        <w:tc>
          <w:tcPr>
            <w:tcW w:w="534" w:type="pct"/>
            <w:vMerge w:val="continue"/>
            <w:vAlign w:val="center"/>
          </w:tcPr>
          <w:p w14:paraId="212FB1B6">
            <w:pPr>
              <w:spacing w:line="240" w:lineRule="auto"/>
              <w:jc w:val="center"/>
              <w:textAlignment w:val="center"/>
              <w:rPr>
                <w:rStyle w:val="44"/>
                <w:rFonts w:hint="default"/>
                <w:color w:val="auto"/>
              </w:rPr>
            </w:pPr>
          </w:p>
        </w:tc>
      </w:tr>
      <w:tr w14:paraId="682E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384D269A">
            <w:pPr>
              <w:spacing w:line="240" w:lineRule="auto"/>
              <w:jc w:val="center"/>
              <w:rPr>
                <w:rFonts w:ascii="宋体" w:hAnsi="宋体" w:cs="宋体"/>
                <w:color w:val="auto"/>
                <w:kern w:val="0"/>
                <w:sz w:val="24"/>
              </w:rPr>
            </w:pPr>
          </w:p>
        </w:tc>
        <w:tc>
          <w:tcPr>
            <w:tcW w:w="487" w:type="pct"/>
            <w:vMerge w:val="continue"/>
            <w:vAlign w:val="center"/>
          </w:tcPr>
          <w:p w14:paraId="3573693F">
            <w:pPr>
              <w:spacing w:line="240" w:lineRule="auto"/>
              <w:jc w:val="center"/>
              <w:textAlignment w:val="center"/>
              <w:rPr>
                <w:rStyle w:val="44"/>
                <w:rFonts w:hint="default"/>
                <w:color w:val="auto"/>
              </w:rPr>
            </w:pPr>
          </w:p>
        </w:tc>
        <w:tc>
          <w:tcPr>
            <w:tcW w:w="569" w:type="pct"/>
            <w:vMerge w:val="continue"/>
            <w:vAlign w:val="center"/>
          </w:tcPr>
          <w:p w14:paraId="5218B32C">
            <w:pPr>
              <w:spacing w:line="240" w:lineRule="auto"/>
              <w:jc w:val="center"/>
              <w:textAlignment w:val="center"/>
              <w:rPr>
                <w:rStyle w:val="44"/>
                <w:rFonts w:hint="default"/>
                <w:color w:val="auto"/>
              </w:rPr>
            </w:pPr>
          </w:p>
        </w:tc>
        <w:tc>
          <w:tcPr>
            <w:tcW w:w="1585" w:type="pct"/>
            <w:vMerge w:val="continue"/>
            <w:vAlign w:val="center"/>
          </w:tcPr>
          <w:p w14:paraId="4B3D746D">
            <w:pPr>
              <w:spacing w:line="240" w:lineRule="auto"/>
              <w:jc w:val="left"/>
              <w:textAlignment w:val="center"/>
              <w:rPr>
                <w:rStyle w:val="44"/>
                <w:rFonts w:hint="default"/>
                <w:color w:val="auto"/>
              </w:rPr>
            </w:pPr>
          </w:p>
        </w:tc>
        <w:tc>
          <w:tcPr>
            <w:tcW w:w="488" w:type="pct"/>
            <w:vMerge w:val="continue"/>
            <w:vAlign w:val="center"/>
          </w:tcPr>
          <w:p w14:paraId="7BA7F9D7">
            <w:pPr>
              <w:spacing w:line="240" w:lineRule="auto"/>
              <w:jc w:val="center"/>
              <w:textAlignment w:val="center"/>
              <w:rPr>
                <w:rStyle w:val="44"/>
                <w:rFonts w:hint="default"/>
                <w:color w:val="auto"/>
              </w:rPr>
            </w:pPr>
          </w:p>
        </w:tc>
        <w:tc>
          <w:tcPr>
            <w:tcW w:w="1145" w:type="pct"/>
            <w:vMerge w:val="continue"/>
            <w:vAlign w:val="center"/>
          </w:tcPr>
          <w:p w14:paraId="70FC6E4A">
            <w:pPr>
              <w:spacing w:line="240" w:lineRule="auto"/>
              <w:jc w:val="left"/>
              <w:textAlignment w:val="center"/>
              <w:rPr>
                <w:rStyle w:val="44"/>
                <w:rFonts w:hint="default"/>
                <w:color w:val="auto"/>
              </w:rPr>
            </w:pPr>
          </w:p>
        </w:tc>
        <w:tc>
          <w:tcPr>
            <w:tcW w:w="534" w:type="pct"/>
            <w:vMerge w:val="continue"/>
            <w:vAlign w:val="center"/>
          </w:tcPr>
          <w:p w14:paraId="5179A8BC">
            <w:pPr>
              <w:spacing w:line="240" w:lineRule="auto"/>
              <w:jc w:val="center"/>
              <w:textAlignment w:val="center"/>
              <w:rPr>
                <w:rStyle w:val="44"/>
                <w:rFonts w:hint="default"/>
                <w:color w:val="auto"/>
              </w:rPr>
            </w:pPr>
          </w:p>
        </w:tc>
      </w:tr>
      <w:tr w14:paraId="4050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5C1206C">
            <w:pPr>
              <w:spacing w:line="240" w:lineRule="auto"/>
              <w:jc w:val="center"/>
              <w:rPr>
                <w:rFonts w:ascii="宋体" w:hAnsi="宋体" w:cs="宋体"/>
                <w:color w:val="auto"/>
                <w:kern w:val="0"/>
                <w:sz w:val="24"/>
              </w:rPr>
            </w:pPr>
          </w:p>
        </w:tc>
        <w:tc>
          <w:tcPr>
            <w:tcW w:w="487" w:type="pct"/>
            <w:vMerge w:val="continue"/>
            <w:vAlign w:val="center"/>
          </w:tcPr>
          <w:p w14:paraId="284A6260">
            <w:pPr>
              <w:spacing w:line="240" w:lineRule="auto"/>
              <w:jc w:val="center"/>
              <w:textAlignment w:val="center"/>
              <w:rPr>
                <w:rStyle w:val="44"/>
                <w:rFonts w:hint="default"/>
                <w:color w:val="auto"/>
              </w:rPr>
            </w:pPr>
          </w:p>
        </w:tc>
        <w:tc>
          <w:tcPr>
            <w:tcW w:w="569" w:type="pct"/>
            <w:vMerge w:val="continue"/>
            <w:vAlign w:val="center"/>
          </w:tcPr>
          <w:p w14:paraId="4DB76D26">
            <w:pPr>
              <w:spacing w:line="240" w:lineRule="auto"/>
              <w:jc w:val="center"/>
              <w:textAlignment w:val="center"/>
              <w:rPr>
                <w:rStyle w:val="44"/>
                <w:rFonts w:hint="default"/>
                <w:color w:val="auto"/>
              </w:rPr>
            </w:pPr>
          </w:p>
        </w:tc>
        <w:tc>
          <w:tcPr>
            <w:tcW w:w="1585" w:type="pct"/>
            <w:vMerge w:val="continue"/>
            <w:vAlign w:val="center"/>
          </w:tcPr>
          <w:p w14:paraId="7AC5ABE4">
            <w:pPr>
              <w:spacing w:line="240" w:lineRule="auto"/>
              <w:jc w:val="left"/>
              <w:textAlignment w:val="center"/>
              <w:rPr>
                <w:rStyle w:val="44"/>
                <w:rFonts w:hint="default"/>
                <w:color w:val="auto"/>
              </w:rPr>
            </w:pPr>
          </w:p>
        </w:tc>
        <w:tc>
          <w:tcPr>
            <w:tcW w:w="488" w:type="pct"/>
            <w:vMerge w:val="continue"/>
            <w:vAlign w:val="center"/>
          </w:tcPr>
          <w:p w14:paraId="70E6CFF2">
            <w:pPr>
              <w:spacing w:line="240" w:lineRule="auto"/>
              <w:jc w:val="center"/>
              <w:textAlignment w:val="center"/>
              <w:rPr>
                <w:rStyle w:val="44"/>
                <w:rFonts w:hint="default"/>
                <w:color w:val="auto"/>
              </w:rPr>
            </w:pPr>
          </w:p>
        </w:tc>
        <w:tc>
          <w:tcPr>
            <w:tcW w:w="1145" w:type="pct"/>
            <w:vMerge w:val="continue"/>
            <w:vAlign w:val="center"/>
          </w:tcPr>
          <w:p w14:paraId="57B890E5">
            <w:pPr>
              <w:spacing w:line="240" w:lineRule="auto"/>
              <w:jc w:val="left"/>
              <w:textAlignment w:val="center"/>
              <w:rPr>
                <w:rStyle w:val="44"/>
                <w:rFonts w:hint="default"/>
                <w:color w:val="auto"/>
              </w:rPr>
            </w:pPr>
          </w:p>
        </w:tc>
        <w:tc>
          <w:tcPr>
            <w:tcW w:w="534" w:type="pct"/>
            <w:vMerge w:val="continue"/>
            <w:vAlign w:val="center"/>
          </w:tcPr>
          <w:p w14:paraId="72F98186">
            <w:pPr>
              <w:spacing w:line="240" w:lineRule="auto"/>
              <w:jc w:val="center"/>
              <w:textAlignment w:val="center"/>
              <w:rPr>
                <w:rStyle w:val="44"/>
                <w:rFonts w:hint="default"/>
                <w:color w:val="auto"/>
              </w:rPr>
            </w:pPr>
          </w:p>
        </w:tc>
      </w:tr>
      <w:tr w14:paraId="7FF4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62EBF76">
            <w:pPr>
              <w:spacing w:line="240" w:lineRule="auto"/>
              <w:jc w:val="center"/>
              <w:rPr>
                <w:rFonts w:ascii="宋体" w:hAnsi="宋体" w:cs="宋体"/>
                <w:color w:val="auto"/>
                <w:kern w:val="0"/>
                <w:sz w:val="24"/>
              </w:rPr>
            </w:pPr>
          </w:p>
        </w:tc>
        <w:tc>
          <w:tcPr>
            <w:tcW w:w="487" w:type="pct"/>
            <w:vMerge w:val="continue"/>
            <w:vAlign w:val="center"/>
          </w:tcPr>
          <w:p w14:paraId="67B44E93">
            <w:pPr>
              <w:spacing w:line="240" w:lineRule="auto"/>
              <w:jc w:val="center"/>
              <w:textAlignment w:val="center"/>
              <w:rPr>
                <w:rStyle w:val="44"/>
                <w:rFonts w:hint="default"/>
                <w:color w:val="auto"/>
              </w:rPr>
            </w:pPr>
          </w:p>
        </w:tc>
        <w:tc>
          <w:tcPr>
            <w:tcW w:w="569" w:type="pct"/>
            <w:vMerge w:val="continue"/>
            <w:vAlign w:val="center"/>
          </w:tcPr>
          <w:p w14:paraId="564F5444">
            <w:pPr>
              <w:spacing w:line="240" w:lineRule="auto"/>
              <w:jc w:val="center"/>
              <w:textAlignment w:val="center"/>
              <w:rPr>
                <w:rStyle w:val="44"/>
                <w:rFonts w:hint="default"/>
                <w:color w:val="auto"/>
              </w:rPr>
            </w:pPr>
          </w:p>
        </w:tc>
        <w:tc>
          <w:tcPr>
            <w:tcW w:w="1585" w:type="pct"/>
            <w:vMerge w:val="continue"/>
            <w:vAlign w:val="center"/>
          </w:tcPr>
          <w:p w14:paraId="07F843CF">
            <w:pPr>
              <w:spacing w:line="240" w:lineRule="auto"/>
              <w:jc w:val="left"/>
              <w:textAlignment w:val="center"/>
              <w:rPr>
                <w:rStyle w:val="44"/>
                <w:rFonts w:hint="default"/>
                <w:color w:val="auto"/>
              </w:rPr>
            </w:pPr>
          </w:p>
        </w:tc>
        <w:tc>
          <w:tcPr>
            <w:tcW w:w="488" w:type="pct"/>
            <w:vMerge w:val="continue"/>
            <w:vAlign w:val="center"/>
          </w:tcPr>
          <w:p w14:paraId="58FABD81">
            <w:pPr>
              <w:spacing w:line="240" w:lineRule="auto"/>
              <w:jc w:val="center"/>
              <w:textAlignment w:val="center"/>
              <w:rPr>
                <w:rStyle w:val="44"/>
                <w:rFonts w:hint="default"/>
                <w:color w:val="auto"/>
              </w:rPr>
            </w:pPr>
          </w:p>
        </w:tc>
        <w:tc>
          <w:tcPr>
            <w:tcW w:w="1145" w:type="pct"/>
            <w:vMerge w:val="continue"/>
            <w:vAlign w:val="center"/>
          </w:tcPr>
          <w:p w14:paraId="1EAA2DF2">
            <w:pPr>
              <w:spacing w:line="240" w:lineRule="auto"/>
              <w:jc w:val="left"/>
              <w:textAlignment w:val="center"/>
              <w:rPr>
                <w:rStyle w:val="44"/>
                <w:rFonts w:hint="default"/>
                <w:color w:val="auto"/>
              </w:rPr>
            </w:pPr>
          </w:p>
        </w:tc>
        <w:tc>
          <w:tcPr>
            <w:tcW w:w="534" w:type="pct"/>
            <w:vMerge w:val="continue"/>
            <w:vAlign w:val="center"/>
          </w:tcPr>
          <w:p w14:paraId="525158BB">
            <w:pPr>
              <w:spacing w:line="240" w:lineRule="auto"/>
              <w:jc w:val="center"/>
              <w:textAlignment w:val="center"/>
              <w:rPr>
                <w:rStyle w:val="44"/>
                <w:rFonts w:hint="default"/>
                <w:color w:val="auto"/>
              </w:rPr>
            </w:pPr>
          </w:p>
        </w:tc>
      </w:tr>
      <w:tr w14:paraId="32C1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576C50E1">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7</w:t>
            </w:r>
          </w:p>
        </w:tc>
        <w:tc>
          <w:tcPr>
            <w:tcW w:w="487" w:type="pct"/>
            <w:vMerge w:val="restart"/>
            <w:vAlign w:val="center"/>
          </w:tcPr>
          <w:p w14:paraId="587D10E3">
            <w:pPr>
              <w:spacing w:line="240" w:lineRule="auto"/>
              <w:jc w:val="center"/>
              <w:textAlignment w:val="center"/>
              <w:rPr>
                <w:rStyle w:val="44"/>
                <w:rFonts w:hint="default"/>
                <w:color w:val="auto"/>
              </w:rPr>
            </w:pPr>
            <w:r>
              <w:rPr>
                <w:rStyle w:val="44"/>
                <w:rFonts w:hint="default"/>
                <w:color w:val="auto"/>
              </w:rPr>
              <w:t>小梅镇竹木制品小微园</w:t>
            </w:r>
          </w:p>
        </w:tc>
        <w:tc>
          <w:tcPr>
            <w:tcW w:w="569" w:type="pct"/>
            <w:vMerge w:val="restart"/>
            <w:vAlign w:val="center"/>
          </w:tcPr>
          <w:p w14:paraId="7CF1B0AE">
            <w:pPr>
              <w:spacing w:line="240" w:lineRule="auto"/>
              <w:jc w:val="center"/>
              <w:textAlignment w:val="center"/>
              <w:rPr>
                <w:rStyle w:val="44"/>
                <w:rFonts w:hint="default"/>
                <w:color w:val="auto"/>
              </w:rPr>
            </w:pPr>
            <w:r>
              <w:rPr>
                <w:rStyle w:val="44"/>
                <w:rFonts w:hint="default"/>
                <w:color w:val="auto"/>
              </w:rPr>
              <w:t>小梅镇瓦窑垄区块</w:t>
            </w:r>
          </w:p>
        </w:tc>
        <w:tc>
          <w:tcPr>
            <w:tcW w:w="1585" w:type="pct"/>
            <w:vMerge w:val="restart"/>
            <w:vAlign w:val="center"/>
          </w:tcPr>
          <w:p w14:paraId="0300F78A">
            <w:pPr>
              <w:spacing w:line="240" w:lineRule="auto"/>
              <w:jc w:val="left"/>
              <w:textAlignment w:val="center"/>
              <w:rPr>
                <w:rStyle w:val="44"/>
                <w:rFonts w:hint="default"/>
                <w:color w:val="auto"/>
              </w:rPr>
            </w:pPr>
            <w:r>
              <w:rPr>
                <w:rStyle w:val="44"/>
                <w:rFonts w:hint="default"/>
                <w:color w:val="auto"/>
              </w:rPr>
              <w:t>小梅镇拥有丰富的毛竹资源，且与庆元县交界，周边竹木制品产业基础较好，建设小梅镇竹木制品小微园可以促进当地产业发展，带动百姓就业增收，也有利于集镇周边环境整治。</w:t>
            </w:r>
          </w:p>
        </w:tc>
        <w:tc>
          <w:tcPr>
            <w:tcW w:w="488" w:type="pct"/>
            <w:vMerge w:val="restart"/>
            <w:vAlign w:val="center"/>
          </w:tcPr>
          <w:p w14:paraId="3B98BF5A">
            <w:pPr>
              <w:spacing w:line="240" w:lineRule="auto"/>
              <w:jc w:val="center"/>
              <w:textAlignment w:val="center"/>
              <w:rPr>
                <w:rStyle w:val="44"/>
                <w:rFonts w:hint="default"/>
                <w:color w:val="auto"/>
              </w:rPr>
            </w:pPr>
            <w:r>
              <w:rPr>
                <w:rStyle w:val="44"/>
                <w:rFonts w:hint="default"/>
                <w:color w:val="auto"/>
              </w:rPr>
              <w:t>435</w:t>
            </w:r>
          </w:p>
        </w:tc>
        <w:tc>
          <w:tcPr>
            <w:tcW w:w="1145" w:type="pct"/>
            <w:vMerge w:val="restart"/>
            <w:vAlign w:val="center"/>
          </w:tcPr>
          <w:p w14:paraId="67445C12">
            <w:pPr>
              <w:spacing w:line="240" w:lineRule="auto"/>
              <w:jc w:val="left"/>
              <w:textAlignment w:val="center"/>
              <w:rPr>
                <w:rStyle w:val="44"/>
                <w:rFonts w:hint="default"/>
                <w:color w:val="auto"/>
              </w:rPr>
            </w:pPr>
            <w:r>
              <w:rPr>
                <w:rStyle w:val="44"/>
                <w:rFonts w:hint="default"/>
                <w:color w:val="auto"/>
              </w:rPr>
              <w:t>计划在2021年-2022年完成规划调整、土地农转用，2022年下半年开工建设基础配套设施，2023年招引部分企业入驻建设厂房，2023年建成投入使用。</w:t>
            </w:r>
          </w:p>
        </w:tc>
        <w:tc>
          <w:tcPr>
            <w:tcW w:w="534" w:type="pct"/>
            <w:vMerge w:val="restart"/>
            <w:vAlign w:val="center"/>
          </w:tcPr>
          <w:p w14:paraId="0FEB3BC2">
            <w:pPr>
              <w:spacing w:line="240" w:lineRule="auto"/>
              <w:jc w:val="center"/>
              <w:textAlignment w:val="center"/>
              <w:rPr>
                <w:rStyle w:val="44"/>
                <w:rFonts w:hint="default"/>
                <w:color w:val="auto"/>
              </w:rPr>
            </w:pPr>
            <w:r>
              <w:rPr>
                <w:rStyle w:val="44"/>
                <w:rFonts w:hint="default"/>
                <w:color w:val="auto"/>
              </w:rPr>
              <w:t>竹木制品及配套产业</w:t>
            </w:r>
          </w:p>
        </w:tc>
      </w:tr>
      <w:tr w14:paraId="7C29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1D42BBF1">
            <w:pPr>
              <w:spacing w:line="240" w:lineRule="auto"/>
              <w:jc w:val="center"/>
              <w:rPr>
                <w:rFonts w:ascii="宋体" w:hAnsi="宋体" w:cs="宋体"/>
                <w:color w:val="auto"/>
                <w:kern w:val="0"/>
                <w:sz w:val="24"/>
              </w:rPr>
            </w:pPr>
          </w:p>
        </w:tc>
        <w:tc>
          <w:tcPr>
            <w:tcW w:w="487" w:type="pct"/>
            <w:vMerge w:val="continue"/>
            <w:vAlign w:val="center"/>
          </w:tcPr>
          <w:p w14:paraId="3B1EECC9">
            <w:pPr>
              <w:spacing w:line="240" w:lineRule="auto"/>
              <w:jc w:val="center"/>
              <w:textAlignment w:val="center"/>
              <w:rPr>
                <w:rStyle w:val="44"/>
                <w:rFonts w:hint="default"/>
                <w:color w:val="auto"/>
              </w:rPr>
            </w:pPr>
          </w:p>
        </w:tc>
        <w:tc>
          <w:tcPr>
            <w:tcW w:w="569" w:type="pct"/>
            <w:vMerge w:val="continue"/>
            <w:vAlign w:val="center"/>
          </w:tcPr>
          <w:p w14:paraId="04BB5DE9">
            <w:pPr>
              <w:spacing w:line="240" w:lineRule="auto"/>
              <w:jc w:val="center"/>
              <w:textAlignment w:val="center"/>
              <w:rPr>
                <w:rStyle w:val="44"/>
                <w:rFonts w:hint="default"/>
                <w:color w:val="auto"/>
              </w:rPr>
            </w:pPr>
          </w:p>
        </w:tc>
        <w:tc>
          <w:tcPr>
            <w:tcW w:w="1585" w:type="pct"/>
            <w:vMerge w:val="continue"/>
            <w:vAlign w:val="center"/>
          </w:tcPr>
          <w:p w14:paraId="23EDD3D5">
            <w:pPr>
              <w:spacing w:line="240" w:lineRule="auto"/>
              <w:jc w:val="left"/>
              <w:textAlignment w:val="center"/>
              <w:rPr>
                <w:rStyle w:val="44"/>
                <w:rFonts w:hint="default"/>
                <w:color w:val="auto"/>
              </w:rPr>
            </w:pPr>
          </w:p>
        </w:tc>
        <w:tc>
          <w:tcPr>
            <w:tcW w:w="488" w:type="pct"/>
            <w:vMerge w:val="continue"/>
            <w:vAlign w:val="center"/>
          </w:tcPr>
          <w:p w14:paraId="3070B6BA">
            <w:pPr>
              <w:spacing w:line="240" w:lineRule="auto"/>
              <w:jc w:val="center"/>
              <w:textAlignment w:val="center"/>
              <w:rPr>
                <w:rStyle w:val="44"/>
                <w:rFonts w:hint="default"/>
                <w:color w:val="auto"/>
              </w:rPr>
            </w:pPr>
          </w:p>
        </w:tc>
        <w:tc>
          <w:tcPr>
            <w:tcW w:w="1145" w:type="pct"/>
            <w:vMerge w:val="continue"/>
            <w:vAlign w:val="center"/>
          </w:tcPr>
          <w:p w14:paraId="67A9BE2A">
            <w:pPr>
              <w:spacing w:line="240" w:lineRule="auto"/>
              <w:jc w:val="left"/>
              <w:textAlignment w:val="center"/>
              <w:rPr>
                <w:rStyle w:val="44"/>
                <w:rFonts w:hint="default"/>
                <w:color w:val="auto"/>
              </w:rPr>
            </w:pPr>
          </w:p>
        </w:tc>
        <w:tc>
          <w:tcPr>
            <w:tcW w:w="534" w:type="pct"/>
            <w:vMerge w:val="continue"/>
            <w:vAlign w:val="center"/>
          </w:tcPr>
          <w:p w14:paraId="59BEB967">
            <w:pPr>
              <w:spacing w:line="240" w:lineRule="auto"/>
              <w:jc w:val="center"/>
              <w:textAlignment w:val="center"/>
              <w:rPr>
                <w:rStyle w:val="44"/>
                <w:rFonts w:hint="default"/>
                <w:color w:val="auto"/>
              </w:rPr>
            </w:pPr>
          </w:p>
        </w:tc>
      </w:tr>
      <w:tr w14:paraId="331B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482C5453">
            <w:pPr>
              <w:spacing w:line="240" w:lineRule="auto"/>
              <w:jc w:val="center"/>
              <w:rPr>
                <w:rFonts w:ascii="宋体" w:hAnsi="宋体" w:cs="宋体"/>
                <w:color w:val="auto"/>
                <w:kern w:val="0"/>
                <w:sz w:val="24"/>
              </w:rPr>
            </w:pPr>
          </w:p>
        </w:tc>
        <w:tc>
          <w:tcPr>
            <w:tcW w:w="487" w:type="pct"/>
            <w:vMerge w:val="continue"/>
            <w:vAlign w:val="center"/>
          </w:tcPr>
          <w:p w14:paraId="3473C1B3">
            <w:pPr>
              <w:spacing w:line="240" w:lineRule="auto"/>
              <w:jc w:val="center"/>
              <w:textAlignment w:val="center"/>
              <w:rPr>
                <w:rStyle w:val="44"/>
                <w:rFonts w:hint="default"/>
                <w:color w:val="auto"/>
              </w:rPr>
            </w:pPr>
          </w:p>
        </w:tc>
        <w:tc>
          <w:tcPr>
            <w:tcW w:w="569" w:type="pct"/>
            <w:vMerge w:val="continue"/>
            <w:vAlign w:val="center"/>
          </w:tcPr>
          <w:p w14:paraId="169300CA">
            <w:pPr>
              <w:spacing w:line="240" w:lineRule="auto"/>
              <w:jc w:val="center"/>
              <w:textAlignment w:val="center"/>
              <w:rPr>
                <w:rStyle w:val="44"/>
                <w:rFonts w:hint="default"/>
                <w:color w:val="auto"/>
              </w:rPr>
            </w:pPr>
          </w:p>
        </w:tc>
        <w:tc>
          <w:tcPr>
            <w:tcW w:w="1585" w:type="pct"/>
            <w:vMerge w:val="continue"/>
            <w:vAlign w:val="center"/>
          </w:tcPr>
          <w:p w14:paraId="15FF9D5F">
            <w:pPr>
              <w:spacing w:line="240" w:lineRule="auto"/>
              <w:jc w:val="left"/>
              <w:textAlignment w:val="center"/>
              <w:rPr>
                <w:rStyle w:val="44"/>
                <w:rFonts w:hint="default"/>
                <w:color w:val="auto"/>
              </w:rPr>
            </w:pPr>
          </w:p>
        </w:tc>
        <w:tc>
          <w:tcPr>
            <w:tcW w:w="488" w:type="pct"/>
            <w:vMerge w:val="continue"/>
            <w:vAlign w:val="center"/>
          </w:tcPr>
          <w:p w14:paraId="570EA4AD">
            <w:pPr>
              <w:spacing w:line="240" w:lineRule="auto"/>
              <w:jc w:val="center"/>
              <w:textAlignment w:val="center"/>
              <w:rPr>
                <w:rStyle w:val="44"/>
                <w:rFonts w:hint="default"/>
                <w:color w:val="auto"/>
              </w:rPr>
            </w:pPr>
          </w:p>
        </w:tc>
        <w:tc>
          <w:tcPr>
            <w:tcW w:w="1145" w:type="pct"/>
            <w:vMerge w:val="continue"/>
            <w:vAlign w:val="center"/>
          </w:tcPr>
          <w:p w14:paraId="59819C71">
            <w:pPr>
              <w:spacing w:line="240" w:lineRule="auto"/>
              <w:jc w:val="left"/>
              <w:textAlignment w:val="center"/>
              <w:rPr>
                <w:rStyle w:val="44"/>
                <w:rFonts w:hint="default"/>
                <w:color w:val="auto"/>
              </w:rPr>
            </w:pPr>
          </w:p>
        </w:tc>
        <w:tc>
          <w:tcPr>
            <w:tcW w:w="534" w:type="pct"/>
            <w:vMerge w:val="continue"/>
            <w:vAlign w:val="center"/>
          </w:tcPr>
          <w:p w14:paraId="54A11FF0">
            <w:pPr>
              <w:spacing w:line="240" w:lineRule="auto"/>
              <w:jc w:val="center"/>
              <w:textAlignment w:val="center"/>
              <w:rPr>
                <w:rStyle w:val="44"/>
                <w:rFonts w:hint="default"/>
                <w:color w:val="auto"/>
              </w:rPr>
            </w:pPr>
          </w:p>
        </w:tc>
      </w:tr>
      <w:tr w14:paraId="37FC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EFAEEA3">
            <w:pPr>
              <w:spacing w:line="240" w:lineRule="auto"/>
              <w:jc w:val="center"/>
              <w:rPr>
                <w:rFonts w:ascii="宋体" w:hAnsi="宋体" w:cs="宋体"/>
                <w:color w:val="auto"/>
                <w:kern w:val="0"/>
                <w:sz w:val="24"/>
              </w:rPr>
            </w:pPr>
          </w:p>
        </w:tc>
        <w:tc>
          <w:tcPr>
            <w:tcW w:w="487" w:type="pct"/>
            <w:vMerge w:val="continue"/>
            <w:vAlign w:val="center"/>
          </w:tcPr>
          <w:p w14:paraId="3BA30BE7">
            <w:pPr>
              <w:spacing w:line="240" w:lineRule="auto"/>
              <w:jc w:val="center"/>
              <w:textAlignment w:val="center"/>
              <w:rPr>
                <w:rStyle w:val="44"/>
                <w:rFonts w:hint="default"/>
                <w:color w:val="auto"/>
              </w:rPr>
            </w:pPr>
          </w:p>
        </w:tc>
        <w:tc>
          <w:tcPr>
            <w:tcW w:w="569" w:type="pct"/>
            <w:vMerge w:val="continue"/>
            <w:vAlign w:val="center"/>
          </w:tcPr>
          <w:p w14:paraId="010B1CED">
            <w:pPr>
              <w:spacing w:line="240" w:lineRule="auto"/>
              <w:jc w:val="center"/>
              <w:textAlignment w:val="center"/>
              <w:rPr>
                <w:rStyle w:val="44"/>
                <w:rFonts w:hint="default"/>
                <w:color w:val="auto"/>
              </w:rPr>
            </w:pPr>
          </w:p>
        </w:tc>
        <w:tc>
          <w:tcPr>
            <w:tcW w:w="1585" w:type="pct"/>
            <w:vMerge w:val="continue"/>
            <w:vAlign w:val="center"/>
          </w:tcPr>
          <w:p w14:paraId="05B3E783">
            <w:pPr>
              <w:spacing w:line="240" w:lineRule="auto"/>
              <w:jc w:val="left"/>
              <w:textAlignment w:val="center"/>
              <w:rPr>
                <w:rStyle w:val="44"/>
                <w:rFonts w:hint="default"/>
                <w:color w:val="auto"/>
              </w:rPr>
            </w:pPr>
          </w:p>
        </w:tc>
        <w:tc>
          <w:tcPr>
            <w:tcW w:w="488" w:type="pct"/>
            <w:vMerge w:val="continue"/>
            <w:vAlign w:val="center"/>
          </w:tcPr>
          <w:p w14:paraId="6F2E5A69">
            <w:pPr>
              <w:spacing w:line="240" w:lineRule="auto"/>
              <w:jc w:val="center"/>
              <w:textAlignment w:val="center"/>
              <w:rPr>
                <w:rStyle w:val="44"/>
                <w:rFonts w:hint="default"/>
                <w:color w:val="auto"/>
              </w:rPr>
            </w:pPr>
          </w:p>
        </w:tc>
        <w:tc>
          <w:tcPr>
            <w:tcW w:w="1145" w:type="pct"/>
            <w:vMerge w:val="continue"/>
            <w:vAlign w:val="center"/>
          </w:tcPr>
          <w:p w14:paraId="67BB7F34">
            <w:pPr>
              <w:spacing w:line="240" w:lineRule="auto"/>
              <w:jc w:val="left"/>
              <w:textAlignment w:val="center"/>
              <w:rPr>
                <w:rStyle w:val="44"/>
                <w:rFonts w:hint="default"/>
                <w:color w:val="auto"/>
              </w:rPr>
            </w:pPr>
          </w:p>
        </w:tc>
        <w:tc>
          <w:tcPr>
            <w:tcW w:w="534" w:type="pct"/>
            <w:vMerge w:val="continue"/>
            <w:vAlign w:val="center"/>
          </w:tcPr>
          <w:p w14:paraId="29F590B2">
            <w:pPr>
              <w:spacing w:line="240" w:lineRule="auto"/>
              <w:jc w:val="center"/>
              <w:textAlignment w:val="center"/>
              <w:rPr>
                <w:rStyle w:val="44"/>
                <w:rFonts w:hint="default"/>
                <w:color w:val="auto"/>
              </w:rPr>
            </w:pPr>
          </w:p>
        </w:tc>
      </w:tr>
      <w:tr w14:paraId="759A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7CF52216">
            <w:pPr>
              <w:spacing w:line="240" w:lineRule="auto"/>
              <w:jc w:val="center"/>
              <w:rPr>
                <w:rFonts w:ascii="宋体" w:hAnsi="宋体" w:cs="宋体"/>
                <w:color w:val="auto"/>
                <w:kern w:val="0"/>
                <w:sz w:val="24"/>
              </w:rPr>
            </w:pPr>
          </w:p>
        </w:tc>
        <w:tc>
          <w:tcPr>
            <w:tcW w:w="487" w:type="pct"/>
            <w:vMerge w:val="continue"/>
            <w:vAlign w:val="center"/>
          </w:tcPr>
          <w:p w14:paraId="58945131">
            <w:pPr>
              <w:spacing w:line="240" w:lineRule="auto"/>
              <w:jc w:val="center"/>
              <w:textAlignment w:val="center"/>
              <w:rPr>
                <w:rStyle w:val="44"/>
                <w:rFonts w:hint="default"/>
                <w:color w:val="auto"/>
              </w:rPr>
            </w:pPr>
          </w:p>
        </w:tc>
        <w:tc>
          <w:tcPr>
            <w:tcW w:w="569" w:type="pct"/>
            <w:vMerge w:val="continue"/>
            <w:vAlign w:val="center"/>
          </w:tcPr>
          <w:p w14:paraId="3E5DAEA7">
            <w:pPr>
              <w:spacing w:line="240" w:lineRule="auto"/>
              <w:jc w:val="center"/>
              <w:textAlignment w:val="center"/>
              <w:rPr>
                <w:rStyle w:val="44"/>
                <w:rFonts w:hint="default"/>
                <w:color w:val="auto"/>
              </w:rPr>
            </w:pPr>
          </w:p>
        </w:tc>
        <w:tc>
          <w:tcPr>
            <w:tcW w:w="1585" w:type="pct"/>
            <w:vMerge w:val="continue"/>
            <w:vAlign w:val="center"/>
          </w:tcPr>
          <w:p w14:paraId="6C2445F2">
            <w:pPr>
              <w:spacing w:line="240" w:lineRule="auto"/>
              <w:jc w:val="left"/>
              <w:textAlignment w:val="center"/>
              <w:rPr>
                <w:rStyle w:val="44"/>
                <w:rFonts w:hint="default"/>
                <w:color w:val="auto"/>
              </w:rPr>
            </w:pPr>
          </w:p>
        </w:tc>
        <w:tc>
          <w:tcPr>
            <w:tcW w:w="488" w:type="pct"/>
            <w:vMerge w:val="continue"/>
            <w:vAlign w:val="center"/>
          </w:tcPr>
          <w:p w14:paraId="08509956">
            <w:pPr>
              <w:spacing w:line="240" w:lineRule="auto"/>
              <w:jc w:val="center"/>
              <w:textAlignment w:val="center"/>
              <w:rPr>
                <w:rStyle w:val="44"/>
                <w:rFonts w:hint="default"/>
                <w:color w:val="auto"/>
              </w:rPr>
            </w:pPr>
          </w:p>
        </w:tc>
        <w:tc>
          <w:tcPr>
            <w:tcW w:w="1145" w:type="pct"/>
            <w:vMerge w:val="continue"/>
            <w:vAlign w:val="center"/>
          </w:tcPr>
          <w:p w14:paraId="5D0B2229">
            <w:pPr>
              <w:spacing w:line="240" w:lineRule="auto"/>
              <w:jc w:val="left"/>
              <w:textAlignment w:val="center"/>
              <w:rPr>
                <w:rStyle w:val="44"/>
                <w:rFonts w:hint="default"/>
                <w:color w:val="auto"/>
              </w:rPr>
            </w:pPr>
          </w:p>
        </w:tc>
        <w:tc>
          <w:tcPr>
            <w:tcW w:w="534" w:type="pct"/>
            <w:vMerge w:val="continue"/>
            <w:vAlign w:val="center"/>
          </w:tcPr>
          <w:p w14:paraId="6DA8EB4B">
            <w:pPr>
              <w:spacing w:line="240" w:lineRule="auto"/>
              <w:jc w:val="center"/>
              <w:textAlignment w:val="center"/>
              <w:rPr>
                <w:rStyle w:val="44"/>
                <w:rFonts w:hint="default"/>
                <w:color w:val="auto"/>
              </w:rPr>
            </w:pPr>
          </w:p>
        </w:tc>
      </w:tr>
      <w:tr w14:paraId="1B6B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1D3C79F5">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8</w:t>
            </w:r>
          </w:p>
        </w:tc>
        <w:tc>
          <w:tcPr>
            <w:tcW w:w="487" w:type="pct"/>
            <w:vMerge w:val="restart"/>
            <w:vAlign w:val="center"/>
          </w:tcPr>
          <w:p w14:paraId="0789CBE5">
            <w:pPr>
              <w:spacing w:line="240" w:lineRule="auto"/>
              <w:jc w:val="center"/>
              <w:textAlignment w:val="center"/>
              <w:rPr>
                <w:rStyle w:val="44"/>
                <w:rFonts w:hint="default"/>
                <w:color w:val="auto"/>
              </w:rPr>
            </w:pPr>
            <w:r>
              <w:rPr>
                <w:rStyle w:val="44"/>
                <w:rFonts w:hint="default"/>
                <w:color w:val="auto"/>
              </w:rPr>
              <w:t>查田镇金圩小微园三期</w:t>
            </w:r>
          </w:p>
        </w:tc>
        <w:tc>
          <w:tcPr>
            <w:tcW w:w="569" w:type="pct"/>
            <w:vMerge w:val="restart"/>
            <w:vAlign w:val="center"/>
          </w:tcPr>
          <w:p w14:paraId="0BDACC7F">
            <w:pPr>
              <w:spacing w:line="240" w:lineRule="auto"/>
              <w:jc w:val="center"/>
              <w:textAlignment w:val="center"/>
              <w:rPr>
                <w:rStyle w:val="44"/>
                <w:rFonts w:hint="default"/>
                <w:color w:val="auto"/>
              </w:rPr>
            </w:pPr>
            <w:r>
              <w:rPr>
                <w:rStyle w:val="44"/>
                <w:rFonts w:hint="default"/>
                <w:color w:val="auto"/>
              </w:rPr>
              <w:t>查田镇金圩区块</w:t>
            </w:r>
          </w:p>
        </w:tc>
        <w:tc>
          <w:tcPr>
            <w:tcW w:w="1585" w:type="pct"/>
            <w:vMerge w:val="restart"/>
            <w:vAlign w:val="center"/>
          </w:tcPr>
          <w:p w14:paraId="150F0840">
            <w:pPr>
              <w:spacing w:line="240" w:lineRule="auto"/>
              <w:jc w:val="left"/>
              <w:textAlignment w:val="center"/>
              <w:rPr>
                <w:rStyle w:val="44"/>
                <w:rFonts w:hint="default"/>
                <w:color w:val="auto"/>
              </w:rPr>
            </w:pPr>
            <w:r>
              <w:rPr>
                <w:rStyle w:val="44"/>
                <w:rFonts w:hint="default"/>
                <w:color w:val="auto"/>
              </w:rPr>
              <w:t>查田镇金圩区块已建两期，西侧有50亩土地，开发条件基本成熟，场地平整成本较低。同时查田镇具有竹木制品产业发展基础，开发利用价值较大。</w:t>
            </w:r>
          </w:p>
        </w:tc>
        <w:tc>
          <w:tcPr>
            <w:tcW w:w="488" w:type="pct"/>
            <w:vMerge w:val="restart"/>
            <w:vAlign w:val="center"/>
          </w:tcPr>
          <w:p w14:paraId="0405006A">
            <w:pPr>
              <w:spacing w:line="240" w:lineRule="auto"/>
              <w:jc w:val="center"/>
              <w:textAlignment w:val="center"/>
              <w:rPr>
                <w:rStyle w:val="44"/>
                <w:rFonts w:hint="default"/>
                <w:color w:val="auto"/>
              </w:rPr>
            </w:pPr>
            <w:r>
              <w:rPr>
                <w:rStyle w:val="44"/>
                <w:rFonts w:hint="default"/>
                <w:color w:val="auto"/>
              </w:rPr>
              <w:t>50</w:t>
            </w:r>
          </w:p>
        </w:tc>
        <w:tc>
          <w:tcPr>
            <w:tcW w:w="1145" w:type="pct"/>
            <w:vMerge w:val="restart"/>
            <w:vAlign w:val="center"/>
          </w:tcPr>
          <w:p w14:paraId="3311892D">
            <w:pPr>
              <w:spacing w:line="240" w:lineRule="auto"/>
              <w:jc w:val="left"/>
              <w:textAlignment w:val="center"/>
              <w:rPr>
                <w:rStyle w:val="44"/>
                <w:rFonts w:hint="default"/>
                <w:color w:val="auto"/>
              </w:rPr>
            </w:pPr>
            <w:r>
              <w:rPr>
                <w:rStyle w:val="44"/>
                <w:rFonts w:hint="default"/>
                <w:color w:val="auto"/>
              </w:rPr>
              <w:t>该区块已有初步规划，需要在2021年-2022年完成规划调整、土地农转用，2022年上半年开工建设基础配套设施，2023年招引部分企业入驻建设厂房，2023年建成投入使用。</w:t>
            </w:r>
          </w:p>
        </w:tc>
        <w:tc>
          <w:tcPr>
            <w:tcW w:w="534" w:type="pct"/>
            <w:vMerge w:val="restart"/>
            <w:vAlign w:val="center"/>
          </w:tcPr>
          <w:p w14:paraId="007150CA">
            <w:pPr>
              <w:spacing w:line="240" w:lineRule="auto"/>
              <w:jc w:val="center"/>
              <w:textAlignment w:val="center"/>
              <w:rPr>
                <w:rStyle w:val="44"/>
                <w:rFonts w:hint="default"/>
                <w:color w:val="auto"/>
              </w:rPr>
            </w:pPr>
            <w:r>
              <w:rPr>
                <w:rStyle w:val="44"/>
                <w:rFonts w:hint="default"/>
                <w:color w:val="auto"/>
              </w:rPr>
              <w:t>竹木制品及配套产业</w:t>
            </w:r>
          </w:p>
        </w:tc>
      </w:tr>
      <w:tr w14:paraId="44A2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DE8934E">
            <w:pPr>
              <w:spacing w:line="240" w:lineRule="auto"/>
              <w:jc w:val="center"/>
              <w:rPr>
                <w:rFonts w:ascii="宋体" w:hAnsi="宋体" w:cs="宋体"/>
                <w:color w:val="auto"/>
                <w:kern w:val="0"/>
                <w:sz w:val="24"/>
              </w:rPr>
            </w:pPr>
          </w:p>
        </w:tc>
        <w:tc>
          <w:tcPr>
            <w:tcW w:w="487" w:type="pct"/>
            <w:vMerge w:val="continue"/>
            <w:vAlign w:val="center"/>
          </w:tcPr>
          <w:p w14:paraId="359017E3">
            <w:pPr>
              <w:spacing w:line="240" w:lineRule="auto"/>
              <w:jc w:val="center"/>
              <w:textAlignment w:val="center"/>
              <w:rPr>
                <w:rStyle w:val="44"/>
                <w:rFonts w:hint="default"/>
                <w:color w:val="auto"/>
              </w:rPr>
            </w:pPr>
          </w:p>
        </w:tc>
        <w:tc>
          <w:tcPr>
            <w:tcW w:w="569" w:type="pct"/>
            <w:vMerge w:val="continue"/>
            <w:vAlign w:val="center"/>
          </w:tcPr>
          <w:p w14:paraId="26B2179E">
            <w:pPr>
              <w:spacing w:line="240" w:lineRule="auto"/>
              <w:jc w:val="center"/>
              <w:textAlignment w:val="center"/>
              <w:rPr>
                <w:rStyle w:val="44"/>
                <w:rFonts w:hint="default"/>
                <w:color w:val="auto"/>
              </w:rPr>
            </w:pPr>
          </w:p>
        </w:tc>
        <w:tc>
          <w:tcPr>
            <w:tcW w:w="1585" w:type="pct"/>
            <w:vMerge w:val="continue"/>
            <w:vAlign w:val="center"/>
          </w:tcPr>
          <w:p w14:paraId="2453F451">
            <w:pPr>
              <w:spacing w:line="240" w:lineRule="auto"/>
              <w:jc w:val="left"/>
              <w:textAlignment w:val="center"/>
              <w:rPr>
                <w:rStyle w:val="44"/>
                <w:rFonts w:hint="default"/>
                <w:color w:val="auto"/>
              </w:rPr>
            </w:pPr>
          </w:p>
        </w:tc>
        <w:tc>
          <w:tcPr>
            <w:tcW w:w="488" w:type="pct"/>
            <w:vMerge w:val="continue"/>
            <w:vAlign w:val="center"/>
          </w:tcPr>
          <w:p w14:paraId="0BBED222">
            <w:pPr>
              <w:spacing w:line="240" w:lineRule="auto"/>
              <w:jc w:val="center"/>
              <w:textAlignment w:val="center"/>
              <w:rPr>
                <w:rStyle w:val="44"/>
                <w:rFonts w:hint="default"/>
                <w:color w:val="auto"/>
              </w:rPr>
            </w:pPr>
          </w:p>
        </w:tc>
        <w:tc>
          <w:tcPr>
            <w:tcW w:w="1145" w:type="pct"/>
            <w:vMerge w:val="continue"/>
            <w:vAlign w:val="center"/>
          </w:tcPr>
          <w:p w14:paraId="1D41F571">
            <w:pPr>
              <w:spacing w:line="240" w:lineRule="auto"/>
              <w:jc w:val="left"/>
              <w:textAlignment w:val="center"/>
              <w:rPr>
                <w:rStyle w:val="44"/>
                <w:rFonts w:hint="default"/>
                <w:color w:val="auto"/>
              </w:rPr>
            </w:pPr>
          </w:p>
        </w:tc>
        <w:tc>
          <w:tcPr>
            <w:tcW w:w="534" w:type="pct"/>
            <w:vMerge w:val="continue"/>
            <w:vAlign w:val="center"/>
          </w:tcPr>
          <w:p w14:paraId="57EA2CC0">
            <w:pPr>
              <w:spacing w:line="240" w:lineRule="auto"/>
              <w:jc w:val="center"/>
              <w:textAlignment w:val="center"/>
              <w:rPr>
                <w:rStyle w:val="44"/>
                <w:rFonts w:hint="default"/>
                <w:color w:val="auto"/>
              </w:rPr>
            </w:pPr>
          </w:p>
        </w:tc>
      </w:tr>
      <w:tr w14:paraId="51BB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3B8755C">
            <w:pPr>
              <w:spacing w:line="240" w:lineRule="auto"/>
              <w:jc w:val="center"/>
              <w:rPr>
                <w:rFonts w:ascii="宋体" w:hAnsi="宋体" w:cs="宋体"/>
                <w:color w:val="auto"/>
                <w:kern w:val="0"/>
                <w:sz w:val="24"/>
              </w:rPr>
            </w:pPr>
          </w:p>
        </w:tc>
        <w:tc>
          <w:tcPr>
            <w:tcW w:w="487" w:type="pct"/>
            <w:vMerge w:val="continue"/>
            <w:vAlign w:val="center"/>
          </w:tcPr>
          <w:p w14:paraId="27A35260">
            <w:pPr>
              <w:spacing w:line="240" w:lineRule="auto"/>
              <w:jc w:val="center"/>
              <w:textAlignment w:val="center"/>
              <w:rPr>
                <w:rStyle w:val="44"/>
                <w:rFonts w:hint="default"/>
                <w:color w:val="auto"/>
              </w:rPr>
            </w:pPr>
          </w:p>
        </w:tc>
        <w:tc>
          <w:tcPr>
            <w:tcW w:w="569" w:type="pct"/>
            <w:vMerge w:val="continue"/>
            <w:vAlign w:val="center"/>
          </w:tcPr>
          <w:p w14:paraId="66E7CEA8">
            <w:pPr>
              <w:spacing w:line="240" w:lineRule="auto"/>
              <w:jc w:val="center"/>
              <w:textAlignment w:val="center"/>
              <w:rPr>
                <w:rStyle w:val="44"/>
                <w:rFonts w:hint="default"/>
                <w:color w:val="auto"/>
              </w:rPr>
            </w:pPr>
          </w:p>
        </w:tc>
        <w:tc>
          <w:tcPr>
            <w:tcW w:w="1585" w:type="pct"/>
            <w:vMerge w:val="continue"/>
            <w:vAlign w:val="center"/>
          </w:tcPr>
          <w:p w14:paraId="1B2CC82F">
            <w:pPr>
              <w:spacing w:line="240" w:lineRule="auto"/>
              <w:jc w:val="left"/>
              <w:textAlignment w:val="center"/>
              <w:rPr>
                <w:rStyle w:val="44"/>
                <w:rFonts w:hint="default"/>
                <w:color w:val="auto"/>
              </w:rPr>
            </w:pPr>
          </w:p>
        </w:tc>
        <w:tc>
          <w:tcPr>
            <w:tcW w:w="488" w:type="pct"/>
            <w:vMerge w:val="continue"/>
            <w:vAlign w:val="center"/>
          </w:tcPr>
          <w:p w14:paraId="5A920FF4">
            <w:pPr>
              <w:spacing w:line="240" w:lineRule="auto"/>
              <w:jc w:val="center"/>
              <w:textAlignment w:val="center"/>
              <w:rPr>
                <w:rStyle w:val="44"/>
                <w:rFonts w:hint="default"/>
                <w:color w:val="auto"/>
              </w:rPr>
            </w:pPr>
          </w:p>
        </w:tc>
        <w:tc>
          <w:tcPr>
            <w:tcW w:w="1145" w:type="pct"/>
            <w:vMerge w:val="continue"/>
            <w:vAlign w:val="center"/>
          </w:tcPr>
          <w:p w14:paraId="220B8415">
            <w:pPr>
              <w:spacing w:line="240" w:lineRule="auto"/>
              <w:jc w:val="left"/>
              <w:textAlignment w:val="center"/>
              <w:rPr>
                <w:rStyle w:val="44"/>
                <w:rFonts w:hint="default"/>
                <w:color w:val="auto"/>
              </w:rPr>
            </w:pPr>
          </w:p>
        </w:tc>
        <w:tc>
          <w:tcPr>
            <w:tcW w:w="534" w:type="pct"/>
            <w:vMerge w:val="continue"/>
            <w:vAlign w:val="center"/>
          </w:tcPr>
          <w:p w14:paraId="60631821">
            <w:pPr>
              <w:spacing w:line="240" w:lineRule="auto"/>
              <w:jc w:val="center"/>
              <w:textAlignment w:val="center"/>
              <w:rPr>
                <w:rStyle w:val="44"/>
                <w:rFonts w:hint="default"/>
                <w:color w:val="auto"/>
              </w:rPr>
            </w:pPr>
          </w:p>
        </w:tc>
      </w:tr>
      <w:tr w14:paraId="55A2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51867D0B">
            <w:pPr>
              <w:spacing w:line="240" w:lineRule="auto"/>
              <w:jc w:val="center"/>
              <w:rPr>
                <w:rFonts w:ascii="宋体" w:hAnsi="宋体" w:cs="宋体"/>
                <w:color w:val="auto"/>
                <w:kern w:val="0"/>
                <w:sz w:val="24"/>
              </w:rPr>
            </w:pPr>
          </w:p>
        </w:tc>
        <w:tc>
          <w:tcPr>
            <w:tcW w:w="487" w:type="pct"/>
            <w:vMerge w:val="continue"/>
            <w:vAlign w:val="center"/>
          </w:tcPr>
          <w:p w14:paraId="733BBD85">
            <w:pPr>
              <w:spacing w:line="240" w:lineRule="auto"/>
              <w:jc w:val="center"/>
              <w:textAlignment w:val="center"/>
              <w:rPr>
                <w:rStyle w:val="44"/>
                <w:rFonts w:hint="default"/>
                <w:color w:val="auto"/>
              </w:rPr>
            </w:pPr>
          </w:p>
        </w:tc>
        <w:tc>
          <w:tcPr>
            <w:tcW w:w="569" w:type="pct"/>
            <w:vMerge w:val="continue"/>
            <w:vAlign w:val="center"/>
          </w:tcPr>
          <w:p w14:paraId="445F5906">
            <w:pPr>
              <w:spacing w:line="240" w:lineRule="auto"/>
              <w:jc w:val="center"/>
              <w:textAlignment w:val="center"/>
              <w:rPr>
                <w:rStyle w:val="44"/>
                <w:rFonts w:hint="default"/>
                <w:color w:val="auto"/>
              </w:rPr>
            </w:pPr>
          </w:p>
        </w:tc>
        <w:tc>
          <w:tcPr>
            <w:tcW w:w="1585" w:type="pct"/>
            <w:vMerge w:val="continue"/>
            <w:vAlign w:val="center"/>
          </w:tcPr>
          <w:p w14:paraId="449A1948">
            <w:pPr>
              <w:spacing w:line="240" w:lineRule="auto"/>
              <w:jc w:val="left"/>
              <w:textAlignment w:val="center"/>
              <w:rPr>
                <w:rStyle w:val="44"/>
                <w:rFonts w:hint="default"/>
                <w:color w:val="auto"/>
              </w:rPr>
            </w:pPr>
          </w:p>
        </w:tc>
        <w:tc>
          <w:tcPr>
            <w:tcW w:w="488" w:type="pct"/>
            <w:vMerge w:val="continue"/>
            <w:vAlign w:val="center"/>
          </w:tcPr>
          <w:p w14:paraId="51F83602">
            <w:pPr>
              <w:spacing w:line="240" w:lineRule="auto"/>
              <w:jc w:val="center"/>
              <w:textAlignment w:val="center"/>
              <w:rPr>
                <w:rStyle w:val="44"/>
                <w:rFonts w:hint="default"/>
                <w:color w:val="auto"/>
              </w:rPr>
            </w:pPr>
          </w:p>
        </w:tc>
        <w:tc>
          <w:tcPr>
            <w:tcW w:w="1145" w:type="pct"/>
            <w:vMerge w:val="continue"/>
            <w:vAlign w:val="center"/>
          </w:tcPr>
          <w:p w14:paraId="6DF0CFA8">
            <w:pPr>
              <w:spacing w:line="240" w:lineRule="auto"/>
              <w:jc w:val="left"/>
              <w:textAlignment w:val="center"/>
              <w:rPr>
                <w:rStyle w:val="44"/>
                <w:rFonts w:hint="default"/>
                <w:color w:val="auto"/>
              </w:rPr>
            </w:pPr>
          </w:p>
        </w:tc>
        <w:tc>
          <w:tcPr>
            <w:tcW w:w="534" w:type="pct"/>
            <w:vMerge w:val="continue"/>
            <w:vAlign w:val="center"/>
          </w:tcPr>
          <w:p w14:paraId="2E9E2EE0">
            <w:pPr>
              <w:spacing w:line="240" w:lineRule="auto"/>
              <w:jc w:val="center"/>
              <w:textAlignment w:val="center"/>
              <w:rPr>
                <w:rStyle w:val="44"/>
                <w:rFonts w:hint="default"/>
                <w:color w:val="auto"/>
              </w:rPr>
            </w:pPr>
          </w:p>
        </w:tc>
      </w:tr>
      <w:tr w14:paraId="56798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5F7DBF2F">
            <w:pPr>
              <w:spacing w:line="240" w:lineRule="auto"/>
              <w:jc w:val="center"/>
              <w:rPr>
                <w:rFonts w:ascii="宋体" w:hAnsi="宋体" w:cs="宋体"/>
                <w:color w:val="auto"/>
                <w:kern w:val="0"/>
                <w:sz w:val="24"/>
              </w:rPr>
            </w:pPr>
          </w:p>
        </w:tc>
        <w:tc>
          <w:tcPr>
            <w:tcW w:w="487" w:type="pct"/>
            <w:vMerge w:val="continue"/>
            <w:vAlign w:val="center"/>
          </w:tcPr>
          <w:p w14:paraId="0F55CD8A">
            <w:pPr>
              <w:spacing w:line="240" w:lineRule="auto"/>
              <w:jc w:val="center"/>
              <w:textAlignment w:val="center"/>
              <w:rPr>
                <w:rStyle w:val="44"/>
                <w:rFonts w:hint="default"/>
                <w:color w:val="auto"/>
              </w:rPr>
            </w:pPr>
          </w:p>
        </w:tc>
        <w:tc>
          <w:tcPr>
            <w:tcW w:w="569" w:type="pct"/>
            <w:vMerge w:val="continue"/>
            <w:vAlign w:val="center"/>
          </w:tcPr>
          <w:p w14:paraId="3CDED324">
            <w:pPr>
              <w:spacing w:line="240" w:lineRule="auto"/>
              <w:jc w:val="center"/>
              <w:textAlignment w:val="center"/>
              <w:rPr>
                <w:rStyle w:val="44"/>
                <w:rFonts w:hint="default"/>
                <w:color w:val="auto"/>
              </w:rPr>
            </w:pPr>
          </w:p>
        </w:tc>
        <w:tc>
          <w:tcPr>
            <w:tcW w:w="1585" w:type="pct"/>
            <w:vMerge w:val="continue"/>
            <w:vAlign w:val="center"/>
          </w:tcPr>
          <w:p w14:paraId="148927DF">
            <w:pPr>
              <w:spacing w:line="240" w:lineRule="auto"/>
              <w:jc w:val="left"/>
              <w:textAlignment w:val="center"/>
              <w:rPr>
                <w:rStyle w:val="44"/>
                <w:rFonts w:hint="default"/>
                <w:color w:val="auto"/>
              </w:rPr>
            </w:pPr>
          </w:p>
        </w:tc>
        <w:tc>
          <w:tcPr>
            <w:tcW w:w="488" w:type="pct"/>
            <w:vMerge w:val="continue"/>
            <w:vAlign w:val="center"/>
          </w:tcPr>
          <w:p w14:paraId="308DCD07">
            <w:pPr>
              <w:spacing w:line="240" w:lineRule="auto"/>
              <w:jc w:val="center"/>
              <w:textAlignment w:val="center"/>
              <w:rPr>
                <w:rStyle w:val="44"/>
                <w:rFonts w:hint="default"/>
                <w:color w:val="auto"/>
              </w:rPr>
            </w:pPr>
          </w:p>
        </w:tc>
        <w:tc>
          <w:tcPr>
            <w:tcW w:w="1145" w:type="pct"/>
            <w:vMerge w:val="continue"/>
            <w:vAlign w:val="center"/>
          </w:tcPr>
          <w:p w14:paraId="2C3C013C">
            <w:pPr>
              <w:spacing w:line="240" w:lineRule="auto"/>
              <w:jc w:val="left"/>
              <w:textAlignment w:val="center"/>
              <w:rPr>
                <w:rStyle w:val="44"/>
                <w:rFonts w:hint="default"/>
                <w:color w:val="auto"/>
              </w:rPr>
            </w:pPr>
          </w:p>
        </w:tc>
        <w:tc>
          <w:tcPr>
            <w:tcW w:w="534" w:type="pct"/>
            <w:vMerge w:val="continue"/>
            <w:vAlign w:val="center"/>
          </w:tcPr>
          <w:p w14:paraId="275C7747">
            <w:pPr>
              <w:spacing w:line="240" w:lineRule="auto"/>
              <w:jc w:val="center"/>
              <w:textAlignment w:val="center"/>
              <w:rPr>
                <w:rStyle w:val="44"/>
                <w:rFonts w:hint="default"/>
                <w:color w:val="auto"/>
              </w:rPr>
            </w:pPr>
          </w:p>
        </w:tc>
      </w:tr>
      <w:tr w14:paraId="03F1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4A4FBF84">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9</w:t>
            </w:r>
          </w:p>
        </w:tc>
        <w:tc>
          <w:tcPr>
            <w:tcW w:w="487" w:type="pct"/>
            <w:vMerge w:val="restart"/>
            <w:vAlign w:val="center"/>
          </w:tcPr>
          <w:p w14:paraId="7DB208DE">
            <w:pPr>
              <w:spacing w:line="240" w:lineRule="auto"/>
              <w:jc w:val="center"/>
              <w:textAlignment w:val="center"/>
              <w:rPr>
                <w:rStyle w:val="44"/>
                <w:rFonts w:hint="default"/>
                <w:color w:val="auto"/>
              </w:rPr>
            </w:pPr>
            <w:r>
              <w:rPr>
                <w:rStyle w:val="44"/>
                <w:rFonts w:hint="default"/>
                <w:color w:val="auto"/>
              </w:rPr>
              <w:t>锦溪镇竹木加工小微园</w:t>
            </w:r>
          </w:p>
        </w:tc>
        <w:tc>
          <w:tcPr>
            <w:tcW w:w="569" w:type="pct"/>
            <w:vMerge w:val="restart"/>
            <w:vAlign w:val="center"/>
          </w:tcPr>
          <w:p w14:paraId="232B61B5">
            <w:pPr>
              <w:spacing w:line="240" w:lineRule="auto"/>
              <w:jc w:val="center"/>
              <w:textAlignment w:val="center"/>
              <w:rPr>
                <w:rStyle w:val="44"/>
                <w:rFonts w:hint="default"/>
                <w:color w:val="auto"/>
              </w:rPr>
            </w:pPr>
            <w:r>
              <w:rPr>
                <w:rStyle w:val="44"/>
                <w:rFonts w:hint="default"/>
                <w:color w:val="auto"/>
              </w:rPr>
              <w:t>锦溪镇中井村上垟自然村</w:t>
            </w:r>
          </w:p>
        </w:tc>
        <w:tc>
          <w:tcPr>
            <w:tcW w:w="1585" w:type="pct"/>
            <w:vMerge w:val="restart"/>
            <w:vAlign w:val="center"/>
          </w:tcPr>
          <w:p w14:paraId="432EE90F">
            <w:pPr>
              <w:spacing w:line="240" w:lineRule="auto"/>
              <w:jc w:val="left"/>
              <w:textAlignment w:val="center"/>
              <w:rPr>
                <w:rStyle w:val="44"/>
                <w:rFonts w:hint="default"/>
                <w:color w:val="auto"/>
              </w:rPr>
            </w:pPr>
            <w:r>
              <w:rPr>
                <w:rStyle w:val="44"/>
                <w:rFonts w:hint="default"/>
                <w:color w:val="auto"/>
              </w:rPr>
              <w:t>该区块原为龙泉市南山炭业有限公司生产用地，2015年因我市四小整治而关闭，处于闲置状态，而锦溪、竹木资源丰富，需要建立一个竹木加工小微园。一期20亩，二期60亩。</w:t>
            </w:r>
          </w:p>
        </w:tc>
        <w:tc>
          <w:tcPr>
            <w:tcW w:w="488" w:type="pct"/>
            <w:vMerge w:val="restart"/>
            <w:vAlign w:val="center"/>
          </w:tcPr>
          <w:p w14:paraId="385C20A6">
            <w:pPr>
              <w:spacing w:line="240" w:lineRule="auto"/>
              <w:jc w:val="center"/>
              <w:textAlignment w:val="center"/>
              <w:rPr>
                <w:rStyle w:val="44"/>
                <w:rFonts w:hint="default"/>
                <w:color w:val="auto"/>
              </w:rPr>
            </w:pPr>
            <w:r>
              <w:rPr>
                <w:rStyle w:val="44"/>
                <w:rFonts w:hint="default"/>
                <w:color w:val="auto"/>
              </w:rPr>
              <w:t>20</w:t>
            </w:r>
          </w:p>
        </w:tc>
        <w:tc>
          <w:tcPr>
            <w:tcW w:w="1145" w:type="pct"/>
            <w:vMerge w:val="restart"/>
            <w:vAlign w:val="center"/>
          </w:tcPr>
          <w:p w14:paraId="42658D67">
            <w:pPr>
              <w:spacing w:line="240" w:lineRule="auto"/>
              <w:jc w:val="left"/>
              <w:textAlignment w:val="center"/>
              <w:rPr>
                <w:rStyle w:val="44"/>
                <w:rFonts w:hint="default"/>
                <w:color w:val="auto"/>
              </w:rPr>
            </w:pPr>
            <w:r>
              <w:rPr>
                <w:rStyle w:val="44"/>
                <w:rFonts w:hint="default"/>
                <w:color w:val="auto"/>
              </w:rPr>
              <w:t>该区块一期正在开展土地平整、道路建设等基础设施建设，计划2023年竣工投入使用。二期计划2023年开工，2023年建成。</w:t>
            </w:r>
          </w:p>
        </w:tc>
        <w:tc>
          <w:tcPr>
            <w:tcW w:w="534" w:type="pct"/>
            <w:vMerge w:val="restart"/>
            <w:vAlign w:val="center"/>
          </w:tcPr>
          <w:p w14:paraId="392D40C6">
            <w:pPr>
              <w:spacing w:line="240" w:lineRule="auto"/>
              <w:jc w:val="center"/>
              <w:textAlignment w:val="center"/>
              <w:rPr>
                <w:rStyle w:val="44"/>
                <w:rFonts w:hint="default"/>
                <w:color w:val="auto"/>
              </w:rPr>
            </w:pPr>
            <w:r>
              <w:rPr>
                <w:rStyle w:val="44"/>
                <w:rFonts w:hint="default"/>
                <w:color w:val="auto"/>
              </w:rPr>
              <w:t>竹木制品</w:t>
            </w:r>
          </w:p>
        </w:tc>
      </w:tr>
      <w:tr w14:paraId="063A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413AEC7D">
            <w:pPr>
              <w:spacing w:line="240" w:lineRule="auto"/>
              <w:jc w:val="center"/>
              <w:rPr>
                <w:rFonts w:ascii="宋体" w:hAnsi="宋体" w:cs="宋体"/>
                <w:color w:val="auto"/>
                <w:kern w:val="0"/>
                <w:sz w:val="24"/>
              </w:rPr>
            </w:pPr>
          </w:p>
        </w:tc>
        <w:tc>
          <w:tcPr>
            <w:tcW w:w="487" w:type="pct"/>
            <w:vMerge w:val="continue"/>
            <w:vAlign w:val="center"/>
          </w:tcPr>
          <w:p w14:paraId="5F103A59">
            <w:pPr>
              <w:spacing w:line="240" w:lineRule="auto"/>
              <w:jc w:val="center"/>
              <w:textAlignment w:val="center"/>
              <w:rPr>
                <w:rStyle w:val="44"/>
                <w:rFonts w:hint="default"/>
                <w:color w:val="auto"/>
              </w:rPr>
            </w:pPr>
          </w:p>
        </w:tc>
        <w:tc>
          <w:tcPr>
            <w:tcW w:w="569" w:type="pct"/>
            <w:vMerge w:val="continue"/>
            <w:vAlign w:val="center"/>
          </w:tcPr>
          <w:p w14:paraId="1CE054AD">
            <w:pPr>
              <w:spacing w:line="240" w:lineRule="auto"/>
              <w:jc w:val="center"/>
              <w:textAlignment w:val="center"/>
              <w:rPr>
                <w:rStyle w:val="44"/>
                <w:rFonts w:hint="default"/>
                <w:color w:val="auto"/>
              </w:rPr>
            </w:pPr>
          </w:p>
        </w:tc>
        <w:tc>
          <w:tcPr>
            <w:tcW w:w="1585" w:type="pct"/>
            <w:vMerge w:val="continue"/>
            <w:vAlign w:val="center"/>
          </w:tcPr>
          <w:p w14:paraId="32C8E577">
            <w:pPr>
              <w:spacing w:line="240" w:lineRule="auto"/>
              <w:jc w:val="left"/>
              <w:textAlignment w:val="center"/>
              <w:rPr>
                <w:rStyle w:val="44"/>
                <w:rFonts w:hint="default"/>
                <w:color w:val="auto"/>
              </w:rPr>
            </w:pPr>
          </w:p>
        </w:tc>
        <w:tc>
          <w:tcPr>
            <w:tcW w:w="488" w:type="pct"/>
            <w:vMerge w:val="continue"/>
            <w:vAlign w:val="center"/>
          </w:tcPr>
          <w:p w14:paraId="1836365E">
            <w:pPr>
              <w:spacing w:line="240" w:lineRule="auto"/>
              <w:jc w:val="center"/>
              <w:textAlignment w:val="center"/>
              <w:rPr>
                <w:rStyle w:val="44"/>
                <w:rFonts w:hint="default"/>
                <w:color w:val="auto"/>
              </w:rPr>
            </w:pPr>
          </w:p>
        </w:tc>
        <w:tc>
          <w:tcPr>
            <w:tcW w:w="1145" w:type="pct"/>
            <w:vMerge w:val="continue"/>
            <w:vAlign w:val="center"/>
          </w:tcPr>
          <w:p w14:paraId="6C06ECD7">
            <w:pPr>
              <w:spacing w:line="240" w:lineRule="auto"/>
              <w:jc w:val="left"/>
              <w:textAlignment w:val="center"/>
              <w:rPr>
                <w:rStyle w:val="44"/>
                <w:rFonts w:hint="default"/>
                <w:color w:val="auto"/>
              </w:rPr>
            </w:pPr>
          </w:p>
        </w:tc>
        <w:tc>
          <w:tcPr>
            <w:tcW w:w="534" w:type="pct"/>
            <w:vMerge w:val="continue"/>
            <w:vAlign w:val="center"/>
          </w:tcPr>
          <w:p w14:paraId="7072F4AE">
            <w:pPr>
              <w:spacing w:line="240" w:lineRule="auto"/>
              <w:jc w:val="center"/>
              <w:textAlignment w:val="center"/>
              <w:rPr>
                <w:rStyle w:val="44"/>
                <w:rFonts w:hint="default"/>
                <w:color w:val="auto"/>
              </w:rPr>
            </w:pPr>
          </w:p>
        </w:tc>
      </w:tr>
      <w:tr w14:paraId="6A9D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7E34E0F">
            <w:pPr>
              <w:spacing w:line="240" w:lineRule="auto"/>
              <w:jc w:val="center"/>
              <w:rPr>
                <w:rFonts w:ascii="宋体" w:hAnsi="宋体" w:cs="宋体"/>
                <w:color w:val="auto"/>
                <w:kern w:val="0"/>
                <w:sz w:val="24"/>
              </w:rPr>
            </w:pPr>
          </w:p>
        </w:tc>
        <w:tc>
          <w:tcPr>
            <w:tcW w:w="487" w:type="pct"/>
            <w:vMerge w:val="continue"/>
            <w:vAlign w:val="center"/>
          </w:tcPr>
          <w:p w14:paraId="30A89D22">
            <w:pPr>
              <w:spacing w:line="240" w:lineRule="auto"/>
              <w:jc w:val="center"/>
              <w:textAlignment w:val="center"/>
              <w:rPr>
                <w:rStyle w:val="44"/>
                <w:rFonts w:hint="default"/>
                <w:color w:val="auto"/>
              </w:rPr>
            </w:pPr>
          </w:p>
        </w:tc>
        <w:tc>
          <w:tcPr>
            <w:tcW w:w="569" w:type="pct"/>
            <w:vMerge w:val="continue"/>
            <w:vAlign w:val="center"/>
          </w:tcPr>
          <w:p w14:paraId="532D0210">
            <w:pPr>
              <w:spacing w:line="240" w:lineRule="auto"/>
              <w:jc w:val="center"/>
              <w:textAlignment w:val="center"/>
              <w:rPr>
                <w:rStyle w:val="44"/>
                <w:rFonts w:hint="default"/>
                <w:color w:val="auto"/>
              </w:rPr>
            </w:pPr>
          </w:p>
        </w:tc>
        <w:tc>
          <w:tcPr>
            <w:tcW w:w="1585" w:type="pct"/>
            <w:vMerge w:val="continue"/>
            <w:vAlign w:val="center"/>
          </w:tcPr>
          <w:p w14:paraId="4B80C756">
            <w:pPr>
              <w:spacing w:line="240" w:lineRule="auto"/>
              <w:jc w:val="left"/>
              <w:textAlignment w:val="center"/>
              <w:rPr>
                <w:rStyle w:val="44"/>
                <w:rFonts w:hint="default"/>
                <w:color w:val="auto"/>
              </w:rPr>
            </w:pPr>
          </w:p>
        </w:tc>
        <w:tc>
          <w:tcPr>
            <w:tcW w:w="488" w:type="pct"/>
            <w:vMerge w:val="continue"/>
            <w:vAlign w:val="center"/>
          </w:tcPr>
          <w:p w14:paraId="732FF8D5">
            <w:pPr>
              <w:spacing w:line="240" w:lineRule="auto"/>
              <w:jc w:val="center"/>
              <w:textAlignment w:val="center"/>
              <w:rPr>
                <w:rStyle w:val="44"/>
                <w:rFonts w:hint="default"/>
                <w:color w:val="auto"/>
              </w:rPr>
            </w:pPr>
          </w:p>
        </w:tc>
        <w:tc>
          <w:tcPr>
            <w:tcW w:w="1145" w:type="pct"/>
            <w:vMerge w:val="continue"/>
            <w:vAlign w:val="center"/>
          </w:tcPr>
          <w:p w14:paraId="7FB43770">
            <w:pPr>
              <w:spacing w:line="240" w:lineRule="auto"/>
              <w:jc w:val="left"/>
              <w:textAlignment w:val="center"/>
              <w:rPr>
                <w:rStyle w:val="44"/>
                <w:rFonts w:hint="default"/>
                <w:color w:val="auto"/>
              </w:rPr>
            </w:pPr>
          </w:p>
        </w:tc>
        <w:tc>
          <w:tcPr>
            <w:tcW w:w="534" w:type="pct"/>
            <w:vMerge w:val="continue"/>
            <w:vAlign w:val="center"/>
          </w:tcPr>
          <w:p w14:paraId="72D02890">
            <w:pPr>
              <w:spacing w:line="240" w:lineRule="auto"/>
              <w:jc w:val="center"/>
              <w:textAlignment w:val="center"/>
              <w:rPr>
                <w:rStyle w:val="44"/>
                <w:rFonts w:hint="default"/>
                <w:color w:val="auto"/>
              </w:rPr>
            </w:pPr>
          </w:p>
        </w:tc>
      </w:tr>
      <w:tr w14:paraId="0126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6D5BBF8">
            <w:pPr>
              <w:spacing w:line="240" w:lineRule="auto"/>
              <w:jc w:val="center"/>
              <w:rPr>
                <w:rFonts w:ascii="宋体" w:hAnsi="宋体" w:cs="宋体"/>
                <w:color w:val="auto"/>
                <w:kern w:val="0"/>
                <w:sz w:val="24"/>
              </w:rPr>
            </w:pPr>
          </w:p>
        </w:tc>
        <w:tc>
          <w:tcPr>
            <w:tcW w:w="487" w:type="pct"/>
            <w:vMerge w:val="continue"/>
            <w:vAlign w:val="center"/>
          </w:tcPr>
          <w:p w14:paraId="0D6F2714">
            <w:pPr>
              <w:spacing w:line="240" w:lineRule="auto"/>
              <w:jc w:val="center"/>
              <w:textAlignment w:val="center"/>
              <w:rPr>
                <w:rStyle w:val="44"/>
                <w:rFonts w:hint="default"/>
                <w:color w:val="auto"/>
              </w:rPr>
            </w:pPr>
          </w:p>
        </w:tc>
        <w:tc>
          <w:tcPr>
            <w:tcW w:w="569" w:type="pct"/>
            <w:vMerge w:val="continue"/>
            <w:vAlign w:val="center"/>
          </w:tcPr>
          <w:p w14:paraId="59E90686">
            <w:pPr>
              <w:spacing w:line="240" w:lineRule="auto"/>
              <w:jc w:val="center"/>
              <w:textAlignment w:val="center"/>
              <w:rPr>
                <w:rStyle w:val="44"/>
                <w:rFonts w:hint="default"/>
                <w:color w:val="auto"/>
              </w:rPr>
            </w:pPr>
          </w:p>
        </w:tc>
        <w:tc>
          <w:tcPr>
            <w:tcW w:w="1585" w:type="pct"/>
            <w:vMerge w:val="continue"/>
            <w:vAlign w:val="center"/>
          </w:tcPr>
          <w:p w14:paraId="43925881">
            <w:pPr>
              <w:spacing w:line="240" w:lineRule="auto"/>
              <w:jc w:val="left"/>
              <w:textAlignment w:val="center"/>
              <w:rPr>
                <w:rStyle w:val="44"/>
                <w:rFonts w:hint="default"/>
                <w:color w:val="auto"/>
              </w:rPr>
            </w:pPr>
          </w:p>
        </w:tc>
        <w:tc>
          <w:tcPr>
            <w:tcW w:w="488" w:type="pct"/>
            <w:vMerge w:val="continue"/>
            <w:vAlign w:val="center"/>
          </w:tcPr>
          <w:p w14:paraId="7E66BB51">
            <w:pPr>
              <w:spacing w:line="240" w:lineRule="auto"/>
              <w:jc w:val="center"/>
              <w:textAlignment w:val="center"/>
              <w:rPr>
                <w:rStyle w:val="44"/>
                <w:rFonts w:hint="default"/>
                <w:color w:val="auto"/>
              </w:rPr>
            </w:pPr>
          </w:p>
        </w:tc>
        <w:tc>
          <w:tcPr>
            <w:tcW w:w="1145" w:type="pct"/>
            <w:vMerge w:val="continue"/>
            <w:vAlign w:val="center"/>
          </w:tcPr>
          <w:p w14:paraId="59EFF1B2">
            <w:pPr>
              <w:spacing w:line="240" w:lineRule="auto"/>
              <w:jc w:val="left"/>
              <w:textAlignment w:val="center"/>
              <w:rPr>
                <w:rStyle w:val="44"/>
                <w:rFonts w:hint="default"/>
                <w:color w:val="auto"/>
              </w:rPr>
            </w:pPr>
          </w:p>
        </w:tc>
        <w:tc>
          <w:tcPr>
            <w:tcW w:w="534" w:type="pct"/>
            <w:vMerge w:val="continue"/>
            <w:vAlign w:val="center"/>
          </w:tcPr>
          <w:p w14:paraId="705C248C">
            <w:pPr>
              <w:spacing w:line="240" w:lineRule="auto"/>
              <w:jc w:val="center"/>
              <w:textAlignment w:val="center"/>
              <w:rPr>
                <w:rStyle w:val="44"/>
                <w:rFonts w:hint="default"/>
                <w:color w:val="auto"/>
              </w:rPr>
            </w:pPr>
          </w:p>
        </w:tc>
      </w:tr>
      <w:tr w14:paraId="286B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049713C4">
            <w:pPr>
              <w:spacing w:line="240" w:lineRule="auto"/>
              <w:jc w:val="center"/>
              <w:rPr>
                <w:rFonts w:ascii="宋体" w:hAnsi="宋体" w:cs="宋体"/>
                <w:color w:val="auto"/>
                <w:kern w:val="0"/>
                <w:sz w:val="24"/>
              </w:rPr>
            </w:pPr>
          </w:p>
        </w:tc>
        <w:tc>
          <w:tcPr>
            <w:tcW w:w="487" w:type="pct"/>
            <w:vMerge w:val="continue"/>
            <w:vAlign w:val="center"/>
          </w:tcPr>
          <w:p w14:paraId="074C3AFB">
            <w:pPr>
              <w:spacing w:line="240" w:lineRule="auto"/>
              <w:jc w:val="center"/>
              <w:textAlignment w:val="center"/>
              <w:rPr>
                <w:rStyle w:val="44"/>
                <w:rFonts w:hint="default"/>
                <w:color w:val="auto"/>
              </w:rPr>
            </w:pPr>
          </w:p>
        </w:tc>
        <w:tc>
          <w:tcPr>
            <w:tcW w:w="569" w:type="pct"/>
            <w:vMerge w:val="continue"/>
            <w:vAlign w:val="center"/>
          </w:tcPr>
          <w:p w14:paraId="183E6508">
            <w:pPr>
              <w:spacing w:line="240" w:lineRule="auto"/>
              <w:jc w:val="center"/>
              <w:textAlignment w:val="center"/>
              <w:rPr>
                <w:rStyle w:val="44"/>
                <w:rFonts w:hint="default"/>
                <w:color w:val="auto"/>
              </w:rPr>
            </w:pPr>
          </w:p>
        </w:tc>
        <w:tc>
          <w:tcPr>
            <w:tcW w:w="1585" w:type="pct"/>
            <w:vMerge w:val="continue"/>
            <w:vAlign w:val="center"/>
          </w:tcPr>
          <w:p w14:paraId="6296D23F">
            <w:pPr>
              <w:spacing w:line="240" w:lineRule="auto"/>
              <w:jc w:val="left"/>
              <w:textAlignment w:val="center"/>
              <w:rPr>
                <w:rStyle w:val="44"/>
                <w:rFonts w:hint="default"/>
                <w:color w:val="auto"/>
              </w:rPr>
            </w:pPr>
          </w:p>
        </w:tc>
        <w:tc>
          <w:tcPr>
            <w:tcW w:w="488" w:type="pct"/>
            <w:vMerge w:val="continue"/>
            <w:vAlign w:val="center"/>
          </w:tcPr>
          <w:p w14:paraId="247F0871">
            <w:pPr>
              <w:spacing w:line="240" w:lineRule="auto"/>
              <w:jc w:val="center"/>
              <w:textAlignment w:val="center"/>
              <w:rPr>
                <w:rStyle w:val="44"/>
                <w:rFonts w:hint="default"/>
                <w:color w:val="auto"/>
              </w:rPr>
            </w:pPr>
          </w:p>
        </w:tc>
        <w:tc>
          <w:tcPr>
            <w:tcW w:w="1145" w:type="pct"/>
            <w:vMerge w:val="continue"/>
            <w:vAlign w:val="center"/>
          </w:tcPr>
          <w:p w14:paraId="78FE9F91">
            <w:pPr>
              <w:spacing w:line="240" w:lineRule="auto"/>
              <w:jc w:val="left"/>
              <w:textAlignment w:val="center"/>
              <w:rPr>
                <w:rStyle w:val="44"/>
                <w:rFonts w:hint="default"/>
                <w:color w:val="auto"/>
              </w:rPr>
            </w:pPr>
          </w:p>
        </w:tc>
        <w:tc>
          <w:tcPr>
            <w:tcW w:w="534" w:type="pct"/>
            <w:vMerge w:val="continue"/>
            <w:vAlign w:val="center"/>
          </w:tcPr>
          <w:p w14:paraId="0F78EE0A">
            <w:pPr>
              <w:spacing w:line="240" w:lineRule="auto"/>
              <w:jc w:val="center"/>
              <w:textAlignment w:val="center"/>
              <w:rPr>
                <w:rStyle w:val="44"/>
                <w:rFonts w:hint="default"/>
                <w:color w:val="auto"/>
              </w:rPr>
            </w:pPr>
          </w:p>
        </w:tc>
      </w:tr>
      <w:tr w14:paraId="6098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19A9F17E">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10</w:t>
            </w:r>
          </w:p>
        </w:tc>
        <w:tc>
          <w:tcPr>
            <w:tcW w:w="487" w:type="pct"/>
            <w:vMerge w:val="restart"/>
            <w:vAlign w:val="center"/>
          </w:tcPr>
          <w:p w14:paraId="3C4FF94C">
            <w:pPr>
              <w:spacing w:line="240" w:lineRule="auto"/>
              <w:jc w:val="center"/>
              <w:textAlignment w:val="center"/>
              <w:rPr>
                <w:rStyle w:val="44"/>
                <w:rFonts w:hint="default"/>
                <w:color w:val="auto"/>
              </w:rPr>
            </w:pPr>
            <w:r>
              <w:rPr>
                <w:rStyle w:val="44"/>
                <w:rFonts w:hint="default"/>
                <w:color w:val="auto"/>
              </w:rPr>
              <w:t>安仁昌文木制玩具小微园一期</w:t>
            </w:r>
          </w:p>
        </w:tc>
        <w:tc>
          <w:tcPr>
            <w:tcW w:w="569" w:type="pct"/>
            <w:vMerge w:val="restart"/>
            <w:vAlign w:val="center"/>
          </w:tcPr>
          <w:p w14:paraId="47294FF8">
            <w:pPr>
              <w:spacing w:line="240" w:lineRule="auto"/>
              <w:jc w:val="center"/>
              <w:textAlignment w:val="center"/>
              <w:rPr>
                <w:rStyle w:val="44"/>
                <w:rFonts w:hint="default"/>
                <w:color w:val="auto"/>
              </w:rPr>
            </w:pPr>
            <w:r>
              <w:rPr>
                <w:rStyle w:val="44"/>
                <w:rFonts w:hint="default"/>
                <w:color w:val="auto"/>
              </w:rPr>
              <w:t>安仁镇昌门区块</w:t>
            </w:r>
          </w:p>
        </w:tc>
        <w:tc>
          <w:tcPr>
            <w:tcW w:w="1585" w:type="pct"/>
            <w:vMerge w:val="restart"/>
            <w:vAlign w:val="center"/>
          </w:tcPr>
          <w:p w14:paraId="5AA1DFB5">
            <w:pPr>
              <w:spacing w:line="240" w:lineRule="auto"/>
              <w:jc w:val="left"/>
              <w:textAlignment w:val="center"/>
              <w:rPr>
                <w:rStyle w:val="44"/>
                <w:rFonts w:hint="default"/>
                <w:color w:val="auto"/>
              </w:rPr>
            </w:pPr>
            <w:r>
              <w:rPr>
                <w:rStyle w:val="44"/>
                <w:rFonts w:hint="default"/>
                <w:color w:val="auto"/>
              </w:rPr>
              <w:t>安仁镇有竹木制品小企业（个体户）160多家，分散在安仁镇周边。小城镇整治和镇域经济高质量发展都需要建立一个较大的小微园，合理解决小企业的发展空间问题。</w:t>
            </w:r>
          </w:p>
        </w:tc>
        <w:tc>
          <w:tcPr>
            <w:tcW w:w="488" w:type="pct"/>
            <w:vMerge w:val="restart"/>
            <w:vAlign w:val="center"/>
          </w:tcPr>
          <w:p w14:paraId="47EA5490">
            <w:pPr>
              <w:spacing w:line="240" w:lineRule="auto"/>
              <w:jc w:val="center"/>
              <w:textAlignment w:val="center"/>
              <w:rPr>
                <w:rStyle w:val="44"/>
                <w:rFonts w:hint="default"/>
                <w:color w:val="auto"/>
              </w:rPr>
            </w:pPr>
            <w:r>
              <w:rPr>
                <w:rStyle w:val="44"/>
                <w:rFonts w:hint="default"/>
                <w:color w:val="auto"/>
              </w:rPr>
              <w:t>80</w:t>
            </w:r>
          </w:p>
        </w:tc>
        <w:tc>
          <w:tcPr>
            <w:tcW w:w="1145" w:type="pct"/>
            <w:vMerge w:val="restart"/>
            <w:vAlign w:val="center"/>
          </w:tcPr>
          <w:p w14:paraId="343A7F78">
            <w:pPr>
              <w:spacing w:line="240" w:lineRule="auto"/>
              <w:jc w:val="left"/>
              <w:textAlignment w:val="center"/>
              <w:rPr>
                <w:rStyle w:val="44"/>
                <w:rFonts w:hint="default"/>
                <w:color w:val="auto"/>
              </w:rPr>
            </w:pPr>
            <w:r>
              <w:rPr>
                <w:rStyle w:val="44"/>
                <w:rFonts w:hint="default"/>
                <w:color w:val="auto"/>
              </w:rPr>
              <w:t>该园区由经济开发区下属东盛标准厂房有限公司开发建设。</w:t>
            </w:r>
          </w:p>
        </w:tc>
        <w:tc>
          <w:tcPr>
            <w:tcW w:w="534" w:type="pct"/>
            <w:vMerge w:val="restart"/>
            <w:vAlign w:val="center"/>
          </w:tcPr>
          <w:p w14:paraId="3B8E53BF">
            <w:pPr>
              <w:spacing w:line="240" w:lineRule="auto"/>
              <w:jc w:val="center"/>
              <w:textAlignment w:val="center"/>
              <w:rPr>
                <w:rStyle w:val="44"/>
                <w:rFonts w:hint="default"/>
                <w:color w:val="auto"/>
              </w:rPr>
            </w:pPr>
            <w:r>
              <w:rPr>
                <w:rStyle w:val="44"/>
                <w:rFonts w:hint="default"/>
                <w:color w:val="auto"/>
              </w:rPr>
              <w:t>竹木制品</w:t>
            </w:r>
          </w:p>
        </w:tc>
      </w:tr>
      <w:tr w14:paraId="1DBC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61F85C36">
            <w:pPr>
              <w:spacing w:line="240" w:lineRule="auto"/>
              <w:jc w:val="center"/>
              <w:rPr>
                <w:rFonts w:ascii="宋体" w:hAnsi="宋体" w:cs="宋体"/>
                <w:color w:val="auto"/>
                <w:kern w:val="0"/>
                <w:sz w:val="24"/>
              </w:rPr>
            </w:pPr>
          </w:p>
        </w:tc>
        <w:tc>
          <w:tcPr>
            <w:tcW w:w="487" w:type="pct"/>
            <w:vMerge w:val="continue"/>
            <w:vAlign w:val="center"/>
          </w:tcPr>
          <w:p w14:paraId="0E25E832">
            <w:pPr>
              <w:spacing w:line="240" w:lineRule="auto"/>
              <w:jc w:val="center"/>
              <w:textAlignment w:val="center"/>
              <w:rPr>
                <w:rStyle w:val="44"/>
                <w:rFonts w:hint="default"/>
                <w:color w:val="auto"/>
              </w:rPr>
            </w:pPr>
          </w:p>
        </w:tc>
        <w:tc>
          <w:tcPr>
            <w:tcW w:w="569" w:type="pct"/>
            <w:vMerge w:val="continue"/>
            <w:vAlign w:val="center"/>
          </w:tcPr>
          <w:p w14:paraId="5BC97ABF">
            <w:pPr>
              <w:spacing w:line="240" w:lineRule="auto"/>
              <w:jc w:val="center"/>
              <w:textAlignment w:val="center"/>
              <w:rPr>
                <w:rStyle w:val="44"/>
                <w:rFonts w:hint="default"/>
                <w:color w:val="auto"/>
              </w:rPr>
            </w:pPr>
          </w:p>
        </w:tc>
        <w:tc>
          <w:tcPr>
            <w:tcW w:w="1585" w:type="pct"/>
            <w:vMerge w:val="continue"/>
            <w:vAlign w:val="center"/>
          </w:tcPr>
          <w:p w14:paraId="71FE3A26">
            <w:pPr>
              <w:spacing w:line="240" w:lineRule="auto"/>
              <w:jc w:val="left"/>
              <w:textAlignment w:val="center"/>
              <w:rPr>
                <w:rStyle w:val="44"/>
                <w:rFonts w:hint="default"/>
                <w:color w:val="auto"/>
              </w:rPr>
            </w:pPr>
          </w:p>
        </w:tc>
        <w:tc>
          <w:tcPr>
            <w:tcW w:w="488" w:type="pct"/>
            <w:vMerge w:val="continue"/>
            <w:vAlign w:val="center"/>
          </w:tcPr>
          <w:p w14:paraId="2C400EC3">
            <w:pPr>
              <w:spacing w:line="240" w:lineRule="auto"/>
              <w:jc w:val="center"/>
              <w:textAlignment w:val="center"/>
              <w:rPr>
                <w:rStyle w:val="44"/>
                <w:rFonts w:hint="default"/>
                <w:color w:val="auto"/>
              </w:rPr>
            </w:pPr>
          </w:p>
        </w:tc>
        <w:tc>
          <w:tcPr>
            <w:tcW w:w="1145" w:type="pct"/>
            <w:vMerge w:val="continue"/>
            <w:vAlign w:val="center"/>
          </w:tcPr>
          <w:p w14:paraId="43402DE2">
            <w:pPr>
              <w:spacing w:line="240" w:lineRule="auto"/>
              <w:jc w:val="left"/>
              <w:textAlignment w:val="center"/>
              <w:rPr>
                <w:rStyle w:val="44"/>
                <w:rFonts w:hint="default"/>
                <w:color w:val="auto"/>
              </w:rPr>
            </w:pPr>
          </w:p>
        </w:tc>
        <w:tc>
          <w:tcPr>
            <w:tcW w:w="534" w:type="pct"/>
            <w:vMerge w:val="continue"/>
            <w:vAlign w:val="center"/>
          </w:tcPr>
          <w:p w14:paraId="06DE8C20">
            <w:pPr>
              <w:spacing w:line="240" w:lineRule="auto"/>
              <w:jc w:val="center"/>
              <w:textAlignment w:val="center"/>
              <w:rPr>
                <w:rStyle w:val="44"/>
                <w:rFonts w:hint="default"/>
                <w:color w:val="auto"/>
              </w:rPr>
            </w:pPr>
          </w:p>
        </w:tc>
      </w:tr>
      <w:tr w14:paraId="4692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299DC122">
            <w:pPr>
              <w:spacing w:line="240" w:lineRule="auto"/>
              <w:jc w:val="center"/>
              <w:rPr>
                <w:rFonts w:ascii="宋体" w:hAnsi="宋体" w:cs="宋体"/>
                <w:color w:val="auto"/>
                <w:kern w:val="0"/>
                <w:sz w:val="24"/>
              </w:rPr>
            </w:pPr>
          </w:p>
        </w:tc>
        <w:tc>
          <w:tcPr>
            <w:tcW w:w="487" w:type="pct"/>
            <w:vMerge w:val="continue"/>
            <w:vAlign w:val="center"/>
          </w:tcPr>
          <w:p w14:paraId="297E118B">
            <w:pPr>
              <w:spacing w:line="240" w:lineRule="auto"/>
              <w:jc w:val="center"/>
              <w:textAlignment w:val="center"/>
              <w:rPr>
                <w:rStyle w:val="44"/>
                <w:rFonts w:hint="default"/>
                <w:color w:val="auto"/>
              </w:rPr>
            </w:pPr>
          </w:p>
        </w:tc>
        <w:tc>
          <w:tcPr>
            <w:tcW w:w="569" w:type="pct"/>
            <w:vMerge w:val="continue"/>
            <w:vAlign w:val="center"/>
          </w:tcPr>
          <w:p w14:paraId="30F7F059">
            <w:pPr>
              <w:spacing w:line="240" w:lineRule="auto"/>
              <w:jc w:val="center"/>
              <w:textAlignment w:val="center"/>
              <w:rPr>
                <w:rStyle w:val="44"/>
                <w:rFonts w:hint="default"/>
                <w:color w:val="auto"/>
              </w:rPr>
            </w:pPr>
          </w:p>
        </w:tc>
        <w:tc>
          <w:tcPr>
            <w:tcW w:w="1585" w:type="pct"/>
            <w:vMerge w:val="continue"/>
            <w:vAlign w:val="center"/>
          </w:tcPr>
          <w:p w14:paraId="3C42B78F">
            <w:pPr>
              <w:spacing w:line="240" w:lineRule="auto"/>
              <w:jc w:val="left"/>
              <w:textAlignment w:val="center"/>
              <w:rPr>
                <w:rStyle w:val="44"/>
                <w:rFonts w:hint="default"/>
                <w:color w:val="auto"/>
              </w:rPr>
            </w:pPr>
          </w:p>
        </w:tc>
        <w:tc>
          <w:tcPr>
            <w:tcW w:w="488" w:type="pct"/>
            <w:vMerge w:val="continue"/>
            <w:vAlign w:val="center"/>
          </w:tcPr>
          <w:p w14:paraId="17ED3ABA">
            <w:pPr>
              <w:spacing w:line="240" w:lineRule="auto"/>
              <w:jc w:val="center"/>
              <w:textAlignment w:val="center"/>
              <w:rPr>
                <w:rStyle w:val="44"/>
                <w:rFonts w:hint="default"/>
                <w:color w:val="auto"/>
              </w:rPr>
            </w:pPr>
          </w:p>
        </w:tc>
        <w:tc>
          <w:tcPr>
            <w:tcW w:w="1145" w:type="pct"/>
            <w:vMerge w:val="continue"/>
            <w:vAlign w:val="center"/>
          </w:tcPr>
          <w:p w14:paraId="71F97997">
            <w:pPr>
              <w:spacing w:line="240" w:lineRule="auto"/>
              <w:jc w:val="left"/>
              <w:textAlignment w:val="center"/>
              <w:rPr>
                <w:rStyle w:val="44"/>
                <w:rFonts w:hint="default"/>
                <w:color w:val="auto"/>
              </w:rPr>
            </w:pPr>
          </w:p>
        </w:tc>
        <w:tc>
          <w:tcPr>
            <w:tcW w:w="534" w:type="pct"/>
            <w:vMerge w:val="continue"/>
            <w:vAlign w:val="center"/>
          </w:tcPr>
          <w:p w14:paraId="7B184384">
            <w:pPr>
              <w:spacing w:line="240" w:lineRule="auto"/>
              <w:jc w:val="center"/>
              <w:textAlignment w:val="center"/>
              <w:rPr>
                <w:rStyle w:val="44"/>
                <w:rFonts w:hint="default"/>
                <w:color w:val="auto"/>
              </w:rPr>
            </w:pPr>
          </w:p>
        </w:tc>
      </w:tr>
      <w:tr w14:paraId="02B9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093460E4">
            <w:pPr>
              <w:spacing w:line="240" w:lineRule="auto"/>
              <w:jc w:val="center"/>
              <w:rPr>
                <w:rFonts w:ascii="宋体" w:hAnsi="宋体" w:cs="宋体"/>
                <w:color w:val="auto"/>
                <w:kern w:val="0"/>
                <w:sz w:val="24"/>
              </w:rPr>
            </w:pPr>
          </w:p>
        </w:tc>
        <w:tc>
          <w:tcPr>
            <w:tcW w:w="487" w:type="pct"/>
            <w:vMerge w:val="continue"/>
            <w:vAlign w:val="center"/>
          </w:tcPr>
          <w:p w14:paraId="2F33102D">
            <w:pPr>
              <w:spacing w:line="240" w:lineRule="auto"/>
              <w:jc w:val="center"/>
              <w:textAlignment w:val="center"/>
              <w:rPr>
                <w:rStyle w:val="44"/>
                <w:rFonts w:hint="default"/>
                <w:color w:val="auto"/>
              </w:rPr>
            </w:pPr>
          </w:p>
        </w:tc>
        <w:tc>
          <w:tcPr>
            <w:tcW w:w="569" w:type="pct"/>
            <w:vMerge w:val="continue"/>
            <w:vAlign w:val="center"/>
          </w:tcPr>
          <w:p w14:paraId="5124D080">
            <w:pPr>
              <w:spacing w:line="240" w:lineRule="auto"/>
              <w:jc w:val="center"/>
              <w:textAlignment w:val="center"/>
              <w:rPr>
                <w:rStyle w:val="44"/>
                <w:rFonts w:hint="default"/>
                <w:color w:val="auto"/>
              </w:rPr>
            </w:pPr>
          </w:p>
        </w:tc>
        <w:tc>
          <w:tcPr>
            <w:tcW w:w="1585" w:type="pct"/>
            <w:vMerge w:val="continue"/>
            <w:vAlign w:val="center"/>
          </w:tcPr>
          <w:p w14:paraId="6380AA2D">
            <w:pPr>
              <w:spacing w:line="240" w:lineRule="auto"/>
              <w:jc w:val="left"/>
              <w:textAlignment w:val="center"/>
              <w:rPr>
                <w:rStyle w:val="44"/>
                <w:rFonts w:hint="default"/>
                <w:color w:val="auto"/>
              </w:rPr>
            </w:pPr>
          </w:p>
        </w:tc>
        <w:tc>
          <w:tcPr>
            <w:tcW w:w="488" w:type="pct"/>
            <w:vMerge w:val="continue"/>
            <w:vAlign w:val="center"/>
          </w:tcPr>
          <w:p w14:paraId="33D276DD">
            <w:pPr>
              <w:spacing w:line="240" w:lineRule="auto"/>
              <w:jc w:val="center"/>
              <w:textAlignment w:val="center"/>
              <w:rPr>
                <w:rStyle w:val="44"/>
                <w:rFonts w:hint="default"/>
                <w:color w:val="auto"/>
              </w:rPr>
            </w:pPr>
          </w:p>
        </w:tc>
        <w:tc>
          <w:tcPr>
            <w:tcW w:w="1145" w:type="pct"/>
            <w:vMerge w:val="continue"/>
            <w:vAlign w:val="center"/>
          </w:tcPr>
          <w:p w14:paraId="1C1BD72E">
            <w:pPr>
              <w:spacing w:line="240" w:lineRule="auto"/>
              <w:jc w:val="left"/>
              <w:textAlignment w:val="center"/>
              <w:rPr>
                <w:rStyle w:val="44"/>
                <w:rFonts w:hint="default"/>
                <w:color w:val="auto"/>
              </w:rPr>
            </w:pPr>
          </w:p>
        </w:tc>
        <w:tc>
          <w:tcPr>
            <w:tcW w:w="534" w:type="pct"/>
            <w:vMerge w:val="continue"/>
            <w:vAlign w:val="center"/>
          </w:tcPr>
          <w:p w14:paraId="641F6A9D">
            <w:pPr>
              <w:spacing w:line="240" w:lineRule="auto"/>
              <w:jc w:val="center"/>
              <w:textAlignment w:val="center"/>
              <w:rPr>
                <w:rStyle w:val="44"/>
                <w:rFonts w:hint="default"/>
                <w:color w:val="auto"/>
              </w:rPr>
            </w:pPr>
          </w:p>
        </w:tc>
      </w:tr>
      <w:tr w14:paraId="6594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6F1E2C0C">
            <w:pPr>
              <w:spacing w:line="240" w:lineRule="auto"/>
              <w:jc w:val="center"/>
              <w:rPr>
                <w:rFonts w:ascii="宋体" w:hAnsi="宋体" w:cs="宋体"/>
                <w:color w:val="auto"/>
                <w:kern w:val="0"/>
                <w:sz w:val="24"/>
              </w:rPr>
            </w:pPr>
          </w:p>
        </w:tc>
        <w:tc>
          <w:tcPr>
            <w:tcW w:w="487" w:type="pct"/>
            <w:vMerge w:val="continue"/>
            <w:vAlign w:val="center"/>
          </w:tcPr>
          <w:p w14:paraId="109923BB">
            <w:pPr>
              <w:spacing w:line="240" w:lineRule="auto"/>
              <w:jc w:val="center"/>
              <w:textAlignment w:val="center"/>
              <w:rPr>
                <w:rStyle w:val="44"/>
                <w:rFonts w:hint="default"/>
                <w:color w:val="auto"/>
              </w:rPr>
            </w:pPr>
          </w:p>
        </w:tc>
        <w:tc>
          <w:tcPr>
            <w:tcW w:w="569" w:type="pct"/>
            <w:vMerge w:val="continue"/>
            <w:vAlign w:val="center"/>
          </w:tcPr>
          <w:p w14:paraId="30E4606E">
            <w:pPr>
              <w:spacing w:line="240" w:lineRule="auto"/>
              <w:jc w:val="center"/>
              <w:textAlignment w:val="center"/>
              <w:rPr>
                <w:rStyle w:val="44"/>
                <w:rFonts w:hint="default"/>
                <w:color w:val="auto"/>
              </w:rPr>
            </w:pPr>
          </w:p>
        </w:tc>
        <w:tc>
          <w:tcPr>
            <w:tcW w:w="1585" w:type="pct"/>
            <w:vMerge w:val="continue"/>
            <w:vAlign w:val="center"/>
          </w:tcPr>
          <w:p w14:paraId="1022A3E4">
            <w:pPr>
              <w:spacing w:line="240" w:lineRule="auto"/>
              <w:jc w:val="left"/>
              <w:textAlignment w:val="center"/>
              <w:rPr>
                <w:rStyle w:val="44"/>
                <w:rFonts w:hint="default"/>
                <w:color w:val="auto"/>
              </w:rPr>
            </w:pPr>
          </w:p>
        </w:tc>
        <w:tc>
          <w:tcPr>
            <w:tcW w:w="488" w:type="pct"/>
            <w:vMerge w:val="continue"/>
            <w:vAlign w:val="center"/>
          </w:tcPr>
          <w:p w14:paraId="7ACED175">
            <w:pPr>
              <w:spacing w:line="240" w:lineRule="auto"/>
              <w:jc w:val="center"/>
              <w:textAlignment w:val="center"/>
              <w:rPr>
                <w:rStyle w:val="44"/>
                <w:rFonts w:hint="default"/>
                <w:color w:val="auto"/>
              </w:rPr>
            </w:pPr>
          </w:p>
        </w:tc>
        <w:tc>
          <w:tcPr>
            <w:tcW w:w="1145" w:type="pct"/>
            <w:vMerge w:val="continue"/>
            <w:vAlign w:val="center"/>
          </w:tcPr>
          <w:p w14:paraId="494BF3DD">
            <w:pPr>
              <w:spacing w:line="240" w:lineRule="auto"/>
              <w:jc w:val="left"/>
              <w:textAlignment w:val="center"/>
              <w:rPr>
                <w:rStyle w:val="44"/>
                <w:rFonts w:hint="default"/>
                <w:color w:val="auto"/>
              </w:rPr>
            </w:pPr>
          </w:p>
        </w:tc>
        <w:tc>
          <w:tcPr>
            <w:tcW w:w="534" w:type="pct"/>
            <w:vMerge w:val="continue"/>
            <w:vAlign w:val="center"/>
          </w:tcPr>
          <w:p w14:paraId="3899A3F6">
            <w:pPr>
              <w:spacing w:line="240" w:lineRule="auto"/>
              <w:jc w:val="center"/>
              <w:textAlignment w:val="center"/>
              <w:rPr>
                <w:rStyle w:val="44"/>
                <w:rFonts w:hint="default"/>
                <w:color w:val="auto"/>
              </w:rPr>
            </w:pPr>
          </w:p>
        </w:tc>
      </w:tr>
      <w:tr w14:paraId="6C77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restart"/>
            <w:vAlign w:val="center"/>
          </w:tcPr>
          <w:p w14:paraId="7053D1DA">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11</w:t>
            </w:r>
          </w:p>
        </w:tc>
        <w:tc>
          <w:tcPr>
            <w:tcW w:w="487" w:type="pct"/>
            <w:vMerge w:val="restart"/>
            <w:vAlign w:val="center"/>
          </w:tcPr>
          <w:p w14:paraId="333A3FCE">
            <w:pPr>
              <w:spacing w:line="240" w:lineRule="auto"/>
              <w:jc w:val="center"/>
              <w:textAlignment w:val="center"/>
              <w:rPr>
                <w:rStyle w:val="44"/>
                <w:rFonts w:hint="default"/>
                <w:color w:val="auto"/>
              </w:rPr>
            </w:pPr>
            <w:r>
              <w:rPr>
                <w:rStyle w:val="44"/>
                <w:rFonts w:hint="default"/>
                <w:color w:val="auto"/>
              </w:rPr>
              <w:t>安仁昌文竹木制品小微园二期</w:t>
            </w:r>
          </w:p>
        </w:tc>
        <w:tc>
          <w:tcPr>
            <w:tcW w:w="569" w:type="pct"/>
            <w:vMerge w:val="restart"/>
            <w:vAlign w:val="center"/>
          </w:tcPr>
          <w:p w14:paraId="6896324C">
            <w:pPr>
              <w:spacing w:line="240" w:lineRule="auto"/>
              <w:jc w:val="center"/>
              <w:textAlignment w:val="center"/>
              <w:rPr>
                <w:rStyle w:val="44"/>
                <w:rFonts w:hint="default"/>
                <w:color w:val="auto"/>
              </w:rPr>
            </w:pPr>
            <w:r>
              <w:rPr>
                <w:rStyle w:val="44"/>
                <w:rFonts w:hint="default"/>
                <w:color w:val="auto"/>
              </w:rPr>
              <w:t>安仁镇昌门区块</w:t>
            </w:r>
          </w:p>
        </w:tc>
        <w:tc>
          <w:tcPr>
            <w:tcW w:w="1585" w:type="pct"/>
            <w:vMerge w:val="restart"/>
            <w:vAlign w:val="center"/>
          </w:tcPr>
          <w:p w14:paraId="705427A2">
            <w:pPr>
              <w:spacing w:line="240" w:lineRule="auto"/>
              <w:jc w:val="left"/>
              <w:textAlignment w:val="center"/>
              <w:rPr>
                <w:rStyle w:val="44"/>
                <w:rFonts w:hint="default"/>
                <w:color w:val="auto"/>
              </w:rPr>
            </w:pPr>
            <w:r>
              <w:rPr>
                <w:rStyle w:val="44"/>
                <w:rFonts w:hint="default"/>
                <w:color w:val="auto"/>
              </w:rPr>
              <w:t>安仁镇有竹木制品小企业（个体户）160多家，分散在安仁镇周边。小城镇整治和镇域经济高质量发展都需要建立一个较大的小微园。目前一期开发完成，需要开发二期项目，满足安仁企业的发展空间需求。</w:t>
            </w:r>
          </w:p>
        </w:tc>
        <w:tc>
          <w:tcPr>
            <w:tcW w:w="488" w:type="pct"/>
            <w:vMerge w:val="restart"/>
            <w:vAlign w:val="center"/>
          </w:tcPr>
          <w:p w14:paraId="35C5B7A4">
            <w:pPr>
              <w:spacing w:line="240" w:lineRule="auto"/>
              <w:jc w:val="center"/>
              <w:textAlignment w:val="center"/>
              <w:rPr>
                <w:rStyle w:val="44"/>
                <w:rFonts w:hint="default"/>
                <w:color w:val="auto"/>
              </w:rPr>
            </w:pPr>
            <w:r>
              <w:rPr>
                <w:rStyle w:val="44"/>
                <w:rFonts w:hint="default"/>
                <w:color w:val="auto"/>
              </w:rPr>
              <w:t>380</w:t>
            </w:r>
          </w:p>
        </w:tc>
        <w:tc>
          <w:tcPr>
            <w:tcW w:w="1145" w:type="pct"/>
            <w:vMerge w:val="restart"/>
            <w:vAlign w:val="center"/>
          </w:tcPr>
          <w:p w14:paraId="69E23586">
            <w:pPr>
              <w:spacing w:line="240" w:lineRule="auto"/>
              <w:jc w:val="left"/>
              <w:textAlignment w:val="center"/>
              <w:rPr>
                <w:rStyle w:val="44"/>
                <w:rFonts w:hint="default"/>
                <w:color w:val="auto"/>
              </w:rPr>
            </w:pPr>
            <w:r>
              <w:rPr>
                <w:rStyle w:val="44"/>
                <w:rFonts w:hint="default"/>
                <w:color w:val="auto"/>
              </w:rPr>
              <w:t>计划在年用地调整到位后，实施基础配套设施工程，2023年完成场地平整等基础配套工程，招引企业进行厂房建设，2023年部分企业投入生产。</w:t>
            </w:r>
          </w:p>
        </w:tc>
        <w:tc>
          <w:tcPr>
            <w:tcW w:w="534" w:type="pct"/>
            <w:vMerge w:val="restart"/>
            <w:vAlign w:val="center"/>
          </w:tcPr>
          <w:p w14:paraId="2383F916">
            <w:pPr>
              <w:spacing w:line="240" w:lineRule="auto"/>
              <w:jc w:val="center"/>
              <w:textAlignment w:val="center"/>
              <w:rPr>
                <w:rStyle w:val="44"/>
                <w:rFonts w:hint="default"/>
                <w:color w:val="auto"/>
              </w:rPr>
            </w:pPr>
            <w:r>
              <w:rPr>
                <w:rStyle w:val="44"/>
                <w:rFonts w:hint="default"/>
                <w:color w:val="auto"/>
              </w:rPr>
              <w:t>竹木制品、金属制品</w:t>
            </w:r>
          </w:p>
        </w:tc>
      </w:tr>
      <w:tr w14:paraId="4094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6565743F">
            <w:pPr>
              <w:spacing w:line="240" w:lineRule="auto"/>
              <w:jc w:val="center"/>
              <w:rPr>
                <w:rFonts w:ascii="宋体" w:hAnsi="宋体" w:cs="宋体"/>
                <w:color w:val="auto"/>
                <w:kern w:val="0"/>
                <w:sz w:val="24"/>
              </w:rPr>
            </w:pPr>
          </w:p>
        </w:tc>
        <w:tc>
          <w:tcPr>
            <w:tcW w:w="487" w:type="pct"/>
            <w:vMerge w:val="continue"/>
            <w:vAlign w:val="center"/>
          </w:tcPr>
          <w:p w14:paraId="452A2A55">
            <w:pPr>
              <w:spacing w:line="240" w:lineRule="auto"/>
              <w:rPr>
                <w:rFonts w:ascii="仿宋" w:hAnsi="仿宋" w:eastAsia="仿宋" w:cs="宋体"/>
                <w:color w:val="auto"/>
                <w:kern w:val="0"/>
                <w:sz w:val="24"/>
              </w:rPr>
            </w:pPr>
          </w:p>
        </w:tc>
        <w:tc>
          <w:tcPr>
            <w:tcW w:w="569" w:type="pct"/>
            <w:vMerge w:val="continue"/>
            <w:vAlign w:val="center"/>
          </w:tcPr>
          <w:p w14:paraId="0E7408FE">
            <w:pPr>
              <w:spacing w:line="240" w:lineRule="auto"/>
              <w:rPr>
                <w:rFonts w:ascii="仿宋" w:hAnsi="仿宋" w:eastAsia="仿宋" w:cs="宋体"/>
                <w:color w:val="auto"/>
                <w:kern w:val="0"/>
                <w:sz w:val="24"/>
              </w:rPr>
            </w:pPr>
          </w:p>
        </w:tc>
        <w:tc>
          <w:tcPr>
            <w:tcW w:w="1585" w:type="pct"/>
            <w:vMerge w:val="continue"/>
            <w:vAlign w:val="center"/>
          </w:tcPr>
          <w:p w14:paraId="6725FF76">
            <w:pPr>
              <w:spacing w:line="240" w:lineRule="auto"/>
              <w:jc w:val="left"/>
              <w:rPr>
                <w:rFonts w:ascii="仿宋" w:hAnsi="仿宋" w:eastAsia="仿宋" w:cs="宋体"/>
                <w:color w:val="auto"/>
                <w:kern w:val="0"/>
                <w:sz w:val="24"/>
              </w:rPr>
            </w:pPr>
          </w:p>
        </w:tc>
        <w:tc>
          <w:tcPr>
            <w:tcW w:w="488" w:type="pct"/>
            <w:vMerge w:val="continue"/>
            <w:vAlign w:val="center"/>
          </w:tcPr>
          <w:p w14:paraId="28435F37">
            <w:pPr>
              <w:spacing w:line="240" w:lineRule="auto"/>
              <w:jc w:val="center"/>
              <w:rPr>
                <w:rFonts w:ascii="仿宋" w:hAnsi="仿宋" w:eastAsia="仿宋" w:cs="宋体"/>
                <w:color w:val="auto"/>
                <w:kern w:val="0"/>
                <w:sz w:val="24"/>
              </w:rPr>
            </w:pPr>
          </w:p>
        </w:tc>
        <w:tc>
          <w:tcPr>
            <w:tcW w:w="1145" w:type="pct"/>
            <w:vMerge w:val="continue"/>
            <w:vAlign w:val="center"/>
          </w:tcPr>
          <w:p w14:paraId="04DA4096">
            <w:pPr>
              <w:spacing w:line="240" w:lineRule="auto"/>
              <w:jc w:val="left"/>
              <w:rPr>
                <w:rFonts w:ascii="仿宋" w:hAnsi="仿宋" w:eastAsia="仿宋" w:cs="宋体"/>
                <w:color w:val="auto"/>
                <w:kern w:val="0"/>
                <w:sz w:val="24"/>
              </w:rPr>
            </w:pPr>
          </w:p>
        </w:tc>
        <w:tc>
          <w:tcPr>
            <w:tcW w:w="534" w:type="pct"/>
            <w:vMerge w:val="continue"/>
            <w:vAlign w:val="center"/>
          </w:tcPr>
          <w:p w14:paraId="7551BAC8">
            <w:pPr>
              <w:spacing w:line="240" w:lineRule="auto"/>
              <w:jc w:val="center"/>
              <w:rPr>
                <w:rFonts w:ascii="仿宋" w:hAnsi="仿宋" w:eastAsia="仿宋" w:cs="宋体"/>
                <w:color w:val="auto"/>
                <w:kern w:val="0"/>
                <w:sz w:val="24"/>
              </w:rPr>
            </w:pPr>
          </w:p>
        </w:tc>
      </w:tr>
      <w:tr w14:paraId="2BA2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1C817288">
            <w:pPr>
              <w:spacing w:line="240" w:lineRule="auto"/>
              <w:jc w:val="center"/>
              <w:rPr>
                <w:rFonts w:ascii="宋体" w:hAnsi="宋体" w:cs="宋体"/>
                <w:color w:val="auto"/>
                <w:kern w:val="0"/>
                <w:sz w:val="24"/>
              </w:rPr>
            </w:pPr>
          </w:p>
        </w:tc>
        <w:tc>
          <w:tcPr>
            <w:tcW w:w="487" w:type="pct"/>
            <w:vMerge w:val="continue"/>
            <w:vAlign w:val="center"/>
          </w:tcPr>
          <w:p w14:paraId="573F5504">
            <w:pPr>
              <w:spacing w:line="240" w:lineRule="auto"/>
              <w:rPr>
                <w:rFonts w:ascii="仿宋" w:hAnsi="仿宋" w:eastAsia="仿宋" w:cs="宋体"/>
                <w:color w:val="auto"/>
                <w:kern w:val="0"/>
                <w:sz w:val="24"/>
              </w:rPr>
            </w:pPr>
          </w:p>
        </w:tc>
        <w:tc>
          <w:tcPr>
            <w:tcW w:w="569" w:type="pct"/>
            <w:vMerge w:val="continue"/>
            <w:vAlign w:val="center"/>
          </w:tcPr>
          <w:p w14:paraId="23571D9C">
            <w:pPr>
              <w:spacing w:line="240" w:lineRule="auto"/>
              <w:rPr>
                <w:rFonts w:ascii="仿宋" w:hAnsi="仿宋" w:eastAsia="仿宋" w:cs="宋体"/>
                <w:color w:val="auto"/>
                <w:kern w:val="0"/>
                <w:sz w:val="24"/>
              </w:rPr>
            </w:pPr>
          </w:p>
        </w:tc>
        <w:tc>
          <w:tcPr>
            <w:tcW w:w="1585" w:type="pct"/>
            <w:vMerge w:val="continue"/>
            <w:vAlign w:val="center"/>
          </w:tcPr>
          <w:p w14:paraId="7C7334E6">
            <w:pPr>
              <w:spacing w:line="240" w:lineRule="auto"/>
              <w:jc w:val="left"/>
              <w:rPr>
                <w:rFonts w:ascii="仿宋" w:hAnsi="仿宋" w:eastAsia="仿宋" w:cs="宋体"/>
                <w:color w:val="auto"/>
                <w:kern w:val="0"/>
                <w:sz w:val="24"/>
              </w:rPr>
            </w:pPr>
          </w:p>
        </w:tc>
        <w:tc>
          <w:tcPr>
            <w:tcW w:w="488" w:type="pct"/>
            <w:vMerge w:val="continue"/>
            <w:vAlign w:val="center"/>
          </w:tcPr>
          <w:p w14:paraId="3440343D">
            <w:pPr>
              <w:spacing w:line="240" w:lineRule="auto"/>
              <w:jc w:val="center"/>
              <w:rPr>
                <w:rFonts w:ascii="仿宋" w:hAnsi="仿宋" w:eastAsia="仿宋" w:cs="宋体"/>
                <w:color w:val="auto"/>
                <w:kern w:val="0"/>
                <w:sz w:val="24"/>
              </w:rPr>
            </w:pPr>
          </w:p>
        </w:tc>
        <w:tc>
          <w:tcPr>
            <w:tcW w:w="1145" w:type="pct"/>
            <w:vMerge w:val="continue"/>
            <w:vAlign w:val="center"/>
          </w:tcPr>
          <w:p w14:paraId="45EF4543">
            <w:pPr>
              <w:spacing w:line="240" w:lineRule="auto"/>
              <w:jc w:val="left"/>
              <w:rPr>
                <w:rFonts w:ascii="仿宋" w:hAnsi="仿宋" w:eastAsia="仿宋" w:cs="宋体"/>
                <w:color w:val="auto"/>
                <w:kern w:val="0"/>
                <w:sz w:val="24"/>
              </w:rPr>
            </w:pPr>
          </w:p>
        </w:tc>
        <w:tc>
          <w:tcPr>
            <w:tcW w:w="534" w:type="pct"/>
            <w:vMerge w:val="continue"/>
            <w:vAlign w:val="center"/>
          </w:tcPr>
          <w:p w14:paraId="1120B94C">
            <w:pPr>
              <w:spacing w:line="240" w:lineRule="auto"/>
              <w:jc w:val="center"/>
              <w:rPr>
                <w:rFonts w:ascii="仿宋" w:hAnsi="仿宋" w:eastAsia="仿宋" w:cs="宋体"/>
                <w:color w:val="auto"/>
                <w:kern w:val="0"/>
                <w:sz w:val="24"/>
              </w:rPr>
            </w:pPr>
          </w:p>
        </w:tc>
      </w:tr>
      <w:tr w14:paraId="160E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trPr>
        <w:tc>
          <w:tcPr>
            <w:tcW w:w="188" w:type="pct"/>
            <w:vMerge w:val="continue"/>
            <w:vAlign w:val="center"/>
          </w:tcPr>
          <w:p w14:paraId="488273C2">
            <w:pPr>
              <w:spacing w:line="240" w:lineRule="auto"/>
              <w:jc w:val="center"/>
              <w:rPr>
                <w:rFonts w:ascii="宋体" w:hAnsi="宋体" w:cs="宋体"/>
                <w:color w:val="auto"/>
                <w:kern w:val="0"/>
                <w:sz w:val="24"/>
              </w:rPr>
            </w:pPr>
          </w:p>
        </w:tc>
        <w:tc>
          <w:tcPr>
            <w:tcW w:w="487" w:type="pct"/>
            <w:vMerge w:val="continue"/>
            <w:vAlign w:val="center"/>
          </w:tcPr>
          <w:p w14:paraId="71D395DC">
            <w:pPr>
              <w:spacing w:line="240" w:lineRule="auto"/>
              <w:rPr>
                <w:rFonts w:ascii="仿宋" w:hAnsi="仿宋" w:eastAsia="仿宋" w:cs="宋体"/>
                <w:color w:val="auto"/>
                <w:kern w:val="0"/>
                <w:sz w:val="24"/>
              </w:rPr>
            </w:pPr>
          </w:p>
        </w:tc>
        <w:tc>
          <w:tcPr>
            <w:tcW w:w="569" w:type="pct"/>
            <w:vMerge w:val="continue"/>
            <w:vAlign w:val="center"/>
          </w:tcPr>
          <w:p w14:paraId="1DB54865">
            <w:pPr>
              <w:spacing w:line="240" w:lineRule="auto"/>
              <w:rPr>
                <w:rFonts w:ascii="仿宋" w:hAnsi="仿宋" w:eastAsia="仿宋" w:cs="宋体"/>
                <w:color w:val="auto"/>
                <w:kern w:val="0"/>
                <w:sz w:val="24"/>
              </w:rPr>
            </w:pPr>
          </w:p>
        </w:tc>
        <w:tc>
          <w:tcPr>
            <w:tcW w:w="1585" w:type="pct"/>
            <w:vMerge w:val="continue"/>
            <w:vAlign w:val="center"/>
          </w:tcPr>
          <w:p w14:paraId="34CCD280">
            <w:pPr>
              <w:spacing w:line="240" w:lineRule="auto"/>
              <w:jc w:val="left"/>
              <w:rPr>
                <w:rFonts w:ascii="仿宋" w:hAnsi="仿宋" w:eastAsia="仿宋" w:cs="宋体"/>
                <w:color w:val="auto"/>
                <w:kern w:val="0"/>
                <w:sz w:val="24"/>
              </w:rPr>
            </w:pPr>
          </w:p>
        </w:tc>
        <w:tc>
          <w:tcPr>
            <w:tcW w:w="488" w:type="pct"/>
            <w:vMerge w:val="continue"/>
            <w:vAlign w:val="center"/>
          </w:tcPr>
          <w:p w14:paraId="645BEFF8">
            <w:pPr>
              <w:spacing w:line="240" w:lineRule="auto"/>
              <w:jc w:val="center"/>
              <w:rPr>
                <w:rFonts w:ascii="仿宋" w:hAnsi="仿宋" w:eastAsia="仿宋" w:cs="宋体"/>
                <w:color w:val="auto"/>
                <w:kern w:val="0"/>
                <w:sz w:val="24"/>
              </w:rPr>
            </w:pPr>
          </w:p>
        </w:tc>
        <w:tc>
          <w:tcPr>
            <w:tcW w:w="1145" w:type="pct"/>
            <w:vMerge w:val="continue"/>
            <w:vAlign w:val="center"/>
          </w:tcPr>
          <w:p w14:paraId="70DA7A53">
            <w:pPr>
              <w:spacing w:line="240" w:lineRule="auto"/>
              <w:jc w:val="left"/>
              <w:rPr>
                <w:rFonts w:ascii="仿宋" w:hAnsi="仿宋" w:eastAsia="仿宋" w:cs="宋体"/>
                <w:color w:val="auto"/>
                <w:kern w:val="0"/>
                <w:sz w:val="24"/>
              </w:rPr>
            </w:pPr>
          </w:p>
        </w:tc>
        <w:tc>
          <w:tcPr>
            <w:tcW w:w="534" w:type="pct"/>
            <w:vMerge w:val="continue"/>
            <w:vAlign w:val="center"/>
          </w:tcPr>
          <w:p w14:paraId="20B64791">
            <w:pPr>
              <w:spacing w:line="240" w:lineRule="auto"/>
              <w:jc w:val="center"/>
              <w:rPr>
                <w:rFonts w:ascii="仿宋" w:hAnsi="仿宋" w:eastAsia="仿宋" w:cs="宋体"/>
                <w:color w:val="auto"/>
                <w:kern w:val="0"/>
                <w:sz w:val="24"/>
              </w:rPr>
            </w:pPr>
          </w:p>
        </w:tc>
      </w:tr>
      <w:tr w14:paraId="4D1F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exact"/>
        </w:trPr>
        <w:tc>
          <w:tcPr>
            <w:tcW w:w="188" w:type="pct"/>
            <w:vMerge w:val="continue"/>
            <w:vAlign w:val="center"/>
          </w:tcPr>
          <w:p w14:paraId="47364BBB">
            <w:pPr>
              <w:spacing w:line="240" w:lineRule="auto"/>
              <w:jc w:val="center"/>
              <w:rPr>
                <w:rFonts w:ascii="宋体" w:hAnsi="宋体" w:cs="宋体"/>
                <w:color w:val="auto"/>
                <w:kern w:val="0"/>
                <w:sz w:val="24"/>
              </w:rPr>
            </w:pPr>
          </w:p>
        </w:tc>
        <w:tc>
          <w:tcPr>
            <w:tcW w:w="487" w:type="pct"/>
            <w:vMerge w:val="continue"/>
            <w:vAlign w:val="center"/>
          </w:tcPr>
          <w:p w14:paraId="49D78B05">
            <w:pPr>
              <w:spacing w:line="240" w:lineRule="auto"/>
              <w:rPr>
                <w:rFonts w:ascii="仿宋" w:hAnsi="仿宋" w:eastAsia="仿宋" w:cs="宋体"/>
                <w:color w:val="auto"/>
                <w:kern w:val="0"/>
                <w:sz w:val="24"/>
              </w:rPr>
            </w:pPr>
          </w:p>
        </w:tc>
        <w:tc>
          <w:tcPr>
            <w:tcW w:w="569" w:type="pct"/>
            <w:vMerge w:val="continue"/>
            <w:vAlign w:val="center"/>
          </w:tcPr>
          <w:p w14:paraId="4058EB52">
            <w:pPr>
              <w:spacing w:line="240" w:lineRule="auto"/>
              <w:rPr>
                <w:rFonts w:ascii="仿宋" w:hAnsi="仿宋" w:eastAsia="仿宋" w:cs="宋体"/>
                <w:color w:val="auto"/>
                <w:kern w:val="0"/>
                <w:sz w:val="24"/>
              </w:rPr>
            </w:pPr>
          </w:p>
        </w:tc>
        <w:tc>
          <w:tcPr>
            <w:tcW w:w="1585" w:type="pct"/>
            <w:vMerge w:val="continue"/>
            <w:vAlign w:val="center"/>
          </w:tcPr>
          <w:p w14:paraId="4027F4CA">
            <w:pPr>
              <w:spacing w:line="240" w:lineRule="auto"/>
              <w:jc w:val="left"/>
              <w:rPr>
                <w:rFonts w:ascii="仿宋" w:hAnsi="仿宋" w:eastAsia="仿宋" w:cs="宋体"/>
                <w:color w:val="auto"/>
                <w:kern w:val="0"/>
                <w:sz w:val="24"/>
              </w:rPr>
            </w:pPr>
          </w:p>
        </w:tc>
        <w:tc>
          <w:tcPr>
            <w:tcW w:w="488" w:type="pct"/>
            <w:vMerge w:val="continue"/>
            <w:vAlign w:val="center"/>
          </w:tcPr>
          <w:p w14:paraId="01C08072">
            <w:pPr>
              <w:spacing w:line="240" w:lineRule="auto"/>
              <w:jc w:val="center"/>
              <w:rPr>
                <w:rFonts w:ascii="仿宋" w:hAnsi="仿宋" w:eastAsia="仿宋" w:cs="宋体"/>
                <w:color w:val="auto"/>
                <w:kern w:val="0"/>
                <w:sz w:val="24"/>
              </w:rPr>
            </w:pPr>
          </w:p>
        </w:tc>
        <w:tc>
          <w:tcPr>
            <w:tcW w:w="1145" w:type="pct"/>
            <w:vMerge w:val="continue"/>
            <w:vAlign w:val="center"/>
          </w:tcPr>
          <w:p w14:paraId="3EA80325">
            <w:pPr>
              <w:spacing w:line="240" w:lineRule="auto"/>
              <w:jc w:val="left"/>
              <w:rPr>
                <w:rFonts w:ascii="仿宋" w:hAnsi="仿宋" w:eastAsia="仿宋" w:cs="宋体"/>
                <w:color w:val="auto"/>
                <w:kern w:val="0"/>
                <w:sz w:val="24"/>
              </w:rPr>
            </w:pPr>
          </w:p>
        </w:tc>
        <w:tc>
          <w:tcPr>
            <w:tcW w:w="534" w:type="pct"/>
            <w:vMerge w:val="continue"/>
            <w:vAlign w:val="center"/>
          </w:tcPr>
          <w:p w14:paraId="089D5E57">
            <w:pPr>
              <w:spacing w:line="240" w:lineRule="auto"/>
              <w:jc w:val="center"/>
              <w:rPr>
                <w:rFonts w:ascii="仿宋" w:hAnsi="仿宋" w:eastAsia="仿宋" w:cs="宋体"/>
                <w:color w:val="auto"/>
                <w:kern w:val="0"/>
                <w:sz w:val="24"/>
              </w:rPr>
            </w:pPr>
          </w:p>
        </w:tc>
      </w:tr>
      <w:tr w14:paraId="0CEE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0" w:hRule="exact"/>
        </w:trPr>
        <w:tc>
          <w:tcPr>
            <w:tcW w:w="188" w:type="pct"/>
            <w:vAlign w:val="center"/>
          </w:tcPr>
          <w:p w14:paraId="714D4021">
            <w:pPr>
              <w:spacing w:line="240" w:lineRule="auto"/>
              <w:jc w:val="center"/>
              <w:textAlignment w:val="center"/>
              <w:rPr>
                <w:rFonts w:ascii="宋体" w:hAnsi="宋体" w:cs="宋体"/>
                <w:color w:val="auto"/>
                <w:kern w:val="0"/>
                <w:sz w:val="24"/>
              </w:rPr>
            </w:pPr>
            <w:r>
              <w:rPr>
                <w:rFonts w:hint="eastAsia" w:ascii="宋体" w:hAnsi="宋体" w:cs="宋体"/>
                <w:color w:val="auto"/>
                <w:kern w:val="0"/>
                <w:sz w:val="24"/>
              </w:rPr>
              <w:t>12</w:t>
            </w:r>
          </w:p>
        </w:tc>
        <w:tc>
          <w:tcPr>
            <w:tcW w:w="487" w:type="pct"/>
            <w:vAlign w:val="center"/>
          </w:tcPr>
          <w:p w14:paraId="5B1388F1">
            <w:pPr>
              <w:spacing w:line="240" w:lineRule="auto"/>
              <w:jc w:val="center"/>
              <w:textAlignment w:val="center"/>
              <w:rPr>
                <w:rStyle w:val="44"/>
                <w:rFonts w:hint="default"/>
                <w:color w:val="auto"/>
              </w:rPr>
            </w:pPr>
            <w:r>
              <w:rPr>
                <w:rStyle w:val="44"/>
                <w:rFonts w:hint="default"/>
                <w:color w:val="auto"/>
              </w:rPr>
              <w:t>住龙镇小微园</w:t>
            </w:r>
          </w:p>
        </w:tc>
        <w:tc>
          <w:tcPr>
            <w:tcW w:w="569" w:type="pct"/>
            <w:vAlign w:val="center"/>
          </w:tcPr>
          <w:p w14:paraId="04E89CE8">
            <w:pPr>
              <w:spacing w:line="240" w:lineRule="auto"/>
              <w:jc w:val="center"/>
              <w:textAlignment w:val="center"/>
              <w:rPr>
                <w:rStyle w:val="44"/>
                <w:rFonts w:hint="default"/>
                <w:color w:val="auto"/>
              </w:rPr>
            </w:pPr>
            <w:r>
              <w:rPr>
                <w:rStyle w:val="44"/>
                <w:rFonts w:hint="default"/>
                <w:color w:val="auto"/>
              </w:rPr>
              <w:t>住龙镇建平村河埠洋茶园、建明村林石坑</w:t>
            </w:r>
          </w:p>
        </w:tc>
        <w:tc>
          <w:tcPr>
            <w:tcW w:w="1585" w:type="pct"/>
            <w:vAlign w:val="center"/>
          </w:tcPr>
          <w:p w14:paraId="76FC35C7">
            <w:pPr>
              <w:spacing w:line="240" w:lineRule="auto"/>
              <w:jc w:val="left"/>
              <w:textAlignment w:val="center"/>
              <w:rPr>
                <w:rStyle w:val="44"/>
                <w:rFonts w:hint="default"/>
                <w:color w:val="auto"/>
              </w:rPr>
            </w:pPr>
            <w:r>
              <w:rPr>
                <w:rStyle w:val="44"/>
                <w:rFonts w:hint="default"/>
                <w:color w:val="auto"/>
              </w:rPr>
              <w:t>住龙镇为省美丽乡村示范镇、红色旅游基地，集镇周边有20余家竹木制品小微企业，需要整治搬迁，考虑到当地百姓就业和增收，需要在住龙镇建平村、建明村建设竹木制品小微园。</w:t>
            </w:r>
          </w:p>
        </w:tc>
        <w:tc>
          <w:tcPr>
            <w:tcW w:w="488" w:type="pct"/>
            <w:vAlign w:val="center"/>
          </w:tcPr>
          <w:p w14:paraId="6E2BC811">
            <w:pPr>
              <w:spacing w:line="240" w:lineRule="auto"/>
              <w:jc w:val="center"/>
              <w:textAlignment w:val="center"/>
              <w:rPr>
                <w:rStyle w:val="44"/>
                <w:rFonts w:hint="default"/>
                <w:color w:val="auto"/>
              </w:rPr>
            </w:pPr>
            <w:r>
              <w:rPr>
                <w:rStyle w:val="44"/>
                <w:rFonts w:hint="default"/>
                <w:color w:val="auto"/>
              </w:rPr>
              <w:t>50</w:t>
            </w:r>
          </w:p>
        </w:tc>
        <w:tc>
          <w:tcPr>
            <w:tcW w:w="1145" w:type="pct"/>
            <w:vAlign w:val="center"/>
          </w:tcPr>
          <w:p w14:paraId="2F2B6282">
            <w:pPr>
              <w:spacing w:line="240" w:lineRule="auto"/>
              <w:jc w:val="left"/>
              <w:textAlignment w:val="center"/>
              <w:rPr>
                <w:rStyle w:val="44"/>
                <w:rFonts w:hint="default"/>
                <w:color w:val="auto"/>
              </w:rPr>
            </w:pPr>
            <w:r>
              <w:rPr>
                <w:rStyle w:val="44"/>
                <w:rFonts w:hint="default"/>
                <w:color w:val="auto"/>
              </w:rPr>
              <w:t>建平村计划于2022年初开工建设基础设施，2022年下半年建设厂房，2023年下半年投入使用。建明村林石坑区块约27亩计划于2023年初开工建设基础设施，2023年底建设厂房，2023年底投入使用。</w:t>
            </w:r>
          </w:p>
        </w:tc>
        <w:tc>
          <w:tcPr>
            <w:tcW w:w="534" w:type="pct"/>
            <w:vAlign w:val="center"/>
          </w:tcPr>
          <w:p w14:paraId="5AEB4C59">
            <w:pPr>
              <w:spacing w:line="240" w:lineRule="auto"/>
              <w:jc w:val="center"/>
              <w:textAlignment w:val="center"/>
              <w:rPr>
                <w:rStyle w:val="44"/>
                <w:rFonts w:hint="default"/>
                <w:color w:val="auto"/>
              </w:rPr>
            </w:pPr>
            <w:r>
              <w:rPr>
                <w:rStyle w:val="44"/>
                <w:rFonts w:hint="default"/>
                <w:color w:val="auto"/>
              </w:rPr>
              <w:t>竹木制品</w:t>
            </w:r>
          </w:p>
        </w:tc>
      </w:tr>
      <w:bookmarkEnd w:id="0"/>
    </w:tbl>
    <w:p w14:paraId="5706622B">
      <w:pPr>
        <w:pStyle w:val="6"/>
        <w:spacing w:line="240" w:lineRule="auto"/>
        <w:rPr>
          <w:color w:val="auto"/>
        </w:rPr>
        <w:sectPr>
          <w:pgSz w:w="16838" w:h="11906" w:orient="landscape"/>
          <w:pgMar w:top="1800" w:right="1440" w:bottom="1800" w:left="1440" w:header="851" w:footer="992" w:gutter="0"/>
          <w:cols w:space="425" w:num="1"/>
          <w:docGrid w:type="lines" w:linePitch="312" w:charSpace="0"/>
        </w:sectPr>
      </w:pPr>
    </w:p>
    <w:p w14:paraId="63F38433">
      <w:pPr>
        <w:pStyle w:val="18"/>
        <w:ind w:firstLine="480"/>
        <w:rPr>
          <w:color w:val="auto"/>
        </w:rPr>
      </w:pPr>
      <w:r>
        <w:rPr>
          <w:rFonts w:hint="eastAsia"/>
          <w:color w:val="auto"/>
        </w:rPr>
        <w:t>龙泉市森林资源分布图（2023）</w:t>
      </w:r>
    </w:p>
    <w:p w14:paraId="6A3B78C7">
      <w:pPr>
        <w:rPr>
          <w:color w:val="auto"/>
        </w:rPr>
      </w:pPr>
      <w:r>
        <w:rPr>
          <w:color w:val="auto"/>
        </w:rPr>
        <w:drawing>
          <wp:inline distT="0" distB="0" distL="114300" distR="114300">
            <wp:extent cx="5271770" cy="3533140"/>
            <wp:effectExtent l="0" t="0" r="1270" b="254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stretch>
                      <a:fillRect/>
                    </a:stretch>
                  </pic:blipFill>
                  <pic:spPr>
                    <a:xfrm>
                      <a:off x="0" y="0"/>
                      <a:ext cx="5271770" cy="3533140"/>
                    </a:xfrm>
                    <a:prstGeom prst="rect">
                      <a:avLst/>
                    </a:prstGeom>
                    <a:noFill/>
                    <a:ln>
                      <a:noFill/>
                    </a:ln>
                  </pic:spPr>
                </pic:pic>
              </a:graphicData>
            </a:graphic>
          </wp:inline>
        </w:drawing>
      </w:r>
    </w:p>
    <w:p w14:paraId="13E5BEA6">
      <w:pPr>
        <w:pStyle w:val="2"/>
        <w:rPr>
          <w:color w:val="auto"/>
        </w:rPr>
        <w:sectPr>
          <w:pgSz w:w="11906" w:h="16838"/>
          <w:pgMar w:top="1440" w:right="1800" w:bottom="1440" w:left="1800" w:header="851" w:footer="992" w:gutter="0"/>
          <w:cols w:space="425" w:num="1"/>
          <w:docGrid w:type="lines" w:linePitch="312" w:charSpace="0"/>
        </w:sectPr>
      </w:pPr>
    </w:p>
    <w:p w14:paraId="31BC92F3">
      <w:pPr>
        <w:pStyle w:val="18"/>
        <w:ind w:firstLine="480"/>
        <w:rPr>
          <w:color w:val="auto"/>
        </w:rPr>
      </w:pPr>
      <w:r>
        <w:rPr>
          <w:rFonts w:hint="eastAsia"/>
          <w:color w:val="auto"/>
        </w:rPr>
        <w:t>龙泉市竹林资源分布图（2023）</w:t>
      </w:r>
    </w:p>
    <w:p w14:paraId="161DCB1B">
      <w:pPr>
        <w:rPr>
          <w:color w:val="auto"/>
        </w:rPr>
      </w:pPr>
      <w:r>
        <w:rPr>
          <w:color w:val="auto"/>
        </w:rPr>
        <w:drawing>
          <wp:inline distT="0" distB="0" distL="114300" distR="114300">
            <wp:extent cx="5267960" cy="3632835"/>
            <wp:effectExtent l="0" t="0" r="508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7960" cy="3632835"/>
                    </a:xfrm>
                    <a:prstGeom prst="rect">
                      <a:avLst/>
                    </a:prstGeom>
                    <a:noFill/>
                    <a:ln>
                      <a:noFill/>
                    </a:ln>
                  </pic:spPr>
                </pic:pic>
              </a:graphicData>
            </a:graphic>
          </wp:inline>
        </w:drawing>
      </w:r>
    </w:p>
    <w:p w14:paraId="0BF02135">
      <w:pPr>
        <w:jc w:val="center"/>
        <w:rPr>
          <w:color w:val="auto"/>
        </w:rPr>
      </w:pPr>
      <w:r>
        <w:rPr>
          <w:rFonts w:hint="eastAsia"/>
          <w:color w:val="auto"/>
        </w:rPr>
        <w:br w:type="page"/>
      </w:r>
    </w:p>
    <w:p w14:paraId="5431CDA1">
      <w:pPr>
        <w:pStyle w:val="7"/>
        <w:rPr>
          <w:color w:val="auto"/>
        </w:rPr>
        <w:sectPr>
          <w:pgSz w:w="11906" w:h="16838"/>
          <w:pgMar w:top="1440" w:right="1800" w:bottom="1440" w:left="1800" w:header="851" w:footer="992" w:gutter="0"/>
          <w:cols w:space="425" w:num="1"/>
          <w:docGrid w:type="lines" w:linePitch="312" w:charSpace="0"/>
        </w:sectPr>
      </w:pPr>
    </w:p>
    <w:p w14:paraId="60FEB5F6">
      <w:pPr>
        <w:pStyle w:val="7"/>
        <w:jc w:val="center"/>
        <w:rPr>
          <w:rFonts w:cs="黑体" w:asciiTheme="minorHAnsi" w:hAnsiTheme="minorHAnsi"/>
          <w:color w:val="auto"/>
          <w:kern w:val="0"/>
          <w:sz w:val="30"/>
          <w:szCs w:val="30"/>
        </w:rPr>
      </w:pPr>
      <w:r>
        <w:rPr>
          <w:rFonts w:hint="eastAsia" w:cs="黑体" w:asciiTheme="minorHAnsi" w:hAnsiTheme="minorHAnsi"/>
          <w:color w:val="auto"/>
          <w:kern w:val="0"/>
          <w:sz w:val="30"/>
          <w:szCs w:val="30"/>
        </w:rPr>
        <w:t>龙泉市谷歌影像图</w:t>
      </w:r>
    </w:p>
    <w:p w14:paraId="331C3B9F">
      <w:pPr>
        <w:pStyle w:val="7"/>
        <w:rPr>
          <w:color w:val="auto"/>
        </w:rPr>
      </w:pPr>
      <w:r>
        <w:rPr>
          <w:color w:val="auto"/>
        </w:rPr>
        <w:drawing>
          <wp:inline distT="0" distB="0" distL="114300" distR="114300">
            <wp:extent cx="5268595" cy="3655060"/>
            <wp:effectExtent l="0" t="0" r="4445"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68595" cy="3655060"/>
                    </a:xfrm>
                    <a:prstGeom prst="rect">
                      <a:avLst/>
                    </a:prstGeom>
                    <a:noFill/>
                    <a:ln>
                      <a:noFill/>
                    </a:ln>
                  </pic:spPr>
                </pic:pic>
              </a:graphicData>
            </a:graphic>
          </wp:inline>
        </w:drawing>
      </w:r>
    </w:p>
    <w:p w14:paraId="7A136F0B">
      <w:pPr>
        <w:pStyle w:val="7"/>
        <w:jc w:val="center"/>
        <w:rPr>
          <w:rFonts w:eastAsia="宋体"/>
          <w:color w:val="auto"/>
        </w:rPr>
        <w:sectPr>
          <w:pgSz w:w="11906" w:h="16838"/>
          <w:pgMar w:top="1440" w:right="1800" w:bottom="1440" w:left="1800" w:header="851" w:footer="992" w:gutter="0"/>
          <w:cols w:space="425" w:num="1"/>
          <w:docGrid w:type="lines" w:linePitch="312" w:charSpace="0"/>
        </w:sectPr>
      </w:pPr>
    </w:p>
    <w:p w14:paraId="332F620E">
      <w:pPr>
        <w:pStyle w:val="7"/>
        <w:jc w:val="center"/>
        <w:rPr>
          <w:color w:val="auto"/>
        </w:rPr>
      </w:pPr>
      <w:r>
        <w:rPr>
          <w:rFonts w:hint="eastAsia" w:cs="黑体" w:asciiTheme="minorHAnsi" w:hAnsiTheme="minorHAnsi"/>
          <w:color w:val="auto"/>
          <w:kern w:val="0"/>
          <w:sz w:val="30"/>
          <w:szCs w:val="30"/>
        </w:rPr>
        <w:t>龙泉市行政区划图</w:t>
      </w:r>
      <w:r>
        <w:rPr>
          <w:color w:val="auto"/>
        </w:rPr>
        <w:drawing>
          <wp:inline distT="0" distB="0" distL="114300" distR="114300">
            <wp:extent cx="5273675" cy="3606800"/>
            <wp:effectExtent l="0" t="0" r="14605" b="508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5273675" cy="3606800"/>
                    </a:xfrm>
                    <a:prstGeom prst="rect">
                      <a:avLst/>
                    </a:prstGeom>
                    <a:noFill/>
                    <a:ln>
                      <a:noFill/>
                    </a:ln>
                  </pic:spPr>
                </pic:pic>
              </a:graphicData>
            </a:graphic>
          </wp:inline>
        </w:drawing>
      </w:r>
    </w:p>
    <w:p w14:paraId="7C90DC11">
      <w:pPr>
        <w:pStyle w:val="7"/>
        <w:jc w:val="center"/>
        <w:rPr>
          <w:rFonts w:cs="黑体" w:asciiTheme="minorHAnsi" w:hAnsiTheme="minorHAnsi"/>
          <w:color w:val="auto"/>
          <w:kern w:val="0"/>
          <w:sz w:val="30"/>
          <w:szCs w:val="30"/>
        </w:rPr>
        <w:sectPr>
          <w:pgSz w:w="11906" w:h="16838"/>
          <w:pgMar w:top="1440" w:right="1800" w:bottom="1440" w:left="1800" w:header="851" w:footer="992" w:gutter="0"/>
          <w:cols w:space="425" w:num="1"/>
          <w:docGrid w:type="lines" w:linePitch="312" w:charSpace="0"/>
        </w:sectPr>
      </w:pPr>
    </w:p>
    <w:p w14:paraId="5A64A86E">
      <w:pPr>
        <w:rPr>
          <w:color w:val="auto"/>
        </w:rPr>
      </w:pPr>
    </w:p>
    <w:p w14:paraId="20F4E31E">
      <w:pPr>
        <w:jc w:val="center"/>
        <w:rPr>
          <w:rFonts w:eastAsia="黑体" w:cs="黑体" w:asciiTheme="minorHAnsi" w:hAnsiTheme="minorHAnsi"/>
          <w:color w:val="auto"/>
          <w:kern w:val="0"/>
          <w:sz w:val="30"/>
          <w:szCs w:val="30"/>
        </w:rPr>
      </w:pPr>
      <w:r>
        <w:rPr>
          <w:rFonts w:hint="eastAsia" w:eastAsia="黑体" w:cs="黑体" w:asciiTheme="minorHAnsi" w:hAnsiTheme="minorHAnsi"/>
          <w:color w:val="auto"/>
          <w:kern w:val="0"/>
          <w:sz w:val="30"/>
          <w:szCs w:val="30"/>
        </w:rPr>
        <w:t>龙泉市坡度级分布图</w:t>
      </w:r>
    </w:p>
    <w:p w14:paraId="1B1C4719">
      <w:pPr>
        <w:rPr>
          <w:color w:val="auto"/>
        </w:rPr>
      </w:pPr>
      <w:r>
        <w:rPr>
          <w:color w:val="auto"/>
        </w:rPr>
        <w:drawing>
          <wp:inline distT="0" distB="0" distL="114300" distR="114300">
            <wp:extent cx="5268595" cy="3613785"/>
            <wp:effectExtent l="0" t="0" r="4445" b="133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68595" cy="3613785"/>
                    </a:xfrm>
                    <a:prstGeom prst="rect">
                      <a:avLst/>
                    </a:prstGeom>
                    <a:noFill/>
                    <a:ln>
                      <a:noFill/>
                    </a:ln>
                  </pic:spPr>
                </pic:pic>
              </a:graphicData>
            </a:graphic>
          </wp:inline>
        </w:drawing>
      </w:r>
    </w:p>
    <w:p w14:paraId="614F7459">
      <w:pPr>
        <w:jc w:val="center"/>
        <w:rPr>
          <w:rFonts w:eastAsia="黑体" w:cs="黑体" w:asciiTheme="minorHAnsi" w:hAnsiTheme="minorHAnsi"/>
          <w:color w:val="auto"/>
          <w:kern w:val="0"/>
          <w:sz w:val="30"/>
          <w:szCs w:val="30"/>
        </w:rPr>
        <w:sectPr>
          <w:pgSz w:w="11906" w:h="16838"/>
          <w:pgMar w:top="1440" w:right="1800" w:bottom="1440" w:left="1800" w:header="851" w:footer="992" w:gutter="0"/>
          <w:cols w:space="425" w:num="1"/>
          <w:docGrid w:type="lines" w:linePitch="312" w:charSpace="0"/>
        </w:sectPr>
      </w:pPr>
    </w:p>
    <w:p w14:paraId="72C74AA4">
      <w:pPr>
        <w:pStyle w:val="2"/>
        <w:rPr>
          <w:color w:val="auto"/>
        </w:rPr>
      </w:pPr>
    </w:p>
    <w:p w14:paraId="6D28767F">
      <w:pPr>
        <w:jc w:val="center"/>
        <w:rPr>
          <w:rFonts w:eastAsia="黑体" w:cs="黑体" w:asciiTheme="minorHAnsi" w:hAnsiTheme="minorHAnsi"/>
          <w:color w:val="auto"/>
          <w:kern w:val="0"/>
          <w:sz w:val="30"/>
          <w:szCs w:val="30"/>
        </w:rPr>
      </w:pPr>
      <w:r>
        <w:rPr>
          <w:rFonts w:hint="eastAsia" w:eastAsia="黑体" w:cs="黑体" w:asciiTheme="minorHAnsi" w:hAnsiTheme="minorHAnsi"/>
          <w:color w:val="auto"/>
          <w:kern w:val="0"/>
          <w:sz w:val="30"/>
          <w:szCs w:val="30"/>
        </w:rPr>
        <w:t>龙泉市地势地貌图</w:t>
      </w:r>
    </w:p>
    <w:p w14:paraId="70C7C31E">
      <w:pPr>
        <w:rPr>
          <w:color w:val="auto"/>
        </w:rPr>
      </w:pPr>
      <w:r>
        <w:rPr>
          <w:color w:val="auto"/>
        </w:rPr>
        <w:drawing>
          <wp:inline distT="0" distB="0" distL="114300" distR="114300">
            <wp:extent cx="5269230" cy="3600450"/>
            <wp:effectExtent l="0" t="0" r="381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69230" cy="3600450"/>
                    </a:xfrm>
                    <a:prstGeom prst="rect">
                      <a:avLst/>
                    </a:prstGeom>
                    <a:noFill/>
                    <a:ln>
                      <a:noFill/>
                    </a:ln>
                  </pic:spPr>
                </pic:pic>
              </a:graphicData>
            </a:graphic>
          </wp:inline>
        </w:drawing>
      </w:r>
    </w:p>
    <w:p w14:paraId="2143EBED">
      <w:pPr>
        <w:rPr>
          <w:color w:val="auto"/>
        </w:rPr>
      </w:pPr>
      <w:r>
        <w:rPr>
          <w:color w:val="auto"/>
        </w:rPr>
        <w:br w:type="page"/>
      </w:r>
    </w:p>
    <w:p w14:paraId="7F1D475A">
      <w:pPr>
        <w:jc w:val="center"/>
        <w:rPr>
          <w:rFonts w:eastAsia="黑体" w:cs="黑体" w:asciiTheme="minorHAnsi" w:hAnsiTheme="minorHAnsi"/>
          <w:color w:val="auto"/>
          <w:kern w:val="0"/>
          <w:sz w:val="30"/>
          <w:szCs w:val="30"/>
        </w:rPr>
      </w:pPr>
      <w:r>
        <w:rPr>
          <w:rFonts w:hint="eastAsia" w:eastAsia="黑体" w:cs="黑体" w:asciiTheme="minorHAnsi" w:hAnsiTheme="minorHAnsi"/>
          <w:color w:val="auto"/>
          <w:kern w:val="0"/>
          <w:sz w:val="30"/>
          <w:szCs w:val="30"/>
          <w:lang w:eastAsia="zh-CN"/>
        </w:rPr>
        <w:t>2024-2028</w:t>
      </w:r>
      <w:r>
        <w:rPr>
          <w:rFonts w:hint="eastAsia" w:eastAsia="黑体" w:cs="黑体" w:asciiTheme="minorHAnsi" w:hAnsiTheme="minorHAnsi"/>
          <w:color w:val="auto"/>
          <w:kern w:val="0"/>
          <w:sz w:val="30"/>
          <w:szCs w:val="30"/>
        </w:rPr>
        <w:t>年龙泉市竹木产业发展总体布局图</w:t>
      </w:r>
    </w:p>
    <w:p w14:paraId="7CEAE9CD">
      <w:pPr>
        <w:jc w:val="center"/>
        <w:rPr>
          <w:color w:val="auto"/>
        </w:rPr>
      </w:pPr>
      <w:r>
        <w:rPr>
          <w:rFonts w:hint="eastAsia"/>
          <w:color w:val="auto"/>
        </w:rPr>
        <w:drawing>
          <wp:inline distT="0" distB="0" distL="114300" distR="114300">
            <wp:extent cx="5264785" cy="3660140"/>
            <wp:effectExtent l="0" t="0" r="8255" b="12700"/>
            <wp:docPr id="17" name="图片 17" descr="98f3e5b22b5888211556b6005f8d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8f3e5b22b5888211556b6005f8d316"/>
                    <pic:cNvPicPr>
                      <a:picLocks noChangeAspect="1"/>
                    </pic:cNvPicPr>
                  </pic:nvPicPr>
                  <pic:blipFill>
                    <a:blip r:embed="rId13"/>
                    <a:stretch>
                      <a:fillRect/>
                    </a:stretch>
                  </pic:blipFill>
                  <pic:spPr>
                    <a:xfrm>
                      <a:off x="0" y="0"/>
                      <a:ext cx="5264785" cy="3660140"/>
                    </a:xfrm>
                    <a:prstGeom prst="rect">
                      <a:avLst/>
                    </a:prstGeom>
                  </pic:spPr>
                </pic:pic>
              </a:graphicData>
            </a:graphic>
          </wp:inline>
        </w:drawing>
      </w:r>
    </w:p>
    <w:p w14:paraId="54093265">
      <w:pPr>
        <w:pStyle w:val="7"/>
        <w:rPr>
          <w:rFonts w:cs="黑体"/>
          <w:color w:val="auto"/>
          <w:sz w:val="30"/>
          <w:szCs w:val="30"/>
        </w:rPr>
      </w:pPr>
    </w:p>
    <w:p w14:paraId="14C393B2">
      <w:pPr>
        <w:rPr>
          <w:color w:val="auto"/>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Adobe 宋体 Std L">
    <w:altName w:val="宋体"/>
    <w:panose1 w:val="00000000000000000000"/>
    <w:charset w:val="86"/>
    <w:family w:val="roman"/>
    <w:pitch w:val="default"/>
    <w:sig w:usb0="00000000" w:usb1="00000000" w:usb2="00000016" w:usb3="00000000" w:csb0="00060007" w:csb1="00000000"/>
  </w:font>
  <w:font w:name="PMingLiU">
    <w:panose1 w:val="02020500000000000000"/>
    <w:charset w:val="88"/>
    <w:family w:val="roman"/>
    <w:pitch w:val="default"/>
    <w:sig w:usb0="A00002FF" w:usb1="28CFFCFA" w:usb2="00000016" w:usb3="00000000" w:csb0="0010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Yi Baiti">
    <w:panose1 w:val="03000500000000000000"/>
    <w:charset w:val="00"/>
    <w:family w:val="script"/>
    <w:pitch w:val="default"/>
    <w:sig w:usb0="80000003" w:usb1="00010402" w:usb2="00080002" w:usb3="00000000" w:csb0="0000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A4A81">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354603C">
                          <w:pPr>
                            <w:pStyle w:val="13"/>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gtEFdABAACq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W&#10;q9dJod5jRYX3nkrj8BYG2ps5jhRMxIc22PQlSozypO/5qq8aIpPp0nq1XpeUkpSbHcIvHq77gPGd&#10;AsuSUfNAD5h1FacPGMfSuSR1c3CnjcmPaNxfAcIcIypvwXQ7MRknTlYc9sNEbw/Nmdj1tAk1d7T4&#10;nJn3joROSzMbYTb2s3H0QR86GnSZp0T/5hhppDxp6jDCEsPk0BNmrtO6pR157Oeqh19s+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FgtEFdABAACqAwAADgAAAAAAAAABACAAAAAeAQAAZHJz&#10;L2Uyb0RvYy54bWxQSwUGAAAAAAYABgBZAQAAYAUAAAAA&#10;">
              <v:fill on="f" focussize="0,0"/>
              <v:stroke on="f"/>
              <v:imagedata o:title=""/>
              <o:lock v:ext="edit" aspectratio="f"/>
              <v:textbox inset="0mm,0mm,0mm,0mm" style="mso-fit-shape-to-text:t;">
                <w:txbxContent>
                  <w:p w14:paraId="3354603C">
                    <w:pPr>
                      <w:pStyle w:val="1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3E46FA"/>
    <w:multiLevelType w:val="multilevel"/>
    <w:tmpl w:val="183E46FA"/>
    <w:lvl w:ilvl="0" w:tentative="0">
      <w:start w:val="1"/>
      <w:numFmt w:val="japaneseCounting"/>
      <w:lvlText w:val="第%1章"/>
      <w:lvlJc w:val="left"/>
      <w:pPr>
        <w:ind w:left="1813" w:hanging="117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
    <w:nsid w:val="2286FA8D"/>
    <w:multiLevelType w:val="singleLevel"/>
    <w:tmpl w:val="2286FA8D"/>
    <w:lvl w:ilvl="0" w:tentative="0">
      <w:start w:val="1"/>
      <w:numFmt w:val="decimal"/>
      <w:suff w:val="nothing"/>
      <w:lvlText w:val="（%1）"/>
      <w:lvlJc w:val="left"/>
    </w:lvl>
  </w:abstractNum>
  <w:abstractNum w:abstractNumId="2">
    <w:nsid w:val="2C5153D9"/>
    <w:multiLevelType w:val="singleLevel"/>
    <w:tmpl w:val="2C5153D9"/>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kN2E5YjdkOWZjMGU5YzcxMTRiYjg0YTAzZGVkODcifQ=="/>
  </w:docVars>
  <w:rsids>
    <w:rsidRoot w:val="3763290D"/>
    <w:rsid w:val="00014100"/>
    <w:rsid w:val="00021324"/>
    <w:rsid w:val="00074F2E"/>
    <w:rsid w:val="000864D6"/>
    <w:rsid w:val="000E59A4"/>
    <w:rsid w:val="00105E18"/>
    <w:rsid w:val="00144C59"/>
    <w:rsid w:val="00171A49"/>
    <w:rsid w:val="00181FEB"/>
    <w:rsid w:val="001C2BDA"/>
    <w:rsid w:val="001C31C5"/>
    <w:rsid w:val="001D5006"/>
    <w:rsid w:val="002715F0"/>
    <w:rsid w:val="002A1A7F"/>
    <w:rsid w:val="0032089A"/>
    <w:rsid w:val="003302D2"/>
    <w:rsid w:val="00332D6A"/>
    <w:rsid w:val="00355CB9"/>
    <w:rsid w:val="0036103A"/>
    <w:rsid w:val="0037735E"/>
    <w:rsid w:val="003A7C68"/>
    <w:rsid w:val="003B6A9E"/>
    <w:rsid w:val="003C4C6D"/>
    <w:rsid w:val="003C71CB"/>
    <w:rsid w:val="003F3715"/>
    <w:rsid w:val="003F5749"/>
    <w:rsid w:val="004376A7"/>
    <w:rsid w:val="00447F01"/>
    <w:rsid w:val="00453CFB"/>
    <w:rsid w:val="00457E3E"/>
    <w:rsid w:val="004A3404"/>
    <w:rsid w:val="004A3786"/>
    <w:rsid w:val="004D4D61"/>
    <w:rsid w:val="005258E8"/>
    <w:rsid w:val="00540301"/>
    <w:rsid w:val="0057660D"/>
    <w:rsid w:val="0059529F"/>
    <w:rsid w:val="005C7B58"/>
    <w:rsid w:val="005D0A24"/>
    <w:rsid w:val="005E1D84"/>
    <w:rsid w:val="00622DC1"/>
    <w:rsid w:val="006A19F2"/>
    <w:rsid w:val="006B72B4"/>
    <w:rsid w:val="006F39DE"/>
    <w:rsid w:val="00726AC6"/>
    <w:rsid w:val="00743A1C"/>
    <w:rsid w:val="00793DF4"/>
    <w:rsid w:val="007D462E"/>
    <w:rsid w:val="007E067A"/>
    <w:rsid w:val="008511D5"/>
    <w:rsid w:val="00854DE8"/>
    <w:rsid w:val="0087665C"/>
    <w:rsid w:val="00891E1A"/>
    <w:rsid w:val="008B0265"/>
    <w:rsid w:val="008C1545"/>
    <w:rsid w:val="008D0EEA"/>
    <w:rsid w:val="0090062A"/>
    <w:rsid w:val="00903BD3"/>
    <w:rsid w:val="00924F09"/>
    <w:rsid w:val="00993EF5"/>
    <w:rsid w:val="009B34E4"/>
    <w:rsid w:val="009C201D"/>
    <w:rsid w:val="009C4D84"/>
    <w:rsid w:val="00A267C6"/>
    <w:rsid w:val="00A43756"/>
    <w:rsid w:val="00A762FD"/>
    <w:rsid w:val="00A911D2"/>
    <w:rsid w:val="00A91FAB"/>
    <w:rsid w:val="00AA0FE0"/>
    <w:rsid w:val="00AD1578"/>
    <w:rsid w:val="00B01E31"/>
    <w:rsid w:val="00B0538F"/>
    <w:rsid w:val="00B4674D"/>
    <w:rsid w:val="00BA5029"/>
    <w:rsid w:val="00BB2FBF"/>
    <w:rsid w:val="00C86ED9"/>
    <w:rsid w:val="00CA5FF5"/>
    <w:rsid w:val="00CB303D"/>
    <w:rsid w:val="00CC200C"/>
    <w:rsid w:val="00CC591C"/>
    <w:rsid w:val="00CC649C"/>
    <w:rsid w:val="00CD2556"/>
    <w:rsid w:val="00CD2834"/>
    <w:rsid w:val="00D00A3D"/>
    <w:rsid w:val="00D120AB"/>
    <w:rsid w:val="00D14AC1"/>
    <w:rsid w:val="00D15080"/>
    <w:rsid w:val="00D20420"/>
    <w:rsid w:val="00D552C1"/>
    <w:rsid w:val="00D55A64"/>
    <w:rsid w:val="00D84439"/>
    <w:rsid w:val="00D90E25"/>
    <w:rsid w:val="00D92635"/>
    <w:rsid w:val="00D93F1D"/>
    <w:rsid w:val="00DD1DC1"/>
    <w:rsid w:val="00DD2DB0"/>
    <w:rsid w:val="00DD3B2B"/>
    <w:rsid w:val="00E04FB2"/>
    <w:rsid w:val="00E1614A"/>
    <w:rsid w:val="00E17051"/>
    <w:rsid w:val="00E44366"/>
    <w:rsid w:val="00E46556"/>
    <w:rsid w:val="00E51340"/>
    <w:rsid w:val="00E5234C"/>
    <w:rsid w:val="00E65824"/>
    <w:rsid w:val="00E74CD0"/>
    <w:rsid w:val="00E85562"/>
    <w:rsid w:val="00E93F55"/>
    <w:rsid w:val="00F26E17"/>
    <w:rsid w:val="00F50B0A"/>
    <w:rsid w:val="00F514F5"/>
    <w:rsid w:val="00F602FD"/>
    <w:rsid w:val="00F76962"/>
    <w:rsid w:val="00FA2BA9"/>
    <w:rsid w:val="00FB5D91"/>
    <w:rsid w:val="00FF76C5"/>
    <w:rsid w:val="01076223"/>
    <w:rsid w:val="027C6E00"/>
    <w:rsid w:val="032E16E5"/>
    <w:rsid w:val="049908AA"/>
    <w:rsid w:val="060D2627"/>
    <w:rsid w:val="06381F05"/>
    <w:rsid w:val="06551467"/>
    <w:rsid w:val="08362076"/>
    <w:rsid w:val="08962DA7"/>
    <w:rsid w:val="105536A0"/>
    <w:rsid w:val="1075676F"/>
    <w:rsid w:val="11E51668"/>
    <w:rsid w:val="12A251E1"/>
    <w:rsid w:val="12F157DA"/>
    <w:rsid w:val="153E27FD"/>
    <w:rsid w:val="15456CC9"/>
    <w:rsid w:val="158139EC"/>
    <w:rsid w:val="161C0D58"/>
    <w:rsid w:val="17124F67"/>
    <w:rsid w:val="18075E8E"/>
    <w:rsid w:val="189D02C0"/>
    <w:rsid w:val="198954AA"/>
    <w:rsid w:val="1B507656"/>
    <w:rsid w:val="1DC43089"/>
    <w:rsid w:val="1F6C499D"/>
    <w:rsid w:val="21734011"/>
    <w:rsid w:val="21876EEA"/>
    <w:rsid w:val="226014E3"/>
    <w:rsid w:val="234C3F5B"/>
    <w:rsid w:val="23ED32E8"/>
    <w:rsid w:val="252512E3"/>
    <w:rsid w:val="25A8519A"/>
    <w:rsid w:val="261A1293"/>
    <w:rsid w:val="26745293"/>
    <w:rsid w:val="299433AA"/>
    <w:rsid w:val="2A525250"/>
    <w:rsid w:val="2A5B27BC"/>
    <w:rsid w:val="2BD76B3C"/>
    <w:rsid w:val="2BE271C7"/>
    <w:rsid w:val="2C2916B9"/>
    <w:rsid w:val="2CCB2715"/>
    <w:rsid w:val="3075660F"/>
    <w:rsid w:val="30B31757"/>
    <w:rsid w:val="31055B72"/>
    <w:rsid w:val="33136C1F"/>
    <w:rsid w:val="37135A2E"/>
    <w:rsid w:val="3763290D"/>
    <w:rsid w:val="382F7714"/>
    <w:rsid w:val="3ADE5D64"/>
    <w:rsid w:val="3B8E33E5"/>
    <w:rsid w:val="3D7B3972"/>
    <w:rsid w:val="3DC87153"/>
    <w:rsid w:val="3F3D4D87"/>
    <w:rsid w:val="40A92212"/>
    <w:rsid w:val="41D1217F"/>
    <w:rsid w:val="42BF6B74"/>
    <w:rsid w:val="44254A04"/>
    <w:rsid w:val="44796617"/>
    <w:rsid w:val="47212227"/>
    <w:rsid w:val="4ADC5C2E"/>
    <w:rsid w:val="4B321EE0"/>
    <w:rsid w:val="51AD1A7E"/>
    <w:rsid w:val="52C13B4A"/>
    <w:rsid w:val="574429E7"/>
    <w:rsid w:val="5805174B"/>
    <w:rsid w:val="5B3752F1"/>
    <w:rsid w:val="5C5734BA"/>
    <w:rsid w:val="5CDE30DE"/>
    <w:rsid w:val="5CF873E3"/>
    <w:rsid w:val="5E0B70D8"/>
    <w:rsid w:val="5EA24697"/>
    <w:rsid w:val="5FC942DC"/>
    <w:rsid w:val="61B655ED"/>
    <w:rsid w:val="648C1082"/>
    <w:rsid w:val="682C2C7A"/>
    <w:rsid w:val="6874548F"/>
    <w:rsid w:val="68C34E04"/>
    <w:rsid w:val="69817922"/>
    <w:rsid w:val="69A753F0"/>
    <w:rsid w:val="69C0673D"/>
    <w:rsid w:val="6CF6053B"/>
    <w:rsid w:val="6DA67148"/>
    <w:rsid w:val="703C6E9C"/>
    <w:rsid w:val="743366F9"/>
    <w:rsid w:val="74B45D8F"/>
    <w:rsid w:val="756D3A46"/>
    <w:rsid w:val="75F31519"/>
    <w:rsid w:val="77883DA0"/>
    <w:rsid w:val="78F54CE5"/>
    <w:rsid w:val="FFFF63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rFonts w:ascii="Calibri" w:hAnsi="Calibri"/>
      <w:b/>
      <w:kern w:val="44"/>
      <w:sz w:val="30"/>
    </w:rPr>
  </w:style>
  <w:style w:type="paragraph" w:styleId="4">
    <w:name w:val="heading 2"/>
    <w:basedOn w:val="1"/>
    <w:next w:val="1"/>
    <w:qFormat/>
    <w:uiPriority w:val="99"/>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unhideWhenUsed/>
    <w:qFormat/>
    <w:uiPriority w:val="0"/>
    <w:pPr>
      <w:keepNext/>
      <w:keepLines/>
      <w:jc w:val="center"/>
      <w:outlineLvl w:val="2"/>
    </w:pPr>
    <w:rPr>
      <w:rFonts w:eastAsia="黑体"/>
      <w:b/>
      <w:color w:val="FF0000"/>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footnote text"/>
    <w:basedOn w:val="1"/>
    <w:qFormat/>
    <w:uiPriority w:val="0"/>
    <w:pPr>
      <w:snapToGrid w:val="0"/>
      <w:jc w:val="left"/>
    </w:pPr>
    <w:rPr>
      <w:sz w:val="18"/>
      <w:szCs w:val="18"/>
    </w:rPr>
  </w:style>
  <w:style w:type="paragraph" w:styleId="6">
    <w:name w:val="Normal Indent"/>
    <w:basedOn w:val="1"/>
    <w:next w:val="1"/>
    <w:qFormat/>
    <w:uiPriority w:val="0"/>
    <w:pPr>
      <w:ind w:firstLine="420"/>
    </w:pPr>
    <w:rPr>
      <w:szCs w:val="20"/>
    </w:rPr>
  </w:style>
  <w:style w:type="paragraph" w:styleId="7">
    <w:name w:val="caption"/>
    <w:basedOn w:val="1"/>
    <w:next w:val="1"/>
    <w:qFormat/>
    <w:uiPriority w:val="0"/>
    <w:rPr>
      <w:rFonts w:ascii="Arial" w:hAnsi="Arial" w:eastAsia="黑体" w:cs="Arial"/>
      <w:sz w:val="20"/>
      <w:szCs w:val="20"/>
    </w:rPr>
  </w:style>
  <w:style w:type="paragraph" w:styleId="8">
    <w:name w:val="Document Map"/>
    <w:basedOn w:val="1"/>
    <w:link w:val="29"/>
    <w:qFormat/>
    <w:uiPriority w:val="0"/>
    <w:rPr>
      <w:rFonts w:ascii="微软雅黑" w:eastAsia="微软雅黑"/>
      <w:sz w:val="18"/>
      <w:szCs w:val="18"/>
    </w:rPr>
  </w:style>
  <w:style w:type="paragraph" w:styleId="9">
    <w:name w:val="Body Text"/>
    <w:basedOn w:val="1"/>
    <w:unhideWhenUsed/>
    <w:qFormat/>
    <w:uiPriority w:val="99"/>
    <w:pPr>
      <w:spacing w:after="120"/>
    </w:pPr>
  </w:style>
  <w:style w:type="paragraph" w:styleId="10">
    <w:name w:val="Body Text Indent"/>
    <w:basedOn w:val="1"/>
    <w:qFormat/>
    <w:uiPriority w:val="0"/>
    <w:pPr>
      <w:ind w:firstLine="540"/>
    </w:pPr>
    <w:rPr>
      <w:sz w:val="28"/>
      <w:szCs w:val="20"/>
    </w:rPr>
  </w:style>
  <w:style w:type="paragraph" w:styleId="11">
    <w:name w:val="Body Text Indent 2"/>
    <w:basedOn w:val="1"/>
    <w:qFormat/>
    <w:uiPriority w:val="0"/>
    <w:pPr>
      <w:spacing w:line="560" w:lineRule="exact"/>
      <w:ind w:firstLine="856" w:firstLineChars="200"/>
    </w:pPr>
    <w:rPr>
      <w:rFonts w:ascii="Calibri" w:hAnsi="Calibri" w:eastAsia="仿宋_GB2312"/>
      <w:sz w:val="32"/>
    </w:rPr>
  </w:style>
  <w:style w:type="paragraph" w:styleId="12">
    <w:name w:val="Balloon Text"/>
    <w:basedOn w:val="1"/>
    <w:link w:val="34"/>
    <w:qFormat/>
    <w:uiPriority w:val="0"/>
    <w:pPr>
      <w:spacing w:line="240" w:lineRule="auto"/>
    </w:pPr>
    <w:rPr>
      <w:sz w:val="18"/>
      <w:szCs w:val="18"/>
    </w:rPr>
  </w:style>
  <w:style w:type="paragraph" w:styleId="13">
    <w:name w:val="footer"/>
    <w:basedOn w:val="1"/>
    <w:link w:val="31"/>
    <w:qFormat/>
    <w:uiPriority w:val="0"/>
    <w:pPr>
      <w:tabs>
        <w:tab w:val="center" w:pos="4513"/>
        <w:tab w:val="right" w:pos="9026"/>
      </w:tabs>
      <w:snapToGrid w:val="0"/>
      <w:spacing w:line="240" w:lineRule="auto"/>
      <w:jc w:val="left"/>
    </w:pPr>
    <w:rPr>
      <w:sz w:val="18"/>
      <w:szCs w:val="18"/>
    </w:rPr>
  </w:style>
  <w:style w:type="paragraph" w:styleId="14">
    <w:name w:val="header"/>
    <w:basedOn w:val="1"/>
    <w:link w:val="30"/>
    <w:qFormat/>
    <w:uiPriority w:val="0"/>
    <w:pPr>
      <w:pBdr>
        <w:bottom w:val="single" w:color="auto" w:sz="6" w:space="1"/>
      </w:pBdr>
      <w:tabs>
        <w:tab w:val="center" w:pos="4513"/>
        <w:tab w:val="right" w:pos="9026"/>
      </w:tabs>
      <w:snapToGrid w:val="0"/>
      <w:spacing w:line="240" w:lineRule="auto"/>
      <w:jc w:val="center"/>
    </w:pPr>
    <w:rPr>
      <w:sz w:val="18"/>
      <w:szCs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8">
    <w:name w:val="Normal (Web)"/>
    <w:basedOn w:val="1"/>
    <w:qFormat/>
    <w:uiPriority w:val="0"/>
    <w:pPr>
      <w:ind w:firstLine="562" w:firstLineChars="200"/>
      <w:jc w:val="left"/>
    </w:pPr>
    <w:rPr>
      <w:rFonts w:asciiTheme="minorHAnsi" w:hAnsiTheme="minorHAnsi" w:eastAsiaTheme="minorEastAsia"/>
      <w:kern w:val="0"/>
      <w:sz w:val="24"/>
    </w:rPr>
  </w:style>
  <w:style w:type="paragraph" w:styleId="19">
    <w:name w:val="Body Text First Indent"/>
    <w:basedOn w:val="9"/>
    <w:next w:val="1"/>
    <w:qFormat/>
    <w:uiPriority w:val="99"/>
    <w:pPr>
      <w:spacing w:line="500" w:lineRule="exact"/>
      <w:ind w:firstLine="420"/>
    </w:pPr>
    <w:rPr>
      <w:kern w:val="0"/>
      <w:sz w:val="28"/>
      <w:szCs w:val="28"/>
    </w:rPr>
  </w:style>
  <w:style w:type="paragraph" w:styleId="20">
    <w:name w:val="Body Text First Indent 2"/>
    <w:basedOn w:val="10"/>
    <w:qFormat/>
    <w:uiPriority w:val="0"/>
    <w:pPr>
      <w:spacing w:after="120" w:line="240" w:lineRule="auto"/>
      <w:ind w:left="420" w:leftChars="200" w:firstLine="420"/>
    </w:pPr>
    <w:rPr>
      <w:kern w:val="0"/>
      <w:sz w:val="21"/>
      <w:szCs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Emphasis"/>
    <w:basedOn w:val="23"/>
    <w:qFormat/>
    <w:uiPriority w:val="20"/>
    <w:rPr>
      <w:color w:val="F73131"/>
    </w:rPr>
  </w:style>
  <w:style w:type="character" w:styleId="26">
    <w:name w:val="Hyperlink"/>
    <w:basedOn w:val="23"/>
    <w:unhideWhenUsed/>
    <w:qFormat/>
    <w:uiPriority w:val="99"/>
    <w:rPr>
      <w:color w:val="2440B3"/>
      <w:u w:val="none"/>
    </w:rPr>
  </w:style>
  <w:style w:type="character" w:styleId="27">
    <w:name w:val="HTML Cite"/>
    <w:basedOn w:val="23"/>
    <w:qFormat/>
    <w:uiPriority w:val="0"/>
    <w:rPr>
      <w:color w:val="008000"/>
    </w:rPr>
  </w:style>
  <w:style w:type="paragraph" w:customStyle="1" w:styleId="28">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character" w:customStyle="1" w:styleId="29">
    <w:name w:val="文档结构图 Char"/>
    <w:basedOn w:val="23"/>
    <w:link w:val="8"/>
    <w:qFormat/>
    <w:uiPriority w:val="0"/>
    <w:rPr>
      <w:rFonts w:ascii="微软雅黑" w:hAnsi="Times New Roman" w:eastAsia="微软雅黑" w:cs="Times New Roman"/>
      <w:kern w:val="2"/>
      <w:sz w:val="18"/>
      <w:szCs w:val="18"/>
    </w:rPr>
  </w:style>
  <w:style w:type="character" w:customStyle="1" w:styleId="30">
    <w:name w:val="页眉 Char"/>
    <w:basedOn w:val="23"/>
    <w:link w:val="14"/>
    <w:qFormat/>
    <w:uiPriority w:val="0"/>
    <w:rPr>
      <w:rFonts w:ascii="Times New Roman" w:hAnsi="Times New Roman" w:eastAsia="宋体" w:cs="Times New Roman"/>
      <w:kern w:val="2"/>
      <w:sz w:val="18"/>
      <w:szCs w:val="18"/>
    </w:rPr>
  </w:style>
  <w:style w:type="character" w:customStyle="1" w:styleId="31">
    <w:name w:val="页脚 Char"/>
    <w:basedOn w:val="23"/>
    <w:link w:val="13"/>
    <w:qFormat/>
    <w:uiPriority w:val="0"/>
    <w:rPr>
      <w:rFonts w:ascii="Times New Roman" w:hAnsi="Times New Roman" w:eastAsia="宋体" w:cs="Times New Roman"/>
      <w:kern w:val="2"/>
      <w:sz w:val="18"/>
      <w:szCs w:val="18"/>
    </w:rPr>
  </w:style>
  <w:style w:type="paragraph" w:customStyle="1" w:styleId="32">
    <w:name w:val="[基本段落]"/>
    <w:basedOn w:val="33"/>
    <w:unhideWhenUsed/>
    <w:qFormat/>
    <w:uiPriority w:val="99"/>
  </w:style>
  <w:style w:type="paragraph" w:customStyle="1" w:styleId="33">
    <w:name w:val="[无段落样式]"/>
    <w:unhideWhenUsed/>
    <w:qFormat/>
    <w:uiPriority w:val="99"/>
    <w:pPr>
      <w:widowControl w:val="0"/>
      <w:autoSpaceDE w:val="0"/>
      <w:autoSpaceDN w:val="0"/>
      <w:adjustRightInd w:val="0"/>
      <w:spacing w:line="288" w:lineRule="auto"/>
      <w:jc w:val="both"/>
      <w:textAlignment w:val="center"/>
    </w:pPr>
    <w:rPr>
      <w:rFonts w:hint="eastAsia" w:ascii="Adobe 宋体 Std L" w:hAnsi="Adobe 宋体 Std L" w:eastAsia="Adobe 宋体 Std L" w:cs="Times New Roman"/>
      <w:color w:val="000000"/>
      <w:sz w:val="24"/>
      <w:lang w:val="zh-CN" w:eastAsia="zh-CN" w:bidi="ar-SA"/>
    </w:rPr>
  </w:style>
  <w:style w:type="character" w:customStyle="1" w:styleId="34">
    <w:name w:val="批注框文本 Char"/>
    <w:basedOn w:val="23"/>
    <w:link w:val="12"/>
    <w:qFormat/>
    <w:uiPriority w:val="0"/>
    <w:rPr>
      <w:rFonts w:ascii="Times New Roman" w:hAnsi="Times New Roman" w:eastAsia="宋体" w:cs="Times New Roman"/>
      <w:kern w:val="2"/>
      <w:sz w:val="18"/>
      <w:szCs w:val="18"/>
    </w:rPr>
  </w:style>
  <w:style w:type="paragraph" w:styleId="35">
    <w:name w:val="List Paragraph"/>
    <w:basedOn w:val="1"/>
    <w:unhideWhenUsed/>
    <w:qFormat/>
    <w:uiPriority w:val="99"/>
    <w:pPr>
      <w:ind w:firstLine="420" w:firstLineChars="200"/>
    </w:p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8">
    <w:name w:val="c-icon"/>
    <w:basedOn w:val="23"/>
    <w:qFormat/>
    <w:uiPriority w:val="0"/>
  </w:style>
  <w:style w:type="character" w:customStyle="1" w:styleId="39">
    <w:name w:val="hover26"/>
    <w:basedOn w:val="23"/>
    <w:qFormat/>
    <w:uiPriority w:val="0"/>
  </w:style>
  <w:style w:type="character" w:customStyle="1" w:styleId="40">
    <w:name w:val="hover27"/>
    <w:basedOn w:val="23"/>
    <w:qFormat/>
    <w:uiPriority w:val="0"/>
    <w:rPr>
      <w:color w:val="315EFB"/>
    </w:rPr>
  </w:style>
  <w:style w:type="character" w:customStyle="1" w:styleId="41">
    <w:name w:val="hover28"/>
    <w:basedOn w:val="23"/>
    <w:qFormat/>
    <w:uiPriority w:val="0"/>
    <w:rPr>
      <w:color w:val="315EFB"/>
    </w:rPr>
  </w:style>
  <w:style w:type="character" w:customStyle="1" w:styleId="42">
    <w:name w:val="content-right_8zs401"/>
    <w:basedOn w:val="23"/>
    <w:qFormat/>
    <w:uiPriority w:val="0"/>
  </w:style>
  <w:style w:type="character" w:customStyle="1" w:styleId="43">
    <w:name w:val="font11"/>
    <w:basedOn w:val="23"/>
    <w:qFormat/>
    <w:uiPriority w:val="0"/>
    <w:rPr>
      <w:rFonts w:hint="eastAsia" w:ascii="宋体" w:hAnsi="宋体" w:eastAsia="宋体" w:cs="宋体"/>
      <w:b/>
      <w:bCs/>
      <w:color w:val="000000"/>
      <w:sz w:val="22"/>
      <w:szCs w:val="22"/>
      <w:u w:val="none"/>
    </w:rPr>
  </w:style>
  <w:style w:type="character" w:customStyle="1" w:styleId="44">
    <w:name w:val="font31"/>
    <w:basedOn w:val="23"/>
    <w:qFormat/>
    <w:uiPriority w:val="0"/>
    <w:rPr>
      <w:rFonts w:hint="eastAsia" w:ascii="宋体" w:hAnsi="宋体" w:eastAsia="宋体" w:cs="宋体"/>
      <w:color w:val="000000"/>
      <w:sz w:val="20"/>
      <w:szCs w:val="20"/>
      <w:u w:val="none"/>
    </w:rPr>
  </w:style>
  <w:style w:type="character" w:customStyle="1" w:styleId="45">
    <w:name w:val="font41"/>
    <w:basedOn w:val="23"/>
    <w:qFormat/>
    <w:uiPriority w:val="0"/>
    <w:rPr>
      <w:rFonts w:hint="eastAsia" w:ascii="宋体" w:hAnsi="宋体" w:eastAsia="宋体" w:cs="宋体"/>
      <w:color w:val="000000"/>
      <w:sz w:val="20"/>
      <w:szCs w:val="20"/>
      <w:u w:val="none"/>
    </w:rPr>
  </w:style>
  <w:style w:type="character" w:customStyle="1" w:styleId="46">
    <w:name w:val="font21"/>
    <w:basedOn w:val="23"/>
    <w:qFormat/>
    <w:uiPriority w:val="0"/>
    <w:rPr>
      <w:rFonts w:hint="eastAsia" w:ascii="宋体" w:hAnsi="宋体" w:eastAsia="宋体" w:cs="宋体"/>
      <w:color w:val="333333"/>
      <w:sz w:val="20"/>
      <w:szCs w:val="20"/>
      <w:u w:val="none"/>
    </w:rPr>
  </w:style>
  <w:style w:type="character" w:customStyle="1" w:styleId="47">
    <w:name w:val="font81"/>
    <w:basedOn w:val="23"/>
    <w:qFormat/>
    <w:uiPriority w:val="0"/>
    <w:rPr>
      <w:rFonts w:ascii="PMingLiU" w:hAnsi="PMingLiU" w:eastAsia="PMingLiU" w:cs="PMingLiU"/>
      <w:color w:val="333333"/>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6864</Words>
  <Characters>8036</Characters>
  <Lines>338</Lines>
  <Paragraphs>95</Paragraphs>
  <TotalTime>1</TotalTime>
  <ScaleCrop>false</ScaleCrop>
  <LinksUpToDate>false</LinksUpToDate>
  <CharactersWithSpaces>8194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2023-10-26T22:06:00Z</dcterms:created>
  <dc:creator>王进</dc:creator>
  <cp:lastModifiedBy>asdfghjkl</cp:lastModifiedBy>
  <dcterms:modified xsi:type="dcterms:W3CDTF">2025-06-24T03:55:31Z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2379C053318A46BF8676E9FF9C4FA850_13</vt:lpwstr>
  </property>
  <property fmtid="{D5CDD505-2E9C-101B-9397-08002B2CF9AE}" pid="4" name="KSOTemplateDocerSaveRecord">
    <vt:lpwstr>eyJoZGlkIjoiYjU1ZjQ2MzA0Yzk3OGE4M2M0MTYwNjNkNGQ3MDk1YTYiLCJ1c2VySWQiOiI1OTE1MDY3MDEifQ==</vt:lpwstr>
  </property>
</Properties>
</file>