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4463" w:type="dxa"/>
        <w:tblInd w:w="93" w:type="dxa"/>
        <w:tblLayout w:type="fixed"/>
        <w:tblCellMar>
          <w:top w:w="0" w:type="dxa"/>
          <w:left w:w="108" w:type="dxa"/>
          <w:bottom w:w="0" w:type="dxa"/>
          <w:right w:w="108" w:type="dxa"/>
        </w:tblCellMar>
      </w:tblPr>
      <w:tblGrid>
        <w:gridCol w:w="1044"/>
        <w:gridCol w:w="1498"/>
        <w:gridCol w:w="1214"/>
        <w:gridCol w:w="2496"/>
        <w:gridCol w:w="1560"/>
        <w:gridCol w:w="5528"/>
        <w:gridCol w:w="1123"/>
      </w:tblGrid>
      <w:tr>
        <w:tblPrEx>
          <w:tblCellMar>
            <w:top w:w="0" w:type="dxa"/>
            <w:left w:w="108" w:type="dxa"/>
            <w:bottom w:w="0" w:type="dxa"/>
            <w:right w:w="108" w:type="dxa"/>
          </w:tblCellMar>
        </w:tblPrEx>
        <w:trPr>
          <w:trHeight w:val="942" w:hRule="atLeast"/>
        </w:trPr>
        <w:tc>
          <w:tcPr>
            <w:tcW w:w="14463" w:type="dxa"/>
            <w:gridSpan w:val="7"/>
            <w:tcBorders>
              <w:top w:val="nil"/>
              <w:left w:val="nil"/>
              <w:bottom w:val="nil"/>
              <w:right w:val="nil"/>
            </w:tcBorders>
            <w:shd w:val="clear" w:color="auto" w:fill="auto"/>
            <w:noWrap/>
            <w:vAlign w:val="center"/>
          </w:tcPr>
          <w:p>
            <w:pPr>
              <w:widowControl/>
              <w:jc w:val="center"/>
              <w:rPr>
                <w:rFonts w:ascii="方正小标宋简体" w:hAnsi="宋体" w:eastAsia="方正小标宋简体" w:cs="宋体"/>
                <w:kern w:val="0"/>
                <w:sz w:val="36"/>
                <w:szCs w:val="36"/>
              </w:rPr>
            </w:pPr>
            <w:r>
              <w:rPr>
                <w:rFonts w:hint="eastAsia" w:ascii="方正小标宋简体" w:hAnsi="宋体" w:eastAsia="方正小标宋简体" w:cs="宋体"/>
                <w:kern w:val="0"/>
                <w:sz w:val="36"/>
                <w:szCs w:val="36"/>
              </w:rPr>
              <w:t>2022年及之前继续有效的市政府行政规范性文件评估意见清单</w:t>
            </w:r>
          </w:p>
        </w:tc>
      </w:tr>
      <w:tr>
        <w:tblPrEx>
          <w:tblCellMar>
            <w:top w:w="0" w:type="dxa"/>
            <w:left w:w="108" w:type="dxa"/>
            <w:bottom w:w="0" w:type="dxa"/>
            <w:right w:w="108" w:type="dxa"/>
          </w:tblCellMar>
        </w:tblPrEx>
        <w:trPr>
          <w:trHeight w:val="762" w:hRule="atLeast"/>
        </w:trPr>
        <w:tc>
          <w:tcPr>
            <w:tcW w:w="104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方正黑体_GBK" w:hAnsi="宋体" w:eastAsia="方正黑体_GBK" w:cs="宋体"/>
                <w:kern w:val="0"/>
                <w:sz w:val="24"/>
                <w:szCs w:val="24"/>
              </w:rPr>
            </w:pPr>
            <w:r>
              <w:rPr>
                <w:rFonts w:hint="eastAsia" w:ascii="方正黑体_GBK" w:hAnsi="宋体" w:eastAsia="方正黑体_GBK" w:cs="宋体"/>
                <w:kern w:val="0"/>
                <w:sz w:val="24"/>
                <w:szCs w:val="24"/>
              </w:rPr>
              <w:t>起草（承办）单位</w:t>
            </w:r>
          </w:p>
        </w:tc>
        <w:tc>
          <w:tcPr>
            <w:tcW w:w="149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文件名称</w:t>
            </w:r>
          </w:p>
        </w:tc>
        <w:tc>
          <w:tcPr>
            <w:tcW w:w="121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文号</w:t>
            </w:r>
          </w:p>
        </w:tc>
        <w:tc>
          <w:tcPr>
            <w:tcW w:w="249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方正黑体_GBK" w:hAnsi="宋体" w:eastAsia="方正黑体_GBK" w:cs="宋体"/>
                <w:kern w:val="0"/>
                <w:sz w:val="24"/>
                <w:szCs w:val="24"/>
              </w:rPr>
            </w:pPr>
            <w:r>
              <w:rPr>
                <w:rFonts w:hint="eastAsia" w:ascii="方正黑体_GBK" w:hAnsi="宋体" w:eastAsia="方正黑体_GBK" w:cs="宋体"/>
                <w:kern w:val="0"/>
                <w:sz w:val="24"/>
                <w:szCs w:val="24"/>
              </w:rPr>
              <w:t>文件公布网址链接</w:t>
            </w:r>
          </w:p>
        </w:tc>
        <w:tc>
          <w:tcPr>
            <w:tcW w:w="156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方正黑体_GBK" w:hAnsi="宋体" w:eastAsia="方正黑体_GBK" w:cs="宋体"/>
                <w:kern w:val="0"/>
                <w:sz w:val="24"/>
                <w:szCs w:val="24"/>
              </w:rPr>
            </w:pPr>
            <w:r>
              <w:rPr>
                <w:rFonts w:hint="eastAsia" w:ascii="方正黑体_GBK" w:hAnsi="宋体" w:eastAsia="方正黑体_GBK" w:cs="宋体"/>
                <w:kern w:val="0"/>
                <w:sz w:val="24"/>
                <w:szCs w:val="24"/>
              </w:rPr>
              <w:t>审查结果</w:t>
            </w:r>
          </w:p>
        </w:tc>
        <w:tc>
          <w:tcPr>
            <w:tcW w:w="552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方正黑体_GBK" w:hAnsi="宋体" w:eastAsia="方正黑体_GBK" w:cs="宋体"/>
                <w:kern w:val="0"/>
                <w:sz w:val="24"/>
                <w:szCs w:val="24"/>
              </w:rPr>
            </w:pPr>
            <w:r>
              <w:rPr>
                <w:rFonts w:hint="eastAsia" w:ascii="方正黑体_GBK" w:hAnsi="宋体" w:eastAsia="方正黑体_GBK" w:cs="宋体"/>
                <w:kern w:val="0"/>
                <w:sz w:val="24"/>
                <w:szCs w:val="24"/>
              </w:rPr>
              <w:t>审查理由</w:t>
            </w:r>
          </w:p>
        </w:tc>
        <w:tc>
          <w:tcPr>
            <w:tcW w:w="112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方正黑体_GBK" w:hAnsi="宋体" w:eastAsia="方正黑体_GBK" w:cs="宋体"/>
                <w:kern w:val="0"/>
                <w:sz w:val="24"/>
                <w:szCs w:val="24"/>
              </w:rPr>
            </w:pPr>
            <w:r>
              <w:rPr>
                <w:rFonts w:hint="eastAsia" w:ascii="方正黑体_GBK" w:hAnsi="宋体" w:eastAsia="方正黑体_GBK" w:cs="宋体"/>
                <w:kern w:val="0"/>
                <w:sz w:val="24"/>
                <w:szCs w:val="24"/>
              </w:rPr>
              <w:t>起草单位反馈意见</w:t>
            </w:r>
          </w:p>
        </w:tc>
      </w:tr>
      <w:tr>
        <w:tblPrEx>
          <w:tblCellMar>
            <w:top w:w="0" w:type="dxa"/>
            <w:left w:w="108" w:type="dxa"/>
            <w:bottom w:w="0" w:type="dxa"/>
            <w:right w:w="108" w:type="dxa"/>
          </w:tblCellMar>
        </w:tblPrEx>
        <w:trPr>
          <w:trHeight w:val="1935" w:hRule="atLeast"/>
        </w:trPr>
        <w:tc>
          <w:tcPr>
            <w:tcW w:w="104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市交通运输局</w:t>
            </w:r>
          </w:p>
        </w:tc>
        <w:tc>
          <w:tcPr>
            <w:tcW w:w="1498"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衢州市人民政府关于衢州机场（民航）净空保护区域电磁环境保护区域的通告</w:t>
            </w:r>
          </w:p>
        </w:tc>
        <w:tc>
          <w:tcPr>
            <w:tcW w:w="1214"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2014年</w:t>
            </w:r>
          </w:p>
        </w:tc>
        <w:tc>
          <w:tcPr>
            <w:tcW w:w="2496"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建议予以保留</w:t>
            </w:r>
          </w:p>
        </w:tc>
        <w:tc>
          <w:tcPr>
            <w:tcW w:w="5528" w:type="dxa"/>
            <w:tcBorders>
              <w:top w:val="nil"/>
              <w:left w:val="nil"/>
              <w:bottom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该文件的主要上位法依据为《民用机场管理条例》，经检索核查，该文件不违反上位法规定，且仍有继续执行必要，建议予以保留。</w:t>
            </w:r>
          </w:p>
        </w:tc>
        <w:tc>
          <w:tcPr>
            <w:tcW w:w="1123" w:type="dxa"/>
            <w:tcBorders>
              <w:top w:val="nil"/>
              <w:left w:val="nil"/>
              <w:bottom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继续有效</w:t>
            </w:r>
          </w:p>
        </w:tc>
      </w:tr>
      <w:tr>
        <w:trPr>
          <w:trHeight w:val="2205" w:hRule="atLeast"/>
        </w:trPr>
        <w:tc>
          <w:tcPr>
            <w:tcW w:w="104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市交通运输局</w:t>
            </w:r>
          </w:p>
        </w:tc>
        <w:tc>
          <w:tcPr>
            <w:tcW w:w="1498"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4"/>
                <w:szCs w:val="24"/>
              </w:rPr>
            </w:pPr>
            <w:r>
              <w:rPr>
                <w:rFonts w:hint="eastAsia" w:ascii="仿宋_GB2312" w:hAnsi="宋体" w:eastAsia="仿宋_GB2312" w:cs="宋体"/>
                <w:kern w:val="0"/>
                <w:sz w:val="24"/>
                <w:szCs w:val="24"/>
              </w:rPr>
              <w:t>衢州市人民政府办公室关于深化改革推进出租汽车行业健康发展的实施意见</w:t>
            </w:r>
          </w:p>
        </w:tc>
        <w:tc>
          <w:tcPr>
            <w:tcW w:w="1214"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衢政办发〔2022〕2号</w:t>
            </w:r>
          </w:p>
        </w:tc>
        <w:tc>
          <w:tcPr>
            <w:tcW w:w="2496"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FF"/>
                <w:kern w:val="0"/>
                <w:sz w:val="24"/>
                <w:szCs w:val="24"/>
                <w:u w:val="single"/>
              </w:rPr>
            </w:pPr>
            <w:r>
              <w:fldChar w:fldCharType="begin"/>
            </w:r>
            <w:r>
              <w:instrText xml:space="preserve"> HYPERLINK "https://www.qz.gov.cn/art/2022/3/2/art_1229561563_2395247.html" </w:instrText>
            </w:r>
            <w:r>
              <w:fldChar w:fldCharType="separate"/>
            </w:r>
            <w:r>
              <w:rPr>
                <w:rFonts w:hint="eastAsia" w:ascii="仿宋_GB2312" w:hAnsi="宋体" w:eastAsia="仿宋_GB2312" w:cs="宋体"/>
                <w:color w:val="0000FF"/>
                <w:kern w:val="0"/>
                <w:sz w:val="24"/>
                <w:szCs w:val="24"/>
                <w:u w:val="single"/>
              </w:rPr>
              <w:t>https://www.qz.gov.cn/art/2022/3/2/art_1229561563_2395247.html</w:t>
            </w:r>
            <w:r>
              <w:rPr>
                <w:rFonts w:hint="eastAsia" w:ascii="仿宋_GB2312" w:hAnsi="宋体" w:eastAsia="仿宋_GB2312" w:cs="宋体"/>
                <w:color w:val="0000FF"/>
                <w:kern w:val="0"/>
                <w:sz w:val="24"/>
                <w:szCs w:val="24"/>
                <w:u w:val="single"/>
              </w:rPr>
              <w:fldChar w:fldCharType="end"/>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建议予以保留</w:t>
            </w:r>
          </w:p>
        </w:tc>
        <w:tc>
          <w:tcPr>
            <w:tcW w:w="5528" w:type="dxa"/>
            <w:tcBorders>
              <w:top w:val="nil"/>
              <w:left w:val="nil"/>
              <w:bottom w:val="single" w:color="auto" w:sz="4" w:space="0"/>
              <w:right w:val="single" w:color="auto" w:sz="4" w:space="0"/>
            </w:tcBorders>
            <w:shd w:val="clear" w:color="auto" w:fill="auto"/>
            <w:vAlign w:val="center"/>
          </w:tcPr>
          <w:p>
            <w:pPr>
              <w:widowControl/>
              <w:jc w:val="left"/>
              <w:rPr>
                <w:rFonts w:ascii="仿宋_GB2312" w:hAnsi="宋体" w:eastAsia="仿宋_GB2312" w:cs="宋体"/>
                <w:kern w:val="0"/>
                <w:sz w:val="24"/>
                <w:szCs w:val="24"/>
              </w:rPr>
            </w:pPr>
            <w:r>
              <w:rPr>
                <w:rFonts w:hint="eastAsia" w:ascii="仿宋_GB2312" w:hAnsi="宋体" w:eastAsia="仿宋_GB2312" w:cs="宋体"/>
                <w:kern w:val="0"/>
                <w:sz w:val="24"/>
                <w:szCs w:val="24"/>
              </w:rPr>
              <w:t>该文件主要上位法依据为《国务院办公厅关于深化改革推进出租汽车行业健康发展的指导意见》（国办发〔2016〕58号）、《网络预约出租汽车经营服务管理暂行办法》（交通运输部令2019年第46号）和《巡游出租汽车经营服务管理规定》（交通运输部令2021年第16号）等。经检索核查，该文件与上位法不存在明显抵触，对行政管理仍有意义，仍有继续执行必要。建议予以保留。</w:t>
            </w:r>
          </w:p>
        </w:tc>
        <w:tc>
          <w:tcPr>
            <w:tcW w:w="1123" w:type="dxa"/>
            <w:tcBorders>
              <w:top w:val="nil"/>
              <w:left w:val="nil"/>
              <w:bottom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继续有效</w:t>
            </w:r>
          </w:p>
        </w:tc>
      </w:tr>
      <w:tr>
        <w:tblPrEx>
          <w:tblCellMar>
            <w:top w:w="0" w:type="dxa"/>
            <w:left w:w="108" w:type="dxa"/>
            <w:bottom w:w="0" w:type="dxa"/>
            <w:right w:w="108" w:type="dxa"/>
          </w:tblCellMar>
        </w:tblPrEx>
        <w:trPr>
          <w:trHeight w:val="2355" w:hRule="atLeast"/>
        </w:trPr>
        <w:tc>
          <w:tcPr>
            <w:tcW w:w="104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市交通运输局</w:t>
            </w:r>
          </w:p>
        </w:tc>
        <w:tc>
          <w:tcPr>
            <w:tcW w:w="1498"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4"/>
                <w:szCs w:val="24"/>
              </w:rPr>
            </w:pPr>
            <w:r>
              <w:rPr>
                <w:rFonts w:hint="eastAsia" w:ascii="仿宋_GB2312" w:hAnsi="宋体" w:eastAsia="仿宋_GB2312" w:cs="宋体"/>
                <w:kern w:val="0"/>
                <w:sz w:val="24"/>
                <w:szCs w:val="24"/>
              </w:rPr>
              <w:t>衢州市人民政府办公室关于深化农村公路管理养护体制改革实施意见</w:t>
            </w:r>
          </w:p>
        </w:tc>
        <w:tc>
          <w:tcPr>
            <w:tcW w:w="1214"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衢政办发〔2022〕3号</w:t>
            </w:r>
          </w:p>
        </w:tc>
        <w:tc>
          <w:tcPr>
            <w:tcW w:w="249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FF"/>
                <w:kern w:val="0"/>
                <w:sz w:val="24"/>
                <w:szCs w:val="24"/>
                <w:u w:val="single"/>
              </w:rPr>
            </w:pPr>
            <w:r>
              <w:fldChar w:fldCharType="begin"/>
            </w:r>
            <w:r>
              <w:instrText xml:space="preserve"> HYPERLINK "https://www.qz.gov.cn/art/2022/4/15/art_1229561563_2401146.html" </w:instrText>
            </w:r>
            <w:r>
              <w:fldChar w:fldCharType="separate"/>
            </w:r>
            <w:r>
              <w:rPr>
                <w:rFonts w:hint="eastAsia" w:ascii="宋体" w:hAnsi="宋体" w:eastAsia="宋体" w:cs="宋体"/>
                <w:color w:val="0000FF"/>
                <w:kern w:val="0"/>
                <w:sz w:val="24"/>
                <w:szCs w:val="24"/>
                <w:u w:val="single"/>
              </w:rPr>
              <w:t>https://www.qz.gov.cn/art/2022/4/15/art_1229561563_2401146.html</w:t>
            </w:r>
            <w:r>
              <w:rPr>
                <w:rFonts w:hint="eastAsia" w:ascii="宋体" w:hAnsi="宋体" w:eastAsia="宋体" w:cs="宋体"/>
                <w:color w:val="0000FF"/>
                <w:kern w:val="0"/>
                <w:sz w:val="24"/>
                <w:szCs w:val="24"/>
                <w:u w:val="single"/>
              </w:rPr>
              <w:fldChar w:fldCharType="end"/>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建议予以保留</w:t>
            </w:r>
          </w:p>
        </w:tc>
        <w:tc>
          <w:tcPr>
            <w:tcW w:w="5528" w:type="dxa"/>
            <w:tcBorders>
              <w:top w:val="nil"/>
              <w:left w:val="nil"/>
              <w:bottom w:val="single" w:color="auto" w:sz="4" w:space="0"/>
              <w:right w:val="single" w:color="auto" w:sz="4" w:space="0"/>
            </w:tcBorders>
            <w:shd w:val="clear" w:color="auto" w:fill="auto"/>
            <w:vAlign w:val="center"/>
          </w:tcPr>
          <w:p>
            <w:pPr>
              <w:widowControl/>
              <w:jc w:val="left"/>
              <w:rPr>
                <w:rFonts w:ascii="仿宋_GB2312" w:hAnsi="宋体" w:eastAsia="仿宋_GB2312" w:cs="宋体"/>
                <w:kern w:val="0"/>
                <w:sz w:val="24"/>
                <w:szCs w:val="24"/>
              </w:rPr>
            </w:pPr>
            <w:r>
              <w:rPr>
                <w:rFonts w:hint="eastAsia" w:ascii="仿宋_GB2312" w:hAnsi="宋体" w:eastAsia="仿宋_GB2312" w:cs="宋体"/>
                <w:kern w:val="0"/>
                <w:sz w:val="24"/>
                <w:szCs w:val="24"/>
              </w:rPr>
              <w:t>该文件主要上位法依据为《国务院办公厅关于深化农村公路管理养护体制改革的意见》（国办发〔2019〕45号）、《浙江省人民政府办公厅关于深化农村公路管理养护体制改革实施意见》（浙政办发〔2020〕61号）等。经检索核查，该文件与上位法不存在明显抵触，对行政管理仍有意义，仍有继续执行</w:t>
            </w:r>
            <w:bookmarkStart w:id="0" w:name="_GoBack"/>
            <w:bookmarkEnd w:id="0"/>
            <w:r>
              <w:rPr>
                <w:rFonts w:hint="eastAsia" w:ascii="仿宋_GB2312" w:hAnsi="宋体" w:eastAsia="仿宋_GB2312" w:cs="宋体"/>
                <w:kern w:val="0"/>
                <w:sz w:val="24"/>
                <w:szCs w:val="24"/>
              </w:rPr>
              <w:t>必要。建议予以保留。</w:t>
            </w:r>
          </w:p>
        </w:tc>
        <w:tc>
          <w:tcPr>
            <w:tcW w:w="1123" w:type="dxa"/>
            <w:tcBorders>
              <w:top w:val="nil"/>
              <w:left w:val="nil"/>
              <w:bottom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继续有效</w:t>
            </w:r>
          </w:p>
        </w:tc>
      </w:tr>
      <w:tr>
        <w:tblPrEx>
          <w:tblCellMar>
            <w:top w:w="0" w:type="dxa"/>
            <w:left w:w="108" w:type="dxa"/>
            <w:bottom w:w="0" w:type="dxa"/>
            <w:right w:w="108" w:type="dxa"/>
          </w:tblCellMar>
        </w:tblPrEx>
        <w:trPr>
          <w:trHeight w:val="402" w:hRule="atLeast"/>
        </w:trPr>
        <w:tc>
          <w:tcPr>
            <w:tcW w:w="1044" w:type="dxa"/>
            <w:tcBorders>
              <w:top w:val="nil"/>
              <w:left w:val="nil"/>
              <w:bottom w:val="nil"/>
              <w:right w:val="nil"/>
            </w:tcBorders>
            <w:shd w:val="clear" w:color="auto" w:fill="auto"/>
            <w:noWrap/>
            <w:vAlign w:val="center"/>
          </w:tcPr>
          <w:p>
            <w:pPr>
              <w:widowControl/>
              <w:jc w:val="center"/>
              <w:rPr>
                <w:rFonts w:ascii="宋体" w:hAnsi="宋体" w:eastAsia="宋体" w:cs="宋体"/>
                <w:kern w:val="0"/>
                <w:sz w:val="24"/>
                <w:szCs w:val="24"/>
              </w:rPr>
            </w:pPr>
          </w:p>
        </w:tc>
        <w:tc>
          <w:tcPr>
            <w:tcW w:w="1498" w:type="dxa"/>
            <w:tcBorders>
              <w:top w:val="nil"/>
              <w:left w:val="nil"/>
              <w:bottom w:val="nil"/>
              <w:right w:val="nil"/>
            </w:tcBorders>
            <w:shd w:val="clear" w:color="auto" w:fill="auto"/>
            <w:noWrap/>
            <w:vAlign w:val="center"/>
          </w:tcPr>
          <w:p>
            <w:pPr>
              <w:widowControl/>
              <w:jc w:val="left"/>
              <w:rPr>
                <w:rFonts w:ascii="宋体" w:hAnsi="宋体" w:eastAsia="宋体" w:cs="宋体"/>
                <w:kern w:val="0"/>
                <w:sz w:val="24"/>
                <w:szCs w:val="24"/>
              </w:rPr>
            </w:pPr>
          </w:p>
        </w:tc>
        <w:tc>
          <w:tcPr>
            <w:tcW w:w="1214" w:type="dxa"/>
            <w:tcBorders>
              <w:top w:val="nil"/>
              <w:left w:val="nil"/>
              <w:bottom w:val="nil"/>
              <w:right w:val="nil"/>
            </w:tcBorders>
            <w:shd w:val="clear" w:color="auto" w:fill="auto"/>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xml:space="preserve"> </w:t>
            </w:r>
          </w:p>
        </w:tc>
        <w:tc>
          <w:tcPr>
            <w:tcW w:w="2496" w:type="dxa"/>
            <w:tcBorders>
              <w:top w:val="nil"/>
              <w:left w:val="nil"/>
              <w:bottom w:val="nil"/>
              <w:right w:val="nil"/>
            </w:tcBorders>
            <w:shd w:val="clear" w:color="auto" w:fill="auto"/>
            <w:vAlign w:val="center"/>
          </w:tcPr>
          <w:p>
            <w:pPr>
              <w:widowControl/>
              <w:jc w:val="center"/>
              <w:rPr>
                <w:rFonts w:ascii="宋体" w:hAnsi="宋体" w:eastAsia="宋体" w:cs="宋体"/>
                <w:kern w:val="0"/>
                <w:sz w:val="24"/>
                <w:szCs w:val="24"/>
              </w:rPr>
            </w:pPr>
          </w:p>
        </w:tc>
        <w:tc>
          <w:tcPr>
            <w:tcW w:w="1560" w:type="dxa"/>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p>
        </w:tc>
        <w:tc>
          <w:tcPr>
            <w:tcW w:w="5528" w:type="dxa"/>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p>
        </w:tc>
        <w:tc>
          <w:tcPr>
            <w:tcW w:w="1123" w:type="dxa"/>
            <w:tcBorders>
              <w:top w:val="nil"/>
              <w:left w:val="nil"/>
              <w:bottom w:val="nil"/>
              <w:right w:val="nil"/>
            </w:tcBorders>
            <w:shd w:val="clear" w:color="auto" w:fill="auto"/>
            <w:noWrap/>
            <w:vAlign w:val="center"/>
          </w:tcPr>
          <w:p>
            <w:pPr>
              <w:widowControl/>
              <w:jc w:val="left"/>
              <w:rPr>
                <w:rFonts w:ascii="宋体" w:hAnsi="宋体" w:eastAsia="宋体" w:cs="宋体"/>
                <w:kern w:val="0"/>
                <w:sz w:val="24"/>
                <w:szCs w:val="24"/>
              </w:rPr>
            </w:pPr>
          </w:p>
        </w:tc>
      </w:tr>
    </w:tbl>
    <w:p>
      <w:pPr>
        <w:ind w:firstLine="640" w:firstLineChars="200"/>
        <w:rPr>
          <w:rFonts w:ascii="仿宋_GB2312" w:eastAsia="仿宋_GB2312"/>
          <w:sz w:val="32"/>
          <w:szCs w:val="32"/>
        </w:rPr>
      </w:pPr>
    </w:p>
    <w:sectPr>
      <w:pgSz w:w="16838" w:h="11906" w:orient="landscape"/>
      <w:pgMar w:top="1797" w:right="1440" w:bottom="1797"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Noto Sans Ethiopic"/>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Noto Sans Ethiopic"/>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roman"/>
    <w:pitch w:val="default"/>
    <w:sig w:usb0="A00002BF" w:usb1="184F6CFA" w:usb2="00000012" w:usb3="00000000" w:csb0="00040001" w:csb1="00000000"/>
  </w:font>
  <w:font w:name="方正黑体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08D"/>
    <w:rsid w:val="001237EE"/>
    <w:rsid w:val="00456D04"/>
    <w:rsid w:val="00615D06"/>
    <w:rsid w:val="00A8708D"/>
    <w:rsid w:val="00BD708D"/>
    <w:rsid w:val="00CE7985"/>
    <w:rsid w:val="3EFFD0C1"/>
    <w:rsid w:val="6EB97D2B"/>
    <w:rsid w:val="6FB598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link w:val="10"/>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semiHidden/>
    <w:unhideWhenUsed/>
    <w:qFormat/>
    <w:uiPriority w:val="99"/>
    <w:rPr>
      <w:color w:val="0000FF"/>
      <w:u w:val="single"/>
    </w:rPr>
  </w:style>
  <w:style w:type="character" w:customStyle="1" w:styleId="8">
    <w:name w:val="页眉 Char"/>
    <w:basedOn w:val="6"/>
    <w:link w:val="4"/>
    <w:semiHidden/>
    <w:uiPriority w:val="99"/>
    <w:rPr>
      <w:sz w:val="18"/>
      <w:szCs w:val="18"/>
    </w:rPr>
  </w:style>
  <w:style w:type="character" w:customStyle="1" w:styleId="9">
    <w:name w:val="页脚 Char"/>
    <w:basedOn w:val="6"/>
    <w:link w:val="3"/>
    <w:semiHidden/>
    <w:qFormat/>
    <w:uiPriority w:val="99"/>
    <w:rPr>
      <w:sz w:val="18"/>
      <w:szCs w:val="18"/>
    </w:rPr>
  </w:style>
  <w:style w:type="character" w:customStyle="1" w:styleId="10">
    <w:name w:val="标题 2 Char"/>
    <w:basedOn w:val="6"/>
    <w:link w:val="2"/>
    <w:qFormat/>
    <w:uiPriority w:val="9"/>
    <w:rPr>
      <w:rFonts w:ascii="宋体" w:hAnsi="宋体" w:eastAsia="宋体" w:cs="宋体"/>
      <w:b/>
      <w:bCs/>
      <w:kern w:val="0"/>
      <w:sz w:val="36"/>
      <w:szCs w:val="36"/>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P R C</Company>
  <Pages>1</Pages>
  <Words>182</Words>
  <Characters>1044</Characters>
  <Lines>8</Lines>
  <Paragraphs>2</Paragraphs>
  <TotalTime>11</TotalTime>
  <ScaleCrop>false</ScaleCrop>
  <LinksUpToDate>false</LinksUpToDate>
  <CharactersWithSpaces>1224</CharactersWithSpaces>
  <Application>WPS Office_11.8.2.11958_F1E327BC-269C-435d-A152-05C5408002CA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2024-04-24T17:57:00Z</dcterms:created>
  <dc:creator>China</dc:creator>
  <cp:lastModifiedBy>quzhou</cp:lastModifiedBy>
  <dcterms:modified xsi:type="dcterms:W3CDTF">2024-05-07T10:59:43Z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2052-11.8.2.11958</vt:lpwstr>
  </property>
  <property fmtid="{D5CDD505-2E9C-101B-9397-08002B2CF9AE}" pid="3" name="ICV">
    <vt:lpwstr>E1064DC35D9323C87E98396641D62037</vt:lpwstr>
  </property>
</Properties>
</file>