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eastAsia" w:ascii="方正小标宋简体" w:hAnsi="方正小标宋简体" w:eastAsia="方正小标宋简体" w:cs="方正小标宋简体"/>
          <w:bCs/>
          <w:snapToGrid/>
          <w:color w:val="auto"/>
          <w:spacing w:val="6"/>
          <w:kern w:val="2"/>
          <w:sz w:val="44"/>
          <w:szCs w:val="44"/>
          <w:lang w:val="en-US" w:eastAsia="zh-CN"/>
        </w:rPr>
      </w:pPr>
      <w:r>
        <w:rPr>
          <w:rFonts w:hint="eastAsia" w:ascii="方正小标宋简体" w:hAnsi="方正小标宋简体" w:eastAsia="方正小标宋简体" w:cs="方正小标宋简体"/>
          <w:bCs/>
          <w:snapToGrid/>
          <w:color w:val="auto"/>
          <w:spacing w:val="6"/>
          <w:kern w:val="2"/>
          <w:sz w:val="44"/>
          <w:szCs w:val="44"/>
          <w:lang w:eastAsia="zh-CN"/>
        </w:rPr>
        <w:t>松阳县高标准农田建设工程设施管护实施细则（试行）（征求意见稿）</w:t>
      </w:r>
    </w:p>
    <w:p>
      <w:pPr>
        <w:widowControl w:val="0"/>
        <w:kinsoku/>
        <w:autoSpaceDE/>
        <w:autoSpaceDN/>
        <w:adjustRightInd/>
        <w:snapToGrid/>
        <w:spacing w:line="240" w:lineRule="auto"/>
        <w:jc w:val="center"/>
        <w:textAlignment w:val="auto"/>
        <w:rPr>
          <w:rFonts w:hint="eastAsia" w:asciiTheme="minorHAnsi" w:hAnsiTheme="minorHAnsi" w:eastAsiaTheme="minorEastAsia" w:cstheme="minorBidi"/>
          <w:snapToGrid/>
          <w:color w:val="auto"/>
          <w:kern w:val="2"/>
          <w:szCs w:val="24"/>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eastAsia"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一、总则</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（一）为全面加强高标准农田建设工程设施管护，构建权责明晰、运行有效的管护机制，巩固和提高粮食综合生产能力，根</w:t>
      </w:r>
      <w:bookmarkStart w:id="0" w:name="_GoBack"/>
      <w:bookmarkEnd w:id="0"/>
      <w:r>
        <w:rPr>
          <w:rFonts w:hint="eastAsia" w:ascii="仿宋_GB2312" w:hAnsi="仿宋_GB2312" w:eastAsia="仿宋_GB2312" w:cs="仿宋_GB2312"/>
          <w:b w:val="0"/>
          <w:snapToGrid/>
          <w:color w:val="auto"/>
          <w:spacing w:val="-6"/>
          <w:kern w:val="2"/>
          <w:sz w:val="32"/>
          <w:szCs w:val="32"/>
          <w:lang w:val="en-US" w:eastAsia="zh-CN" w:bidi="ar-SA"/>
        </w:rPr>
        <w:t>据《农田建设项目管理办法》《耕地建设与利用资金管理办法》《浙江省人民政府办公厅关于切实加强高标准农田建设高质量保障粮食综合生产能力的意见》和《浙江省农业农村厅浙江省财政厅关于印发浙江省高标准农田建设工程设施管护实施办法(试行)的通知》等规定，制定本实施细则。</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（二）高标准农田建设工程设施管护是指高标准农田建设项目竣工验收后，对工程设施开展日常管理、维修和养护，保障工程原设计功能在设计使用年限内正常运行。</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（三）本实施细则适用于全县已建成并按要求上图入库的高标准农田建设项目。</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（四）高标准农田建设工程设施，按照“谁所有、谁管护”“谁使用、谁管护”的原则进行管护。</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default"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二、管护职责和分工</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（一）按照“县负总责、乡镇主体、村级实施”的总体要求，明确管护职责及分工，确定管护主体，压实管护责任。</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（二）高标准建设项目竣工验收后，项目法人应在60日内将农田基础设施资产移交给乡镇人民政府、街道办事处、村级集体经济组织等，形成资产交付清单，明确管护要求。</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（三）办理资产移交手续后，乡镇（街道）要及时按受益和使用对象落实管护主体，并于20个工作日内报县农业农村局备案。管护移交手续中应当包含工程设施清单、管护责任和管护制度等。</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（四）管护主体是指乡镇人民政府、街道办事处、村级组织、土地承包人、土地经营权人等。</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（五）管护主体应自觉履行管护职责，明确管护人员，建立管护工作台账，开展日常检查和维护，保障工程设施完好有效。</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（六）乡镇人民政府、街道办事处、村级组织可自行承担管护或委托土地承包权人、土地经营权人、第三方社会化服务机构等开展日常管护工作。</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七）对于委托开展管护的，乡镇人民政府、街道办事处、村级组织应与管护承担方签订管护合同或协议。管护合同或协议中应明确双方信息、管护范围、管护内容、管护经费、管护要求、履行期限、违约责任等。</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（八）种粮大户、农民群众等作为农田建设工程设施的直接受益主体，应自觉维护农田建设工程设施，积极参与工程设施管护。</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default"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三、管护内容和要求</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（一）管护主体应加强农田基础设施维修、保养和防护，保障工程设施在设计使用年限内完好运行。</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1.灌溉与排水设施。保障塘堰(坝)、小型拦河坝、小型集雨设施、泵站、灌排渠道及配套建筑物、用水计量设施、节水灌溉工程及配套设施设备等能够正常使用，无安全隐患。</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2.田间道路。保障田间道(机耕路)、生产路路面平整，坡道、桥、涵等附属设施无破损，保持设计功能，能够正常使用。</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3.农田防护设施。保障农田防护林网及岸坡防护、沟道治理、环境保护等设施完好、功能正常。</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4.农田输配电设施。保障输电线路、变配电设施、弱电 设施及相关配套工程设施运行正常，围栏和警示标志完好清晰，低压输电线路满足灌排设施运行和信息化、数字化建设管理要求，及时消除老化、脱落、断裂等安全隐患。</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5.其他。保障公示牌、标识牌等设施完好清晰，监测设施正常运行。</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管护主体要落实具体管护人员，管护人员应熟悉管护区域内农田建设工程设施的数量、位置、性能和管护要求，熟练掌握相关设施设备的操作和维护要领。定期对农田工程设施开展巡查和维护，及时填写记录并存档。</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（三）对已损坏（毁）的农田建设工程设施，管护主体应采取必要的措施及时处置到位，保障工程正常运行。</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eastAsia"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四、管护资金和使用</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（一）鼓励乡镇（街道）、村级组织和农业经营主体自筹资金用于高标准农田工程设施管护。</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w:t>
      </w:r>
      <w:r>
        <w:rPr>
          <w:rFonts w:hint="default" w:ascii="仿宋_GB2312" w:hAnsi="仿宋_GB2312" w:eastAsia="仿宋_GB2312" w:cs="仿宋_GB2312"/>
          <w:b w:val="0"/>
          <w:snapToGrid/>
          <w:color w:val="auto"/>
          <w:spacing w:val="-6"/>
          <w:kern w:val="2"/>
          <w:sz w:val="32"/>
          <w:szCs w:val="32"/>
          <w:lang w:val="en-US" w:eastAsia="zh-CN" w:bidi="ar-SA"/>
        </w:rPr>
        <w:t>管护资金主要用于高标准农田建设工程设施维修养护、小型管护工具和必要监测设备的购置等。</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（三）</w:t>
      </w:r>
      <w:r>
        <w:rPr>
          <w:rFonts w:hint="default" w:ascii="仿宋_GB2312" w:hAnsi="仿宋_GB2312" w:eastAsia="仿宋_GB2312" w:cs="仿宋_GB2312"/>
          <w:b w:val="0"/>
          <w:snapToGrid/>
          <w:color w:val="auto"/>
          <w:spacing w:val="-6"/>
          <w:kern w:val="2"/>
          <w:sz w:val="32"/>
          <w:szCs w:val="32"/>
          <w:lang w:val="en-US" w:eastAsia="zh-CN" w:bidi="ar-SA"/>
        </w:rPr>
        <w:t>管护资金使用由</w:t>
      </w:r>
      <w:r>
        <w:rPr>
          <w:rFonts w:hint="eastAsia" w:ascii="仿宋_GB2312" w:hAnsi="仿宋_GB2312" w:eastAsia="仿宋_GB2312" w:cs="仿宋_GB2312"/>
          <w:b w:val="0"/>
          <w:snapToGrid/>
          <w:color w:val="auto"/>
          <w:spacing w:val="-6"/>
          <w:kern w:val="2"/>
          <w:sz w:val="32"/>
          <w:szCs w:val="32"/>
          <w:lang w:val="en-US" w:eastAsia="zh-CN" w:bidi="ar-SA"/>
        </w:rPr>
        <w:t>县级</w:t>
      </w:r>
      <w:r>
        <w:rPr>
          <w:rFonts w:hint="default" w:ascii="仿宋_GB2312" w:hAnsi="仿宋_GB2312" w:eastAsia="仿宋_GB2312" w:cs="仿宋_GB2312"/>
          <w:b w:val="0"/>
          <w:snapToGrid/>
          <w:color w:val="auto"/>
          <w:spacing w:val="-6"/>
          <w:kern w:val="2"/>
          <w:sz w:val="32"/>
          <w:szCs w:val="32"/>
          <w:lang w:val="en-US" w:eastAsia="zh-CN" w:bidi="ar-SA"/>
        </w:rPr>
        <w:t>农业农村</w:t>
      </w:r>
      <w:r>
        <w:rPr>
          <w:rFonts w:hint="eastAsia" w:ascii="仿宋_GB2312" w:hAnsi="仿宋_GB2312" w:eastAsia="仿宋_GB2312" w:cs="仿宋_GB2312"/>
          <w:b w:val="0"/>
          <w:snapToGrid/>
          <w:color w:val="auto"/>
          <w:spacing w:val="-6"/>
          <w:kern w:val="2"/>
          <w:sz w:val="32"/>
          <w:szCs w:val="32"/>
          <w:lang w:val="en-US" w:eastAsia="zh-CN" w:bidi="ar-SA"/>
        </w:rPr>
        <w:t>主管部门</w:t>
      </w:r>
      <w:r>
        <w:rPr>
          <w:rFonts w:hint="default" w:ascii="仿宋_GB2312" w:hAnsi="仿宋_GB2312" w:eastAsia="仿宋_GB2312" w:cs="仿宋_GB2312"/>
          <w:b w:val="0"/>
          <w:snapToGrid/>
          <w:color w:val="auto"/>
          <w:spacing w:val="-6"/>
          <w:kern w:val="2"/>
          <w:sz w:val="32"/>
          <w:szCs w:val="32"/>
          <w:lang w:val="en-US" w:eastAsia="zh-CN" w:bidi="ar-SA"/>
        </w:rPr>
        <w:t>联合财政部门下达资金分配计划后，乡镇（街道）对所在辖区内的农田基础设施的管护下达实施计划，每次管护资金的使用都需填写农田基础设施管护资金使用表（见附表），此表一式两份，乡镇（街道）和农业农村主管部门各一份。管护项目完成后，乡镇（街道）应及时组织验收，拨付资金，将所有项目资料（含资金拨付资料）分类归档，同时报农业农村局一份归档，资料应当确保完整、真实。</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（四）</w:t>
      </w:r>
      <w:r>
        <w:rPr>
          <w:rFonts w:hint="default" w:ascii="仿宋_GB2312" w:hAnsi="仿宋_GB2312" w:eastAsia="仿宋_GB2312" w:cs="仿宋_GB2312"/>
          <w:b w:val="0"/>
          <w:snapToGrid/>
          <w:color w:val="auto"/>
          <w:spacing w:val="-6"/>
          <w:kern w:val="2"/>
          <w:sz w:val="32"/>
          <w:szCs w:val="32"/>
          <w:lang w:val="en-US" w:eastAsia="zh-CN" w:bidi="ar-SA"/>
        </w:rPr>
        <w:t>任何单位、个人不得截留、挤占和挪用管护资金，不得用于兴建楼堂馆所</w:t>
      </w:r>
      <w:r>
        <w:rPr>
          <w:rFonts w:hint="eastAsia" w:ascii="仿宋_GB2312" w:hAnsi="仿宋_GB2312" w:eastAsia="仿宋_GB2312" w:cs="仿宋_GB2312"/>
          <w:b w:val="0"/>
          <w:snapToGrid/>
          <w:color w:val="auto"/>
          <w:spacing w:val="-6"/>
          <w:kern w:val="2"/>
          <w:sz w:val="32"/>
          <w:szCs w:val="32"/>
          <w:lang w:val="en-US" w:eastAsia="zh-CN" w:bidi="ar-SA"/>
        </w:rPr>
        <w:t>、</w:t>
      </w:r>
      <w:r>
        <w:rPr>
          <w:rFonts w:hint="default" w:ascii="仿宋_GB2312" w:hAnsi="仿宋_GB2312" w:eastAsia="仿宋_GB2312" w:cs="仿宋_GB2312"/>
          <w:b w:val="0"/>
          <w:snapToGrid/>
          <w:color w:val="auto"/>
          <w:spacing w:val="-6"/>
          <w:kern w:val="2"/>
          <w:sz w:val="32"/>
          <w:szCs w:val="32"/>
          <w:lang w:val="en-US" w:eastAsia="zh-CN" w:bidi="ar-SA"/>
        </w:rPr>
        <w:t>弥补预算支出缺口等与</w:t>
      </w:r>
      <w:r>
        <w:rPr>
          <w:rFonts w:hint="eastAsia" w:ascii="仿宋_GB2312" w:hAnsi="仿宋_GB2312" w:eastAsia="仿宋_GB2312" w:cs="仿宋_GB2312"/>
          <w:b w:val="0"/>
          <w:snapToGrid/>
          <w:color w:val="auto"/>
          <w:spacing w:val="-6"/>
          <w:kern w:val="2"/>
          <w:sz w:val="32"/>
          <w:szCs w:val="32"/>
          <w:lang w:val="en-US" w:eastAsia="zh-CN" w:bidi="ar-SA"/>
        </w:rPr>
        <w:t>高标准</w:t>
      </w:r>
      <w:r>
        <w:rPr>
          <w:rFonts w:hint="default" w:ascii="仿宋_GB2312" w:hAnsi="仿宋_GB2312" w:eastAsia="仿宋_GB2312" w:cs="仿宋_GB2312"/>
          <w:b w:val="0"/>
          <w:snapToGrid/>
          <w:color w:val="auto"/>
          <w:spacing w:val="-6"/>
          <w:kern w:val="2"/>
          <w:sz w:val="32"/>
          <w:szCs w:val="32"/>
          <w:lang w:val="en-US" w:eastAsia="zh-CN" w:bidi="ar-SA"/>
        </w:rPr>
        <w:t>农田建设工程管护无关的支出。</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（五）管护资金实行专款专用，使用情况必须公开，自觉接受县农业农村局、县财政局及审计部门对管护资金的管理和使用情况的监督检查。</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eastAsia"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五、监督与考核</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（一）加大高标准农田工程设施管护领域违法行为的打击力度，对破坏、损毁高标准农田工程设施，寻衅滋事、阻碍管护工作正常开展的组织和个人，交由有权部门追究相应责任。</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（二）对于存在弄虚作假、骗取管护资金、玩忽职守等行为的，由相关部门依法查处；造成损失的，依法承担赔偿责任；构成犯罪的，依法追究刑事责任。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lang w:val="en-US" w:eastAsia="zh-CN"/>
        </w:rPr>
      </w:pPr>
      <w:r>
        <w:rPr>
          <w:rFonts w:hint="eastAsia" w:ascii="仿宋_GB2312" w:hAnsi="仿宋_GB2312" w:eastAsia="仿宋_GB2312" w:cs="仿宋_GB2312"/>
          <w:b w:val="0"/>
          <w:snapToGrid/>
          <w:color w:val="auto"/>
          <w:spacing w:val="-6"/>
          <w:kern w:val="2"/>
          <w:sz w:val="32"/>
          <w:szCs w:val="32"/>
          <w:lang w:val="en-US" w:eastAsia="zh-CN" w:bidi="ar-SA"/>
        </w:rPr>
        <w:t>（三）因管护人员不认真履行职责，造成管护不到位的，扣减报酬，造成管护责任区的工程设施严重损毁的，按照合同约定解除管护合同，并追究管护人员的责任。</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jc w:val="left"/>
        <w:textAlignment w:val="auto"/>
        <w:rPr>
          <w:rFonts w:hint="default" w:ascii="黑体" w:hAnsi="黑体" w:eastAsia="黑体" w:cs="黑体"/>
          <w:b w:val="0"/>
          <w:bCs w:val="0"/>
          <w:snapToGrid/>
          <w:color w:val="auto"/>
          <w:spacing w:val="-6"/>
          <w:kern w:val="2"/>
          <w:sz w:val="32"/>
          <w:szCs w:val="32"/>
          <w:lang w:val="en-US" w:eastAsia="zh-CN"/>
        </w:rPr>
      </w:pPr>
      <w:r>
        <w:rPr>
          <w:rFonts w:hint="eastAsia" w:ascii="黑体" w:hAnsi="黑体" w:eastAsia="黑体" w:cs="黑体"/>
          <w:b w:val="0"/>
          <w:bCs w:val="0"/>
          <w:snapToGrid/>
          <w:color w:val="auto"/>
          <w:spacing w:val="-6"/>
          <w:kern w:val="2"/>
          <w:sz w:val="32"/>
          <w:szCs w:val="32"/>
          <w:lang w:val="en-US" w:eastAsia="zh-CN"/>
        </w:rPr>
        <w:t>六、</w:t>
      </w:r>
      <w:r>
        <w:rPr>
          <w:rFonts w:hint="default" w:ascii="黑体" w:hAnsi="黑体" w:eastAsia="黑体" w:cs="黑体"/>
          <w:b w:val="0"/>
          <w:bCs w:val="0"/>
          <w:snapToGrid/>
          <w:color w:val="auto"/>
          <w:spacing w:val="-6"/>
          <w:kern w:val="2"/>
          <w:sz w:val="32"/>
          <w:szCs w:val="32"/>
          <w:lang w:val="en-US" w:eastAsia="zh-CN"/>
        </w:rPr>
        <w:t>附则</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eastAsia"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（一）</w:t>
      </w:r>
      <w:r>
        <w:rPr>
          <w:rFonts w:hint="default" w:ascii="仿宋_GB2312" w:hAnsi="仿宋_GB2312" w:eastAsia="仿宋_GB2312" w:cs="仿宋_GB2312"/>
          <w:b w:val="0"/>
          <w:snapToGrid/>
          <w:color w:val="auto"/>
          <w:spacing w:val="-6"/>
          <w:kern w:val="2"/>
          <w:sz w:val="32"/>
          <w:szCs w:val="32"/>
          <w:lang w:val="en-US" w:eastAsia="zh-CN" w:bidi="ar-SA"/>
        </w:rPr>
        <w:t>本</w:t>
      </w:r>
      <w:r>
        <w:rPr>
          <w:rFonts w:hint="eastAsia" w:ascii="仿宋_GB2312" w:hAnsi="仿宋_GB2312" w:eastAsia="仿宋_GB2312" w:cs="仿宋_GB2312"/>
          <w:b w:val="0"/>
          <w:snapToGrid/>
          <w:color w:val="auto"/>
          <w:spacing w:val="-6"/>
          <w:kern w:val="2"/>
          <w:sz w:val="32"/>
          <w:szCs w:val="32"/>
          <w:lang w:val="en-US" w:eastAsia="zh-CN" w:bidi="ar-SA"/>
        </w:rPr>
        <w:t>实施细则</w:t>
      </w:r>
      <w:r>
        <w:rPr>
          <w:rFonts w:hint="default" w:ascii="仿宋_GB2312" w:hAnsi="仿宋_GB2312" w:eastAsia="仿宋_GB2312" w:cs="仿宋_GB2312"/>
          <w:b w:val="0"/>
          <w:snapToGrid/>
          <w:color w:val="auto"/>
          <w:spacing w:val="-6"/>
          <w:kern w:val="2"/>
          <w:sz w:val="32"/>
          <w:szCs w:val="32"/>
          <w:lang w:val="en-US" w:eastAsia="zh-CN" w:bidi="ar-SA"/>
        </w:rPr>
        <w:t>自</w:t>
      </w:r>
      <w:r>
        <w:rPr>
          <w:rFonts w:hint="eastAsia" w:ascii="仿宋_GB2312" w:hAnsi="仿宋_GB2312" w:eastAsia="仿宋_GB2312" w:cs="仿宋_GB2312"/>
          <w:b w:val="0"/>
          <w:snapToGrid/>
          <w:color w:val="auto"/>
          <w:spacing w:val="-6"/>
          <w:kern w:val="2"/>
          <w:sz w:val="32"/>
          <w:szCs w:val="32"/>
          <w:lang w:val="en-US" w:eastAsia="zh-CN" w:bidi="ar-SA"/>
        </w:rPr>
        <w:t>****</w:t>
      </w:r>
      <w:r>
        <w:rPr>
          <w:rFonts w:hint="default" w:ascii="仿宋_GB2312" w:hAnsi="仿宋_GB2312" w:eastAsia="仿宋_GB2312" w:cs="仿宋_GB2312"/>
          <w:b w:val="0"/>
          <w:snapToGrid/>
          <w:color w:val="auto"/>
          <w:spacing w:val="-6"/>
          <w:kern w:val="2"/>
          <w:sz w:val="32"/>
          <w:szCs w:val="32"/>
          <w:lang w:val="en-US" w:eastAsia="zh-CN" w:bidi="ar-SA"/>
        </w:rPr>
        <w:t>年</w:t>
      </w:r>
      <w:r>
        <w:rPr>
          <w:rFonts w:hint="eastAsia" w:ascii="仿宋_GB2312" w:hAnsi="仿宋_GB2312" w:eastAsia="仿宋_GB2312" w:cs="仿宋_GB2312"/>
          <w:b w:val="0"/>
          <w:snapToGrid/>
          <w:color w:val="auto"/>
          <w:spacing w:val="-6"/>
          <w:kern w:val="2"/>
          <w:sz w:val="32"/>
          <w:szCs w:val="32"/>
          <w:lang w:val="en-US" w:eastAsia="zh-CN" w:bidi="ar-SA"/>
        </w:rPr>
        <w:t>**</w:t>
      </w:r>
      <w:r>
        <w:rPr>
          <w:rFonts w:hint="default" w:ascii="仿宋_GB2312" w:hAnsi="仿宋_GB2312" w:eastAsia="仿宋_GB2312" w:cs="仿宋_GB2312"/>
          <w:b w:val="0"/>
          <w:snapToGrid/>
          <w:color w:val="auto"/>
          <w:spacing w:val="-6"/>
          <w:kern w:val="2"/>
          <w:sz w:val="32"/>
          <w:szCs w:val="32"/>
          <w:lang w:val="en-US" w:eastAsia="zh-CN" w:bidi="ar-SA"/>
        </w:rPr>
        <w:t>月</w:t>
      </w:r>
      <w:r>
        <w:rPr>
          <w:rFonts w:hint="eastAsia" w:ascii="仿宋_GB2312" w:hAnsi="仿宋_GB2312" w:eastAsia="仿宋_GB2312" w:cs="仿宋_GB2312"/>
          <w:b w:val="0"/>
          <w:snapToGrid/>
          <w:color w:val="auto"/>
          <w:spacing w:val="-6"/>
          <w:kern w:val="2"/>
          <w:sz w:val="32"/>
          <w:szCs w:val="32"/>
          <w:lang w:val="en-US" w:eastAsia="zh-CN" w:bidi="ar-SA"/>
        </w:rPr>
        <w:t>**</w:t>
      </w:r>
      <w:r>
        <w:rPr>
          <w:rFonts w:hint="default" w:ascii="仿宋_GB2312" w:hAnsi="仿宋_GB2312" w:eastAsia="仿宋_GB2312" w:cs="仿宋_GB2312"/>
          <w:b w:val="0"/>
          <w:snapToGrid/>
          <w:color w:val="auto"/>
          <w:spacing w:val="-6"/>
          <w:kern w:val="2"/>
          <w:sz w:val="32"/>
          <w:szCs w:val="32"/>
          <w:lang w:val="en-US" w:eastAsia="zh-CN" w:bidi="ar-SA"/>
        </w:rPr>
        <w:t>日起施行</w:t>
      </w:r>
      <w:r>
        <w:rPr>
          <w:rFonts w:hint="eastAsia" w:ascii="仿宋_GB2312" w:hAnsi="仿宋_GB2312" w:eastAsia="仿宋_GB2312" w:cs="仿宋_GB2312"/>
          <w:b w:val="0"/>
          <w:snapToGrid/>
          <w:color w:val="auto"/>
          <w:spacing w:val="-6"/>
          <w:kern w:val="2"/>
          <w:sz w:val="32"/>
          <w:szCs w:val="32"/>
          <w:lang w:val="en-US" w:eastAsia="zh-CN" w:bidi="ar-SA"/>
        </w:rPr>
        <w:t>，由县农业农村局、县财政局负责解释。</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r>
        <w:rPr>
          <w:rFonts w:hint="eastAsia" w:ascii="仿宋_GB2312" w:hAnsi="仿宋_GB2312" w:eastAsia="仿宋_GB2312" w:cs="仿宋_GB2312"/>
          <w:b w:val="0"/>
          <w:snapToGrid/>
          <w:color w:val="auto"/>
          <w:spacing w:val="-6"/>
          <w:kern w:val="2"/>
          <w:sz w:val="32"/>
          <w:szCs w:val="32"/>
          <w:lang w:val="en-US" w:eastAsia="zh-CN" w:bidi="ar-SA"/>
        </w:rPr>
        <w:t>（二）本实施细则试行期间，如遇上级出台新的政策规定，以上级文件为准</w:t>
      </w:r>
      <w:r>
        <w:rPr>
          <w:rFonts w:hint="default" w:ascii="仿宋_GB2312" w:hAnsi="仿宋_GB2312" w:eastAsia="仿宋_GB2312" w:cs="仿宋_GB2312"/>
          <w:b w:val="0"/>
          <w:snapToGrid/>
          <w:color w:val="auto"/>
          <w:spacing w:val="-6"/>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left"/>
        <w:textAlignment w:val="auto"/>
        <w:rPr>
          <w:rFonts w:hint="default" w:ascii="仿宋_GB2312" w:hAnsi="仿宋_GB2312" w:eastAsia="仿宋_GB2312" w:cs="仿宋_GB2312"/>
          <w:b w:val="0"/>
          <w:snapToGrid/>
          <w:color w:val="auto"/>
          <w:spacing w:val="-6"/>
          <w:kern w:val="2"/>
          <w:sz w:val="32"/>
          <w:szCs w:val="32"/>
          <w:lang w:val="en-US" w:eastAsia="zh-CN" w:bidi="ar-SA"/>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numPr>
          <w:ilvl w:val="0"/>
          <w:numId w:val="0"/>
        </w:numPr>
        <w:ind w:firstLine="0" w:firstLineChars="0"/>
        <w:jc w:val="left"/>
        <w:rPr>
          <w:rFonts w:hint="default" w:eastAsia="宋体"/>
          <w:color w:val="auto"/>
          <w:lang w:val="en-US" w:eastAsia="zh-CN"/>
        </w:rPr>
      </w:pPr>
    </w:p>
    <w:p>
      <w:pPr>
        <w:pStyle w:val="2"/>
        <w:ind w:firstLine="0" w:firstLineChars="0"/>
        <w:rPr>
          <w:rFonts w:hint="default" w:eastAsia="宋体"/>
          <w:color w:val="auto"/>
          <w:lang w:val="en-US" w:eastAsia="zh-CN"/>
        </w:rPr>
      </w:pPr>
    </w:p>
    <w:p>
      <w:pPr>
        <w:ind w:firstLine="0" w:firstLineChars="0"/>
        <w:rPr>
          <w:rFonts w:hint="default" w:eastAsia="宋体"/>
          <w:color w:val="auto"/>
          <w:lang w:val="en-US" w:eastAsia="zh-CN"/>
        </w:rPr>
      </w:pPr>
    </w:p>
    <w:p>
      <w:pPr>
        <w:pStyle w:val="2"/>
        <w:ind w:firstLine="0" w:firstLineChars="0"/>
        <w:rPr>
          <w:rFonts w:hint="default" w:eastAsia="宋体"/>
          <w:color w:val="auto"/>
          <w:lang w:val="en-US" w:eastAsia="zh-CN"/>
        </w:rPr>
      </w:pPr>
    </w:p>
    <w:p>
      <w:pPr>
        <w:ind w:firstLine="0" w:firstLineChars="0"/>
        <w:rPr>
          <w:rFonts w:hint="default" w:eastAsia="宋体"/>
          <w:color w:val="auto"/>
          <w:lang w:val="en-US" w:eastAsia="zh-CN"/>
        </w:rPr>
      </w:pPr>
    </w:p>
    <w:p>
      <w:pPr>
        <w:pStyle w:val="2"/>
        <w:ind w:firstLine="0" w:firstLineChars="0"/>
        <w:rPr>
          <w:rFonts w:hint="default" w:eastAsia="宋体"/>
          <w:color w:val="auto"/>
          <w:lang w:val="en-US" w:eastAsia="zh-CN"/>
        </w:rPr>
      </w:pPr>
    </w:p>
    <w:p>
      <w:pPr>
        <w:ind w:firstLine="0" w:firstLineChars="0"/>
        <w:rPr>
          <w:rFonts w:hint="default" w:eastAsia="宋体"/>
          <w:color w:val="auto"/>
          <w:lang w:val="en-US" w:eastAsia="zh-CN"/>
        </w:rPr>
      </w:pPr>
    </w:p>
    <w:p>
      <w:pPr>
        <w:numPr>
          <w:ilvl w:val="0"/>
          <w:numId w:val="0"/>
        </w:numPr>
        <w:ind w:firstLine="420" w:firstLineChars="200"/>
        <w:jc w:val="left"/>
        <w:rPr>
          <w:rFonts w:hint="default" w:eastAsia="宋体"/>
          <w:color w:val="auto"/>
          <w:lang w:val="en-US" w:eastAsia="zh-CN"/>
        </w:rPr>
      </w:pPr>
    </w:p>
    <w:p>
      <w:pPr>
        <w:rPr>
          <w:rFonts w:hint="default"/>
          <w:color w:val="auto"/>
          <w:lang w:val="en-US" w:eastAsia="zh-CN"/>
        </w:rPr>
      </w:pPr>
      <w:r>
        <w:rPr>
          <w:rFonts w:hint="eastAsia"/>
          <w:color w:val="auto"/>
          <w:lang w:eastAsia="zh-CN"/>
        </w:rPr>
        <w:t>附表</w:t>
      </w:r>
    </w:p>
    <w:p>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农田基础设施管护资金使用表</w:t>
      </w:r>
    </w:p>
    <w:p>
      <w:pPr>
        <w:rPr>
          <w:rFonts w:hint="eastAsia"/>
          <w:lang w:val="en-US" w:eastAsia="zh-CN"/>
        </w:rPr>
      </w:pPr>
    </w:p>
    <w:p>
      <w:pPr>
        <w:spacing w:after="157" w:afterLines="50"/>
        <w:ind w:firstLine="0" w:firstLineChars="0"/>
        <w:rPr>
          <w:rFonts w:hint="default"/>
          <w:color w:val="auto"/>
          <w:lang w:val="en-US" w:eastAsia="zh-CN"/>
        </w:rPr>
      </w:pPr>
      <w:r>
        <w:rPr>
          <w:rFonts w:hint="eastAsia"/>
          <w:color w:val="auto"/>
          <w:lang w:val="en-US" w:eastAsia="zh-CN"/>
        </w:rPr>
        <w:t>乡镇（街道）：</w:t>
      </w:r>
    </w:p>
    <w:tbl>
      <w:tblPr>
        <w:tblStyle w:val="6"/>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0"/>
        <w:gridCol w:w="2354"/>
        <w:gridCol w:w="1831"/>
        <w:gridCol w:w="3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管护</w:t>
            </w:r>
            <w:r>
              <w:rPr>
                <w:rFonts w:hint="eastAsia" w:asciiTheme="minorHAnsi" w:hAnsiTheme="minorHAnsi" w:eastAsiaTheme="minorEastAsia" w:cstheme="minorBidi"/>
                <w:i w:val="0"/>
                <w:iCs w:val="0"/>
                <w:color w:val="auto"/>
                <w:kern w:val="2"/>
                <w:sz w:val="21"/>
                <w:szCs w:val="24"/>
                <w:u w:val="none"/>
                <w:lang w:val="en-US" w:eastAsia="zh-CN" w:bidi="ar"/>
              </w:rPr>
              <w:br w:type="textWrapping"/>
            </w:r>
            <w:r>
              <w:rPr>
                <w:rFonts w:hint="eastAsia" w:asciiTheme="minorHAnsi" w:hAnsiTheme="minorHAnsi" w:eastAsiaTheme="minorEastAsia" w:cstheme="minorBidi"/>
                <w:i w:val="0"/>
                <w:iCs w:val="0"/>
                <w:color w:val="auto"/>
                <w:kern w:val="2"/>
                <w:sz w:val="21"/>
                <w:szCs w:val="24"/>
                <w:u w:val="none"/>
                <w:lang w:val="en-US" w:eastAsia="zh-CN" w:bidi="ar"/>
              </w:rPr>
              <w:t>计划</w:t>
            </w: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管护</w:t>
            </w:r>
            <w:r>
              <w:rPr>
                <w:rFonts w:hint="eastAsia" w:asciiTheme="minorHAnsi" w:hAnsiTheme="minorHAnsi" w:eastAsiaTheme="minorEastAsia" w:cstheme="minorBidi"/>
                <w:i w:val="0"/>
                <w:iCs w:val="0"/>
                <w:color w:val="auto"/>
                <w:kern w:val="2"/>
                <w:sz w:val="21"/>
                <w:szCs w:val="24"/>
                <w:u w:val="none"/>
                <w:lang w:val="en-US" w:eastAsia="zh-CN" w:bidi="ar"/>
              </w:rPr>
              <w:br w:type="textWrapping"/>
            </w:r>
            <w:r>
              <w:rPr>
                <w:rFonts w:hint="eastAsia" w:asciiTheme="minorHAnsi" w:hAnsiTheme="minorHAnsi" w:eastAsiaTheme="minorEastAsia" w:cstheme="minorBidi"/>
                <w:i w:val="0"/>
                <w:iCs w:val="0"/>
                <w:color w:val="auto"/>
                <w:kern w:val="2"/>
                <w:sz w:val="21"/>
                <w:szCs w:val="24"/>
                <w:u w:val="none"/>
                <w:lang w:val="en-US" w:eastAsia="zh-CN" w:bidi="ar"/>
              </w:rPr>
              <w:t>地点</w:t>
            </w: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计划管护资金（万元）</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8"/>
                <w:szCs w:val="2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Theme="minorHAnsi" w:hAnsiTheme="minorHAnsi" w:eastAsiaTheme="minorEastAsia" w:cstheme="minorBidi"/>
                <w:i w:val="0"/>
                <w:iCs w:val="0"/>
                <w:color w:val="auto"/>
                <w:kern w:val="2"/>
                <w:sz w:val="21"/>
                <w:szCs w:val="24"/>
                <w:highlight w:val="none"/>
                <w:u w:val="none"/>
                <w:lang w:val="en-US" w:eastAsia="zh-CN" w:bidi="ar"/>
              </w:rPr>
              <w:t>计划完</w:t>
            </w:r>
            <w:r>
              <w:rPr>
                <w:rFonts w:hint="eastAsia" w:asciiTheme="minorHAnsi" w:hAnsiTheme="minorHAnsi" w:eastAsiaTheme="minorEastAsia" w:cstheme="minorBidi"/>
                <w:i w:val="0"/>
                <w:iCs w:val="0"/>
                <w:color w:val="auto"/>
                <w:kern w:val="2"/>
                <w:sz w:val="21"/>
                <w:szCs w:val="24"/>
                <w:highlight w:val="none"/>
                <w:u w:val="none"/>
                <w:lang w:val="en-US" w:eastAsia="zh-CN" w:bidi="ar"/>
              </w:rPr>
              <w:br w:type="textWrapping"/>
            </w:r>
            <w:r>
              <w:rPr>
                <w:rFonts w:hint="eastAsia" w:asciiTheme="minorHAnsi" w:hAnsiTheme="minorHAnsi" w:eastAsiaTheme="minorEastAsia" w:cstheme="minorBidi"/>
                <w:i w:val="0"/>
                <w:iCs w:val="0"/>
                <w:color w:val="auto"/>
                <w:kern w:val="2"/>
                <w:sz w:val="21"/>
                <w:szCs w:val="24"/>
                <w:highlight w:val="none"/>
                <w:u w:val="none"/>
                <w:lang w:val="en-US" w:eastAsia="zh-CN" w:bidi="ar"/>
              </w:rPr>
              <w:t>成时限</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各级意见</w:t>
            </w: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村级意见（项目所在的每个村都需签字盖章）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jc w:val="center"/>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heme="minorHAnsi" w:hAnsiTheme="minorHAnsi" w:eastAsiaTheme="minorEastAsia" w:cstheme="minorBidi"/>
                <w:i w:val="0"/>
                <w:iCs w:val="0"/>
                <w:color w:val="auto"/>
                <w:kern w:val="2"/>
                <w:sz w:val="21"/>
                <w:szCs w:val="24"/>
                <w:u w:val="none"/>
                <w:lang w:val="en-US" w:eastAsia="zh-CN" w:bidi="ar"/>
              </w:rPr>
              <w:t>乡镇（街道）意见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c>
          <w:tcPr>
            <w:tcW w:w="7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bl>
    <w:p>
      <w:pPr>
        <w:ind w:firstLine="0" w:firstLineChars="0"/>
        <w:rPr>
          <w:rFonts w:hint="default"/>
          <w:color w:val="auto"/>
          <w:lang w:val="en-US" w:eastAsia="zh-CN"/>
        </w:rPr>
      </w:pPr>
      <w:r>
        <w:rPr>
          <w:rFonts w:hint="eastAsia" w:asciiTheme="minorHAnsi" w:hAnsiTheme="minorHAnsi" w:eastAsiaTheme="minorEastAsia" w:cstheme="minorBidi"/>
          <w:i w:val="0"/>
          <w:iCs w:val="0"/>
          <w:color w:val="auto"/>
          <w:kern w:val="2"/>
          <w:sz w:val="21"/>
          <w:szCs w:val="24"/>
          <w:u w:val="none"/>
          <w:lang w:val="en-US" w:eastAsia="zh-CN" w:bidi="ar"/>
        </w:rPr>
        <w:t>注：本表一式二份，乡镇（街道）和农业农村局各一份。管护项目完成后，乡镇（街道）应及时组织验收，拨付资金，将所有项目资料（含资金拨付资料）分类归档，同时报农业农村局一份归档。</w:t>
      </w:r>
    </w:p>
    <w:p>
      <w:pPr>
        <w:numPr>
          <w:ilvl w:val="0"/>
          <w:numId w:val="0"/>
        </w:numPr>
        <w:jc w:val="left"/>
        <w:rPr>
          <w:rFonts w:hint="default" w:eastAsia="宋体"/>
          <w:color w:val="auto"/>
          <w:lang w:val="en-US" w:eastAsia="zh-CN"/>
        </w:rPr>
      </w:pPr>
    </w:p>
    <w:sectPr>
      <w:footerReference r:id="rId5" w:type="default"/>
      <w:pgSz w:w="11906" w:h="16838"/>
      <w:pgMar w:top="1928" w:right="1417" w:bottom="1531" w:left="1417" w:header="851" w:footer="147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A2CB6"/>
    <w:rsid w:val="0A524715"/>
    <w:rsid w:val="0A8A32B3"/>
    <w:rsid w:val="0F7379D0"/>
    <w:rsid w:val="0FB53BC2"/>
    <w:rsid w:val="11676F24"/>
    <w:rsid w:val="26B62FA8"/>
    <w:rsid w:val="27A56102"/>
    <w:rsid w:val="2A960949"/>
    <w:rsid w:val="2E794D94"/>
    <w:rsid w:val="35497D7A"/>
    <w:rsid w:val="36216B63"/>
    <w:rsid w:val="3A470EE0"/>
    <w:rsid w:val="3B8815A9"/>
    <w:rsid w:val="54802301"/>
    <w:rsid w:val="56F35562"/>
    <w:rsid w:val="60C63FF4"/>
    <w:rsid w:val="623F6B2C"/>
    <w:rsid w:val="66AB3B0D"/>
    <w:rsid w:val="6B632E7D"/>
    <w:rsid w:val="6DEF66F2"/>
    <w:rsid w:val="6F1A7BDF"/>
    <w:rsid w:val="729511AA"/>
    <w:rsid w:val="7BED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pPr>
  </w:style>
  <w:style w:type="paragraph" w:styleId="3">
    <w:name w:val="Body Text"/>
    <w:basedOn w:val="1"/>
    <w:semiHidden/>
    <w:qFormat/>
    <w:uiPriority w:val="0"/>
    <w:rPr>
      <w:rFonts w:ascii="宋体" w:hAnsi="宋体" w:eastAsia="宋体" w:cs="宋体"/>
      <w:sz w:val="68"/>
      <w:szCs w:val="6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2024-01-08T02:02:00Z</dcterms:created>
  <dc:creator>syks</dc:creator>
  <cp:lastModifiedBy>潘磊</cp:lastModifiedBy>
  <dcterms:modified xsi:type="dcterms:W3CDTF">2024-05-06T02:49:03Z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14AC7F3FADB440FC8A4C2A9F004415B0</vt:lpwstr>
  </property>
</Properties>
</file>