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63592">
      <w:pPr>
        <w:adjustRightInd w:val="0"/>
        <w:snapToGrid w:val="0"/>
        <w:spacing w:line="594" w:lineRule="exact"/>
        <w:jc w:val="center"/>
        <w:rPr>
          <w:rFonts w:eastAsia="方正小标宋简体" w:cs="方正仿宋简体"/>
          <w:color w:val="000000"/>
          <w:sz w:val="32"/>
          <w:szCs w:val="32"/>
        </w:rPr>
      </w:pPr>
      <w:bookmarkStart w:id="0" w:name="_Hlk102659035"/>
      <w:r>
        <w:rPr>
          <w:rFonts w:hint="eastAsia" w:eastAsia="方正小标宋简体" w:cs="方正仿宋简体"/>
          <w:color w:val="000000"/>
          <w:sz w:val="32"/>
          <w:szCs w:val="32"/>
          <w:lang w:val="en-US" w:eastAsia="zh-CN"/>
        </w:rPr>
        <w:t>路桥区</w:t>
      </w:r>
      <w:r>
        <w:rPr>
          <w:rFonts w:hint="eastAsia" w:eastAsia="方正小标宋简体" w:cs="方正仿宋简体"/>
          <w:color w:val="000000"/>
          <w:sz w:val="32"/>
          <w:szCs w:val="32"/>
        </w:rPr>
        <w:t>塑料一次性餐饮具</w:t>
      </w:r>
      <w:bookmarkEnd w:id="0"/>
      <w:r>
        <w:rPr>
          <w:rFonts w:hint="eastAsia" w:eastAsia="方正小标宋简体" w:cs="方正仿宋简体"/>
          <w:color w:val="000000"/>
          <w:sz w:val="32"/>
          <w:szCs w:val="32"/>
        </w:rPr>
        <w:t>产品质量监督抽查实施细则</w:t>
      </w:r>
    </w:p>
    <w:p w14:paraId="3650787C">
      <w:pPr>
        <w:spacing w:line="440" w:lineRule="exact"/>
        <w:jc w:val="center"/>
        <w:rPr>
          <w:rFonts w:eastAsia="方正小标宋简体"/>
          <w:color w:val="000000"/>
          <w:sz w:val="32"/>
          <w:szCs w:val="32"/>
        </w:rPr>
      </w:pPr>
      <w:r>
        <w:rPr>
          <w:rFonts w:hint="eastAsia" w:eastAsia="方正小标宋简体" w:cs="方正仿宋简体"/>
          <w:color w:val="000000"/>
          <w:sz w:val="32"/>
          <w:szCs w:val="32"/>
        </w:rPr>
        <w:t>（202</w:t>
      </w:r>
      <w:r>
        <w:rPr>
          <w:rFonts w:hint="eastAsia" w:eastAsia="方正小标宋简体" w:cs="方正仿宋简体"/>
          <w:color w:val="000000"/>
          <w:sz w:val="32"/>
          <w:szCs w:val="32"/>
          <w:lang w:val="en-US" w:eastAsia="zh-CN"/>
        </w:rPr>
        <w:t>5</w:t>
      </w:r>
      <w:r>
        <w:rPr>
          <w:rFonts w:hint="eastAsia" w:eastAsia="方正小标宋简体" w:cs="方正仿宋简体"/>
          <w:color w:val="000000"/>
          <w:sz w:val="32"/>
          <w:szCs w:val="32"/>
        </w:rPr>
        <w:t>年版）</w:t>
      </w:r>
    </w:p>
    <w:p w14:paraId="5DF0BC6F">
      <w:pPr>
        <w:adjustRightInd w:val="0"/>
        <w:snapToGrid w:val="0"/>
        <w:spacing w:line="594" w:lineRule="exact"/>
        <w:jc w:val="center"/>
        <w:rPr>
          <w:rFonts w:eastAsia="方正小标宋简体" w:cs="方正仿宋简体"/>
          <w:color w:val="000000"/>
          <w:sz w:val="32"/>
          <w:szCs w:val="32"/>
        </w:rPr>
      </w:pPr>
    </w:p>
    <w:p w14:paraId="7779DB0B">
      <w:pPr>
        <w:adjustRightInd w:val="0"/>
        <w:snapToGrid w:val="0"/>
        <w:spacing w:line="440" w:lineRule="exact"/>
        <w:outlineLvl w:val="1"/>
        <w:rPr>
          <w:rFonts w:eastAsia="黑体" w:cs="黑体"/>
          <w:szCs w:val="21"/>
        </w:rPr>
      </w:pPr>
      <w:r>
        <w:rPr>
          <w:rFonts w:hint="eastAsia" w:eastAsia="黑体" w:cs="黑体"/>
          <w:szCs w:val="21"/>
        </w:rPr>
        <w:t>1 抽样方法</w:t>
      </w:r>
    </w:p>
    <w:p w14:paraId="18D52458">
      <w:pPr>
        <w:adjustRightInd w:val="0"/>
        <w:snapToGrid w:val="0"/>
        <w:spacing w:line="360" w:lineRule="auto"/>
        <w:ind w:firstLine="420" w:firstLineChars="200"/>
        <w:rPr>
          <w:szCs w:val="21"/>
        </w:rPr>
      </w:pPr>
      <w:r>
        <w:rPr>
          <w:rFonts w:hint="eastAsia"/>
          <w:szCs w:val="21"/>
        </w:rPr>
        <w:t>以随机抽样的方式在被抽样生产者、销售者的待销产品中抽取。</w:t>
      </w:r>
    </w:p>
    <w:p w14:paraId="43DFF473">
      <w:pPr>
        <w:adjustRightInd w:val="0"/>
        <w:snapToGrid w:val="0"/>
        <w:spacing w:line="360" w:lineRule="auto"/>
        <w:ind w:firstLine="420" w:firstLineChars="200"/>
        <w:outlineLvl w:val="1"/>
        <w:rPr>
          <w:szCs w:val="21"/>
        </w:rPr>
      </w:pPr>
      <w:r>
        <w:rPr>
          <w:rFonts w:hint="eastAsia"/>
          <w:szCs w:val="21"/>
        </w:rPr>
        <w:t>随机数一般可使用随机数表等方法产生。</w:t>
      </w:r>
    </w:p>
    <w:p w14:paraId="01B1A743">
      <w:pPr>
        <w:snapToGrid w:val="0"/>
        <w:spacing w:line="360" w:lineRule="auto"/>
        <w:ind w:firstLine="420" w:firstLineChars="200"/>
        <w:rPr>
          <w:szCs w:val="21"/>
        </w:rPr>
      </w:pPr>
      <w:r>
        <w:rPr>
          <w:szCs w:val="21"/>
        </w:rPr>
        <w:t>每批次产品抽取不少于3份最小销售独立包装，每份样品抽样数量不少于</w:t>
      </w:r>
      <w:r>
        <w:rPr>
          <w:rFonts w:hint="eastAsia"/>
          <w:szCs w:val="21"/>
        </w:rPr>
        <w:t>40</w:t>
      </w:r>
      <w:r>
        <w:rPr>
          <w:szCs w:val="21"/>
        </w:rPr>
        <w:t>只</w:t>
      </w:r>
      <w:r>
        <w:rPr>
          <w:rFonts w:hint="eastAsia"/>
          <w:szCs w:val="21"/>
        </w:rPr>
        <w:t>/</w:t>
      </w:r>
      <w:r>
        <w:rPr>
          <w:szCs w:val="21"/>
        </w:rPr>
        <w:t>个，其中2份作为检验样品，1份作为备用样品。每份样品质量应不少于100g且与食品接触面的最小表面积应不小于10dm</w:t>
      </w:r>
      <w:r>
        <w:rPr>
          <w:szCs w:val="21"/>
          <w:vertAlign w:val="superscript"/>
        </w:rPr>
        <w:t>2</w:t>
      </w:r>
      <w:r>
        <w:rPr>
          <w:szCs w:val="21"/>
        </w:rPr>
        <w:t>（若最小销售包装不是40只</w:t>
      </w:r>
      <w:r>
        <w:rPr>
          <w:rFonts w:hint="eastAsia"/>
          <w:szCs w:val="21"/>
        </w:rPr>
        <w:t>/</w:t>
      </w:r>
      <w:r>
        <w:rPr>
          <w:szCs w:val="21"/>
        </w:rPr>
        <w:t>个的整数倍，需按采样数折算，保证检样不少于80只</w:t>
      </w:r>
      <w:r>
        <w:rPr>
          <w:rFonts w:hint="eastAsia"/>
          <w:szCs w:val="21"/>
        </w:rPr>
        <w:t>/</w:t>
      </w:r>
      <w:r>
        <w:rPr>
          <w:szCs w:val="21"/>
        </w:rPr>
        <w:t>个，备样不少于40只</w:t>
      </w:r>
      <w:r>
        <w:rPr>
          <w:rFonts w:hint="eastAsia"/>
          <w:szCs w:val="21"/>
        </w:rPr>
        <w:t>/</w:t>
      </w:r>
      <w:r>
        <w:rPr>
          <w:szCs w:val="21"/>
        </w:rPr>
        <w:t>个，避免损坏原包装）</w:t>
      </w:r>
      <w:r>
        <w:rPr>
          <w:rFonts w:hint="eastAsia"/>
          <w:szCs w:val="21"/>
        </w:rPr>
        <w:t>。</w:t>
      </w:r>
    </w:p>
    <w:p w14:paraId="1BAEB563">
      <w:pPr>
        <w:snapToGrid w:val="0"/>
        <w:spacing w:line="360" w:lineRule="auto"/>
        <w:ind w:firstLine="420" w:firstLineChars="200"/>
        <w:rPr>
          <w:szCs w:val="21"/>
        </w:rPr>
      </w:pPr>
    </w:p>
    <w:p w14:paraId="176A73C2">
      <w:pPr>
        <w:adjustRightInd w:val="0"/>
        <w:snapToGrid w:val="0"/>
        <w:spacing w:line="440" w:lineRule="exact"/>
        <w:outlineLvl w:val="1"/>
        <w:rPr>
          <w:rFonts w:eastAsia="黑体" w:cs="黑体"/>
          <w:szCs w:val="21"/>
        </w:rPr>
      </w:pPr>
      <w:r>
        <w:rPr>
          <w:rFonts w:hint="eastAsia" w:eastAsia="黑体" w:cs="黑体"/>
          <w:szCs w:val="21"/>
        </w:rPr>
        <w:t>2 检验依据</w:t>
      </w:r>
    </w:p>
    <w:p w14:paraId="69E798B7">
      <w:pPr>
        <w:adjustRightInd w:val="0"/>
        <w:snapToGrid w:val="0"/>
        <w:jc w:val="center"/>
        <w:rPr>
          <w:rFonts w:cs="宋体"/>
          <w:szCs w:val="21"/>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4314"/>
        <w:gridCol w:w="4114"/>
      </w:tblGrid>
      <w:tr w14:paraId="7DF47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07" w:type="pct"/>
            <w:vAlign w:val="center"/>
          </w:tcPr>
          <w:p w14:paraId="74DAA102">
            <w:pPr>
              <w:snapToGrid w:val="0"/>
              <w:spacing w:line="440" w:lineRule="exact"/>
              <w:jc w:val="center"/>
              <w:rPr>
                <w:color w:val="000000"/>
                <w:szCs w:val="21"/>
              </w:rPr>
            </w:pPr>
            <w:bookmarkStart w:id="1" w:name="_Hlk40347690"/>
            <w:r>
              <w:rPr>
                <w:rFonts w:hint="eastAsia"/>
                <w:color w:val="000000"/>
                <w:szCs w:val="21"/>
              </w:rPr>
              <w:t>序号</w:t>
            </w:r>
          </w:p>
        </w:tc>
        <w:tc>
          <w:tcPr>
            <w:tcW w:w="2351" w:type="pct"/>
            <w:vAlign w:val="center"/>
          </w:tcPr>
          <w:p w14:paraId="025FC596">
            <w:pPr>
              <w:snapToGrid w:val="0"/>
              <w:spacing w:line="440" w:lineRule="exact"/>
              <w:jc w:val="center"/>
              <w:rPr>
                <w:color w:val="000000"/>
                <w:szCs w:val="21"/>
              </w:rPr>
            </w:pPr>
            <w:r>
              <w:rPr>
                <w:rFonts w:hint="eastAsia"/>
                <w:color w:val="000000"/>
                <w:szCs w:val="21"/>
              </w:rPr>
              <w:t>检验项目</w:t>
            </w:r>
          </w:p>
        </w:tc>
        <w:tc>
          <w:tcPr>
            <w:tcW w:w="2241" w:type="pct"/>
            <w:vAlign w:val="center"/>
          </w:tcPr>
          <w:p w14:paraId="3DBFB0F5">
            <w:pPr>
              <w:snapToGrid w:val="0"/>
              <w:spacing w:line="440" w:lineRule="exact"/>
              <w:jc w:val="center"/>
              <w:rPr>
                <w:color w:val="000000"/>
                <w:szCs w:val="21"/>
              </w:rPr>
            </w:pPr>
            <w:r>
              <w:rPr>
                <w:rFonts w:hint="eastAsia"/>
                <w:color w:val="000000"/>
                <w:szCs w:val="21"/>
              </w:rPr>
              <w:t>检验方法</w:t>
            </w:r>
          </w:p>
        </w:tc>
      </w:tr>
      <w:tr w14:paraId="58564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7" w:type="pct"/>
            <w:vAlign w:val="center"/>
          </w:tcPr>
          <w:p w14:paraId="25D4E91A">
            <w:pPr>
              <w:numPr>
                <w:ilvl w:val="0"/>
                <w:numId w:val="1"/>
              </w:numPr>
              <w:adjustRightInd w:val="0"/>
              <w:snapToGrid w:val="0"/>
              <w:jc w:val="center"/>
              <w:rPr>
                <w:rFonts w:cs="宋体"/>
                <w:szCs w:val="21"/>
              </w:rPr>
            </w:pPr>
          </w:p>
        </w:tc>
        <w:tc>
          <w:tcPr>
            <w:tcW w:w="2351" w:type="pct"/>
            <w:vAlign w:val="center"/>
          </w:tcPr>
          <w:p w14:paraId="73FF59A4">
            <w:pPr>
              <w:adjustRightInd w:val="0"/>
              <w:snapToGrid w:val="0"/>
              <w:jc w:val="center"/>
              <w:rPr>
                <w:rFonts w:hint="eastAsia" w:ascii="Times New Roman" w:hAnsi="Times New Roman" w:eastAsia="宋体" w:cs="宋体"/>
                <w:szCs w:val="21"/>
              </w:rPr>
            </w:pPr>
            <w:r>
              <w:rPr>
                <w:rFonts w:hint="eastAsia" w:ascii="Times New Roman" w:hAnsi="Times New Roman" w:eastAsia="宋体" w:cs="宋体"/>
                <w:szCs w:val="21"/>
              </w:rPr>
              <w:t>感官要求</w:t>
            </w:r>
          </w:p>
        </w:tc>
        <w:tc>
          <w:tcPr>
            <w:tcW w:w="2241" w:type="pct"/>
            <w:vAlign w:val="center"/>
          </w:tcPr>
          <w:p w14:paraId="6D9716E5">
            <w:pPr>
              <w:adjustRightInd w:val="0"/>
              <w:snapToGrid w:val="0"/>
              <w:jc w:val="center"/>
              <w:rPr>
                <w:szCs w:val="21"/>
              </w:rPr>
            </w:pPr>
            <w:r>
              <w:rPr>
                <w:rFonts w:hint="eastAsia" w:cs="宋体"/>
                <w:szCs w:val="21"/>
              </w:rPr>
              <w:t>GB 4806.7</w:t>
            </w:r>
            <w:r>
              <w:rPr>
                <w:szCs w:val="21"/>
              </w:rPr>
              <w:t>—</w:t>
            </w:r>
            <w:r>
              <w:rPr>
                <w:rFonts w:hint="eastAsia" w:cs="宋体"/>
                <w:szCs w:val="21"/>
              </w:rPr>
              <w:t>2023</w:t>
            </w:r>
          </w:p>
        </w:tc>
      </w:tr>
      <w:tr w14:paraId="7781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7" w:type="pct"/>
            <w:vAlign w:val="center"/>
          </w:tcPr>
          <w:p w14:paraId="01A98D72">
            <w:pPr>
              <w:numPr>
                <w:ilvl w:val="0"/>
                <w:numId w:val="1"/>
              </w:numPr>
              <w:adjustRightInd w:val="0"/>
              <w:snapToGrid w:val="0"/>
              <w:jc w:val="center"/>
              <w:rPr>
                <w:rFonts w:cs="宋体"/>
                <w:szCs w:val="21"/>
              </w:rPr>
            </w:pPr>
          </w:p>
        </w:tc>
        <w:tc>
          <w:tcPr>
            <w:tcW w:w="2351" w:type="pct"/>
            <w:vAlign w:val="center"/>
          </w:tcPr>
          <w:p w14:paraId="60A40350">
            <w:pPr>
              <w:adjustRightInd w:val="0"/>
              <w:snapToGrid w:val="0"/>
              <w:jc w:val="center"/>
              <w:rPr>
                <w:rFonts w:hint="eastAsia" w:ascii="Times New Roman" w:hAnsi="Times New Roman" w:eastAsia="宋体" w:cs="宋体"/>
                <w:szCs w:val="21"/>
              </w:rPr>
            </w:pPr>
            <w:r>
              <w:rPr>
                <w:rFonts w:hint="eastAsia" w:ascii="Times New Roman" w:hAnsi="Times New Roman" w:eastAsia="宋体" w:cs="宋体"/>
                <w:szCs w:val="21"/>
              </w:rPr>
              <w:t>总迁移量</w:t>
            </w:r>
          </w:p>
        </w:tc>
        <w:tc>
          <w:tcPr>
            <w:tcW w:w="2241" w:type="pct"/>
            <w:vAlign w:val="center"/>
          </w:tcPr>
          <w:p w14:paraId="5A29251E">
            <w:pPr>
              <w:adjustRightInd w:val="0"/>
              <w:snapToGrid w:val="0"/>
              <w:jc w:val="center"/>
              <w:rPr>
                <w:szCs w:val="21"/>
              </w:rPr>
            </w:pPr>
            <w:r>
              <w:rPr>
                <w:rFonts w:hint="eastAsia" w:cs="宋体"/>
                <w:szCs w:val="21"/>
              </w:rPr>
              <w:t>GB 31604.8</w:t>
            </w:r>
            <w:r>
              <w:rPr>
                <w:szCs w:val="21"/>
              </w:rPr>
              <w:t>—</w:t>
            </w:r>
            <w:r>
              <w:rPr>
                <w:rFonts w:hint="eastAsia" w:cs="宋体"/>
                <w:szCs w:val="21"/>
              </w:rPr>
              <w:t>20</w:t>
            </w:r>
            <w:r>
              <w:rPr>
                <w:rFonts w:cs="宋体"/>
                <w:szCs w:val="21"/>
              </w:rPr>
              <w:t>21</w:t>
            </w:r>
          </w:p>
        </w:tc>
      </w:tr>
      <w:tr w14:paraId="4EAA1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7" w:type="pct"/>
            <w:vAlign w:val="center"/>
          </w:tcPr>
          <w:p w14:paraId="4BC00B54">
            <w:pPr>
              <w:numPr>
                <w:ilvl w:val="0"/>
                <w:numId w:val="1"/>
              </w:numPr>
              <w:adjustRightInd w:val="0"/>
              <w:snapToGrid w:val="0"/>
              <w:jc w:val="center"/>
              <w:rPr>
                <w:rFonts w:cs="宋体"/>
                <w:szCs w:val="21"/>
              </w:rPr>
            </w:pPr>
          </w:p>
        </w:tc>
        <w:tc>
          <w:tcPr>
            <w:tcW w:w="2351" w:type="pct"/>
            <w:vAlign w:val="center"/>
          </w:tcPr>
          <w:p w14:paraId="217F720E">
            <w:pPr>
              <w:adjustRightInd w:val="0"/>
              <w:snapToGrid w:val="0"/>
              <w:jc w:val="center"/>
              <w:rPr>
                <w:rFonts w:hint="eastAsia" w:ascii="Times New Roman" w:hAnsi="Times New Roman" w:eastAsia="宋体" w:cs="宋体"/>
                <w:szCs w:val="21"/>
              </w:rPr>
            </w:pPr>
            <w:r>
              <w:rPr>
                <w:rFonts w:hint="eastAsia" w:ascii="Times New Roman" w:hAnsi="Times New Roman" w:eastAsia="宋体" w:cs="宋体"/>
                <w:szCs w:val="21"/>
              </w:rPr>
              <w:t>高锰酸钾消耗量</w:t>
            </w:r>
          </w:p>
        </w:tc>
        <w:tc>
          <w:tcPr>
            <w:tcW w:w="2241" w:type="pct"/>
            <w:vAlign w:val="center"/>
          </w:tcPr>
          <w:p w14:paraId="0F65C7AE">
            <w:pPr>
              <w:adjustRightInd w:val="0"/>
              <w:snapToGrid w:val="0"/>
              <w:jc w:val="center"/>
              <w:rPr>
                <w:szCs w:val="21"/>
              </w:rPr>
            </w:pPr>
            <w:r>
              <w:rPr>
                <w:rFonts w:hint="eastAsia" w:cs="宋体"/>
                <w:szCs w:val="21"/>
              </w:rPr>
              <w:t>GB 31604.2</w:t>
            </w:r>
            <w:r>
              <w:rPr>
                <w:szCs w:val="21"/>
              </w:rPr>
              <w:t>—</w:t>
            </w:r>
            <w:r>
              <w:rPr>
                <w:rFonts w:hint="eastAsia" w:cs="宋体"/>
                <w:szCs w:val="21"/>
              </w:rPr>
              <w:t xml:space="preserve">2016 </w:t>
            </w:r>
          </w:p>
        </w:tc>
      </w:tr>
      <w:tr w14:paraId="4228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7" w:type="pct"/>
            <w:vAlign w:val="center"/>
          </w:tcPr>
          <w:p w14:paraId="6F5848E1">
            <w:pPr>
              <w:numPr>
                <w:ilvl w:val="0"/>
                <w:numId w:val="1"/>
              </w:numPr>
              <w:adjustRightInd w:val="0"/>
              <w:snapToGrid w:val="0"/>
              <w:jc w:val="center"/>
              <w:rPr>
                <w:rFonts w:cs="宋体"/>
                <w:szCs w:val="21"/>
              </w:rPr>
            </w:pPr>
          </w:p>
        </w:tc>
        <w:tc>
          <w:tcPr>
            <w:tcW w:w="2351" w:type="pct"/>
            <w:vAlign w:val="center"/>
          </w:tcPr>
          <w:p w14:paraId="28F0DDB2">
            <w:pPr>
              <w:adjustRightInd w:val="0"/>
              <w:snapToGrid w:val="0"/>
              <w:jc w:val="center"/>
              <w:rPr>
                <w:rFonts w:hint="eastAsia" w:ascii="Times New Roman" w:hAnsi="Times New Roman" w:eastAsia="宋体" w:cs="宋体"/>
                <w:szCs w:val="21"/>
              </w:rPr>
            </w:pPr>
            <w:r>
              <w:rPr>
                <w:rFonts w:hint="eastAsia" w:ascii="Times New Roman" w:hAnsi="Times New Roman" w:eastAsia="宋体" w:cs="宋体"/>
                <w:szCs w:val="21"/>
              </w:rPr>
              <w:t>重金属（以Pb计）</w:t>
            </w:r>
          </w:p>
        </w:tc>
        <w:tc>
          <w:tcPr>
            <w:tcW w:w="2241" w:type="pct"/>
            <w:vAlign w:val="center"/>
          </w:tcPr>
          <w:p w14:paraId="3CCDE71E">
            <w:pPr>
              <w:adjustRightInd w:val="0"/>
              <w:snapToGrid w:val="0"/>
              <w:jc w:val="center"/>
              <w:rPr>
                <w:szCs w:val="21"/>
              </w:rPr>
            </w:pPr>
            <w:r>
              <w:rPr>
                <w:rFonts w:hint="eastAsia" w:cs="宋体"/>
                <w:szCs w:val="21"/>
              </w:rPr>
              <w:t>GB 31604.9</w:t>
            </w:r>
            <w:r>
              <w:rPr>
                <w:szCs w:val="21"/>
              </w:rPr>
              <w:t>—</w:t>
            </w:r>
            <w:r>
              <w:rPr>
                <w:rFonts w:hint="eastAsia" w:cs="宋体"/>
                <w:szCs w:val="21"/>
              </w:rPr>
              <w:t xml:space="preserve">2016 </w:t>
            </w:r>
          </w:p>
        </w:tc>
      </w:tr>
      <w:tr w14:paraId="15F0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7" w:type="pct"/>
            <w:vAlign w:val="center"/>
          </w:tcPr>
          <w:p w14:paraId="1A43434C">
            <w:pPr>
              <w:numPr>
                <w:ilvl w:val="0"/>
                <w:numId w:val="1"/>
              </w:numPr>
              <w:adjustRightInd w:val="0"/>
              <w:snapToGrid w:val="0"/>
              <w:jc w:val="center"/>
              <w:rPr>
                <w:rFonts w:cs="宋体"/>
                <w:szCs w:val="21"/>
              </w:rPr>
            </w:pPr>
          </w:p>
        </w:tc>
        <w:tc>
          <w:tcPr>
            <w:tcW w:w="2351" w:type="pct"/>
            <w:vAlign w:val="center"/>
          </w:tcPr>
          <w:p w14:paraId="2179750E">
            <w:pPr>
              <w:adjustRightInd w:val="0"/>
              <w:snapToGrid w:val="0"/>
              <w:jc w:val="center"/>
              <w:rPr>
                <w:rFonts w:hint="eastAsia" w:ascii="Times New Roman" w:hAnsi="Times New Roman" w:eastAsia="宋体" w:cs="宋体"/>
                <w:szCs w:val="21"/>
              </w:rPr>
            </w:pPr>
            <w:r>
              <w:rPr>
                <w:rFonts w:hint="eastAsia" w:ascii="Times New Roman" w:hAnsi="Times New Roman" w:eastAsia="宋体" w:cs="宋体"/>
                <w:szCs w:val="21"/>
              </w:rPr>
              <w:t>脱色试验</w:t>
            </w:r>
          </w:p>
        </w:tc>
        <w:tc>
          <w:tcPr>
            <w:tcW w:w="2241" w:type="pct"/>
            <w:vAlign w:val="center"/>
          </w:tcPr>
          <w:p w14:paraId="5268B4E3">
            <w:pPr>
              <w:adjustRightInd w:val="0"/>
              <w:snapToGrid w:val="0"/>
              <w:jc w:val="center"/>
              <w:rPr>
                <w:szCs w:val="21"/>
              </w:rPr>
            </w:pPr>
            <w:r>
              <w:rPr>
                <w:rFonts w:hint="eastAsia" w:cs="宋体"/>
                <w:szCs w:val="21"/>
              </w:rPr>
              <w:t>GB 31604.7</w:t>
            </w:r>
            <w:r>
              <w:rPr>
                <w:szCs w:val="21"/>
              </w:rPr>
              <w:t>—</w:t>
            </w:r>
            <w:r>
              <w:rPr>
                <w:rFonts w:hint="eastAsia" w:cs="宋体"/>
                <w:szCs w:val="21"/>
              </w:rPr>
              <w:t>2023</w:t>
            </w:r>
          </w:p>
        </w:tc>
      </w:tr>
      <w:tr w14:paraId="58116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7" w:type="pct"/>
            <w:vAlign w:val="center"/>
          </w:tcPr>
          <w:p w14:paraId="3DB955AC">
            <w:pPr>
              <w:numPr>
                <w:ilvl w:val="0"/>
                <w:numId w:val="1"/>
              </w:numPr>
              <w:adjustRightInd w:val="0"/>
              <w:snapToGrid w:val="0"/>
              <w:jc w:val="center"/>
              <w:rPr>
                <w:rFonts w:cs="宋体"/>
                <w:szCs w:val="21"/>
              </w:rPr>
            </w:pPr>
          </w:p>
        </w:tc>
        <w:tc>
          <w:tcPr>
            <w:tcW w:w="2351" w:type="pct"/>
            <w:vAlign w:val="center"/>
          </w:tcPr>
          <w:p w14:paraId="0A1876C3">
            <w:pPr>
              <w:adjustRightInd w:val="0"/>
              <w:snapToGrid w:val="0"/>
              <w:jc w:val="center"/>
              <w:rPr>
                <w:rFonts w:hint="eastAsia" w:ascii="Times New Roman" w:hAnsi="Times New Roman" w:eastAsia="宋体" w:cs="宋体"/>
                <w:szCs w:val="21"/>
              </w:rPr>
            </w:pPr>
            <w:r>
              <w:rPr>
                <w:rFonts w:hint="eastAsia" w:ascii="Times New Roman" w:hAnsi="Times New Roman" w:eastAsia="宋体" w:cs="宋体"/>
                <w:szCs w:val="21"/>
              </w:rPr>
              <w:t>芳香族伯胺迁移总量</w:t>
            </w:r>
          </w:p>
        </w:tc>
        <w:tc>
          <w:tcPr>
            <w:tcW w:w="2241" w:type="pct"/>
            <w:vAlign w:val="center"/>
          </w:tcPr>
          <w:p w14:paraId="39B10B76">
            <w:pPr>
              <w:adjustRightInd w:val="0"/>
              <w:snapToGrid w:val="0"/>
              <w:jc w:val="center"/>
              <w:rPr>
                <w:rFonts w:cs="宋体"/>
                <w:szCs w:val="21"/>
              </w:rPr>
            </w:pPr>
            <w:r>
              <w:rPr>
                <w:rFonts w:hint="eastAsia" w:cs="宋体"/>
                <w:szCs w:val="21"/>
              </w:rPr>
              <w:t>GB 31604.52</w:t>
            </w:r>
            <w:r>
              <w:rPr>
                <w:szCs w:val="21"/>
              </w:rPr>
              <w:t>—</w:t>
            </w:r>
            <w:r>
              <w:rPr>
                <w:rFonts w:hint="eastAsia" w:cs="宋体"/>
                <w:szCs w:val="21"/>
              </w:rPr>
              <w:t>2021</w:t>
            </w:r>
          </w:p>
        </w:tc>
      </w:tr>
      <w:tr w14:paraId="0C429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7" w:type="pct"/>
            <w:vAlign w:val="center"/>
          </w:tcPr>
          <w:p w14:paraId="2FA7A96F">
            <w:pPr>
              <w:numPr>
                <w:ilvl w:val="0"/>
                <w:numId w:val="1"/>
              </w:numPr>
              <w:adjustRightInd w:val="0"/>
              <w:snapToGrid w:val="0"/>
              <w:jc w:val="center"/>
              <w:rPr>
                <w:rFonts w:cs="宋体"/>
                <w:szCs w:val="21"/>
              </w:rPr>
            </w:pPr>
          </w:p>
        </w:tc>
        <w:tc>
          <w:tcPr>
            <w:tcW w:w="2351" w:type="pct"/>
            <w:vAlign w:val="center"/>
          </w:tcPr>
          <w:p w14:paraId="4E1BC909">
            <w:pPr>
              <w:adjustRightInd w:val="0"/>
              <w:snapToGrid w:val="0"/>
              <w:jc w:val="center"/>
              <w:rPr>
                <w:rFonts w:hint="eastAsia" w:ascii="Times New Roman" w:hAnsi="Times New Roman" w:eastAsia="宋体" w:cs="宋体"/>
                <w:szCs w:val="21"/>
              </w:rPr>
            </w:pPr>
            <w:r>
              <w:rPr>
                <w:rFonts w:hint="eastAsia" w:ascii="Times New Roman" w:hAnsi="Times New Roman" w:eastAsia="宋体" w:cs="宋体"/>
                <w:szCs w:val="21"/>
              </w:rPr>
              <w:t>添加剂（邻苯二甲酸二（α-乙基己酯）迁移量，邻苯二甲酸二烯丙酯迁移量，邻苯二甲酸二异壬酯迁移总量，邻苯二甲酸二正丁酯迁移量）</w:t>
            </w:r>
            <w:r>
              <w:rPr>
                <w:rFonts w:hint="eastAsia" w:ascii="Times New Roman" w:hAnsi="Times New Roman" w:eastAsia="宋体" w:cs="宋体"/>
                <w:szCs w:val="21"/>
                <w:lang w:val="en-US" w:eastAsia="zh-CN"/>
              </w:rPr>
              <w:t>（限PVC材质）</w:t>
            </w:r>
          </w:p>
        </w:tc>
        <w:tc>
          <w:tcPr>
            <w:tcW w:w="2241" w:type="pct"/>
            <w:vAlign w:val="center"/>
          </w:tcPr>
          <w:p w14:paraId="5AB9280E">
            <w:pPr>
              <w:adjustRightInd w:val="0"/>
              <w:snapToGrid w:val="0"/>
              <w:jc w:val="center"/>
              <w:rPr>
                <w:szCs w:val="21"/>
              </w:rPr>
            </w:pPr>
            <w:r>
              <w:rPr>
                <w:rFonts w:ascii="Times New Roman" w:hAnsi="Times New Roman" w:eastAsia="宋体" w:cs="仿宋"/>
                <w:szCs w:val="21"/>
              </w:rPr>
              <w:t>GB 31604.30-2016</w:t>
            </w:r>
          </w:p>
        </w:tc>
      </w:tr>
      <w:tr w14:paraId="2B43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7" w:type="pct"/>
            <w:vAlign w:val="center"/>
          </w:tcPr>
          <w:p w14:paraId="70A0232B">
            <w:pPr>
              <w:numPr>
                <w:ilvl w:val="0"/>
                <w:numId w:val="1"/>
              </w:numPr>
              <w:adjustRightInd w:val="0"/>
              <w:snapToGrid w:val="0"/>
              <w:jc w:val="center"/>
              <w:rPr>
                <w:rFonts w:cs="宋体"/>
                <w:szCs w:val="21"/>
              </w:rPr>
            </w:pPr>
          </w:p>
        </w:tc>
        <w:tc>
          <w:tcPr>
            <w:tcW w:w="2351" w:type="pct"/>
            <w:shd w:val="clear" w:color="auto" w:fill="auto"/>
            <w:vAlign w:val="center"/>
          </w:tcPr>
          <w:p w14:paraId="4A721903">
            <w:pPr>
              <w:adjustRightInd w:val="0"/>
              <w:snapToGrid w:val="0"/>
              <w:jc w:val="center"/>
              <w:rPr>
                <w:rFonts w:hint="eastAsia" w:ascii="Times New Roman" w:hAnsi="Times New Roman" w:eastAsia="宋体" w:cs="宋体"/>
                <w:szCs w:val="21"/>
                <w:lang w:val="en-US" w:eastAsia="zh-CN"/>
              </w:rPr>
            </w:pPr>
            <w:r>
              <w:rPr>
                <w:rFonts w:hint="eastAsia" w:ascii="Times New Roman" w:hAnsi="Times New Roman" w:eastAsia="宋体" w:cs="宋体"/>
                <w:szCs w:val="21"/>
              </w:rPr>
              <w:t>大肠菌群</w:t>
            </w:r>
          </w:p>
        </w:tc>
        <w:tc>
          <w:tcPr>
            <w:tcW w:w="2241" w:type="pct"/>
            <w:shd w:val="clear" w:color="auto" w:fill="auto"/>
            <w:vAlign w:val="center"/>
          </w:tcPr>
          <w:p w14:paraId="4C4FC4F0">
            <w:pPr>
              <w:adjustRightInd w:val="0"/>
              <w:snapToGrid w:val="0"/>
              <w:jc w:val="center"/>
              <w:rPr>
                <w:rFonts w:ascii="Times New Roman" w:hAnsi="Times New Roman" w:eastAsia="宋体" w:cs="宋体"/>
                <w:kern w:val="2"/>
                <w:sz w:val="21"/>
                <w:szCs w:val="21"/>
                <w:lang w:val="en-US" w:eastAsia="zh-CN" w:bidi="ar-SA"/>
              </w:rPr>
            </w:pPr>
            <w:r>
              <w:rPr>
                <w:rFonts w:hint="eastAsia" w:cs="宋体"/>
                <w:szCs w:val="21"/>
              </w:rPr>
              <w:t>GB 14934</w:t>
            </w:r>
            <w:r>
              <w:rPr>
                <w:szCs w:val="21"/>
              </w:rPr>
              <w:t>—</w:t>
            </w:r>
            <w:r>
              <w:rPr>
                <w:rFonts w:hint="eastAsia" w:cs="宋体"/>
                <w:szCs w:val="21"/>
              </w:rPr>
              <w:t xml:space="preserve">2016 </w:t>
            </w:r>
          </w:p>
        </w:tc>
      </w:tr>
      <w:tr w14:paraId="052B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07" w:type="pct"/>
            <w:vAlign w:val="center"/>
          </w:tcPr>
          <w:p w14:paraId="45278F16">
            <w:pPr>
              <w:numPr>
                <w:ilvl w:val="0"/>
                <w:numId w:val="1"/>
              </w:numPr>
              <w:adjustRightInd w:val="0"/>
              <w:snapToGrid w:val="0"/>
              <w:jc w:val="center"/>
              <w:rPr>
                <w:rFonts w:cs="宋体"/>
                <w:szCs w:val="21"/>
              </w:rPr>
            </w:pPr>
          </w:p>
        </w:tc>
        <w:tc>
          <w:tcPr>
            <w:tcW w:w="2351" w:type="pct"/>
            <w:shd w:val="clear" w:color="auto" w:fill="auto"/>
            <w:vAlign w:val="center"/>
          </w:tcPr>
          <w:p w14:paraId="19A91443">
            <w:pPr>
              <w:adjustRightInd w:val="0"/>
              <w:snapToGrid w:val="0"/>
              <w:jc w:val="center"/>
              <w:rPr>
                <w:rFonts w:hint="eastAsia" w:ascii="Times New Roman" w:hAnsi="Times New Roman" w:eastAsia="宋体" w:cs="宋体"/>
                <w:szCs w:val="21"/>
                <w:lang w:val="en-US" w:eastAsia="zh-CN"/>
              </w:rPr>
            </w:pPr>
            <w:r>
              <w:rPr>
                <w:rFonts w:hint="eastAsia" w:ascii="Times New Roman" w:hAnsi="Times New Roman" w:eastAsia="宋体" w:cs="宋体"/>
                <w:szCs w:val="21"/>
              </w:rPr>
              <w:t>沙门氏菌</w:t>
            </w:r>
          </w:p>
        </w:tc>
        <w:tc>
          <w:tcPr>
            <w:tcW w:w="2241" w:type="pct"/>
            <w:shd w:val="clear" w:color="auto" w:fill="auto"/>
            <w:vAlign w:val="center"/>
          </w:tcPr>
          <w:p w14:paraId="1C410365">
            <w:pPr>
              <w:adjustRightInd w:val="0"/>
              <w:snapToGrid w:val="0"/>
              <w:jc w:val="center"/>
              <w:rPr>
                <w:rFonts w:ascii="Times New Roman" w:hAnsi="Times New Roman" w:eastAsia="宋体" w:cs="宋体"/>
                <w:kern w:val="2"/>
                <w:sz w:val="21"/>
                <w:szCs w:val="21"/>
                <w:lang w:val="en-US" w:eastAsia="zh-CN" w:bidi="ar-SA"/>
              </w:rPr>
            </w:pPr>
            <w:r>
              <w:rPr>
                <w:rFonts w:hint="eastAsia" w:cs="宋体"/>
                <w:szCs w:val="21"/>
              </w:rPr>
              <w:t>GB 14934</w:t>
            </w:r>
            <w:r>
              <w:rPr>
                <w:szCs w:val="21"/>
              </w:rPr>
              <w:t>—</w:t>
            </w:r>
            <w:r>
              <w:rPr>
                <w:rFonts w:hint="eastAsia" w:cs="宋体"/>
                <w:szCs w:val="21"/>
              </w:rPr>
              <w:t>2016</w:t>
            </w:r>
          </w:p>
        </w:tc>
      </w:tr>
      <w:tr w14:paraId="3267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7" w:type="pct"/>
            <w:vAlign w:val="center"/>
          </w:tcPr>
          <w:p w14:paraId="028C6CE8">
            <w:pPr>
              <w:numPr>
                <w:ilvl w:val="0"/>
                <w:numId w:val="1"/>
              </w:numPr>
              <w:adjustRightInd w:val="0"/>
              <w:snapToGrid w:val="0"/>
              <w:jc w:val="center"/>
              <w:rPr>
                <w:rFonts w:cs="宋体"/>
                <w:szCs w:val="21"/>
              </w:rPr>
            </w:pPr>
          </w:p>
        </w:tc>
        <w:tc>
          <w:tcPr>
            <w:tcW w:w="2351" w:type="pct"/>
            <w:shd w:val="clear" w:color="auto" w:fill="auto"/>
            <w:vAlign w:val="center"/>
          </w:tcPr>
          <w:p w14:paraId="603ABB9F">
            <w:pPr>
              <w:adjustRightInd w:val="0"/>
              <w:snapToGrid w:val="0"/>
              <w:jc w:val="center"/>
              <w:rPr>
                <w:rFonts w:hint="eastAsia" w:ascii="Times New Roman" w:hAnsi="Times New Roman" w:eastAsia="宋体" w:cs="宋体"/>
                <w:szCs w:val="21"/>
                <w:lang w:val="en-US" w:eastAsia="zh-CN"/>
              </w:rPr>
            </w:pPr>
            <w:r>
              <w:rPr>
                <w:rFonts w:hint="eastAsia" w:ascii="Times New Roman" w:hAnsi="Times New Roman" w:eastAsia="宋体" w:cs="宋体"/>
                <w:szCs w:val="21"/>
              </w:rPr>
              <w:t>霉菌计数</w:t>
            </w:r>
          </w:p>
        </w:tc>
        <w:tc>
          <w:tcPr>
            <w:tcW w:w="2241" w:type="pct"/>
            <w:shd w:val="clear" w:color="auto" w:fill="auto"/>
            <w:vAlign w:val="center"/>
          </w:tcPr>
          <w:p w14:paraId="5D416FB7">
            <w:pPr>
              <w:adjustRightInd w:val="0"/>
              <w:snapToGrid w:val="0"/>
              <w:jc w:val="center"/>
              <w:rPr>
                <w:rFonts w:ascii="Times New Roman" w:hAnsi="Times New Roman" w:eastAsia="宋体" w:cs="宋体"/>
                <w:kern w:val="2"/>
                <w:sz w:val="21"/>
                <w:szCs w:val="21"/>
                <w:lang w:val="en-US" w:eastAsia="zh-CN" w:bidi="ar-SA"/>
              </w:rPr>
            </w:pPr>
            <w:r>
              <w:rPr>
                <w:rFonts w:hint="eastAsia" w:cs="宋体"/>
                <w:szCs w:val="21"/>
              </w:rPr>
              <w:t>GB 4789.15</w:t>
            </w:r>
            <w:r>
              <w:rPr>
                <w:szCs w:val="21"/>
              </w:rPr>
              <w:t>—</w:t>
            </w:r>
            <w:r>
              <w:rPr>
                <w:rFonts w:hint="eastAsia" w:cs="宋体"/>
                <w:szCs w:val="21"/>
              </w:rPr>
              <w:t xml:space="preserve">2016 </w:t>
            </w:r>
          </w:p>
        </w:tc>
      </w:tr>
      <w:tr w14:paraId="1197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3"/>
          </w:tcPr>
          <w:p w14:paraId="0D848B09">
            <w:pPr>
              <w:adjustRightInd w:val="0"/>
              <w:snapToGrid w:val="0"/>
              <w:jc w:val="left"/>
              <w:rPr>
                <w:color w:val="000000"/>
              </w:rPr>
            </w:pPr>
            <w:r>
              <w:rPr>
                <w:color w:val="000000"/>
              </w:rPr>
              <w:t>注：1.</w:t>
            </w:r>
            <w:r>
              <w:rPr>
                <w:rFonts w:hint="eastAsia"/>
                <w:color w:val="000000"/>
              </w:rPr>
              <w:t>高锰酸钾消耗量不适用</w:t>
            </w:r>
            <w:r>
              <w:rPr>
                <w:color w:val="000000"/>
              </w:rPr>
              <w:t>于执行标准为</w:t>
            </w:r>
            <w:r>
              <w:rPr>
                <w:rFonts w:hint="eastAsia"/>
                <w:color w:val="000000"/>
              </w:rPr>
              <w:t>G</w:t>
            </w:r>
            <w:r>
              <w:rPr>
                <w:color w:val="000000"/>
              </w:rPr>
              <w:t>B 4806.7</w:t>
            </w:r>
            <w:r>
              <w:rPr>
                <w:szCs w:val="21"/>
              </w:rPr>
              <w:t>—</w:t>
            </w:r>
            <w:r>
              <w:rPr>
                <w:color w:val="000000"/>
              </w:rPr>
              <w:t>2023中的</w:t>
            </w:r>
            <w:r>
              <w:rPr>
                <w:rFonts w:hint="eastAsia"/>
                <w:color w:val="000000"/>
              </w:rPr>
              <w:t>淀粉含量≥40%的淀粉基塑料材料及制品。</w:t>
            </w:r>
          </w:p>
          <w:p w14:paraId="33EC76D7">
            <w:pPr>
              <w:adjustRightInd w:val="0"/>
              <w:snapToGrid w:val="0"/>
              <w:ind w:firstLine="420" w:firstLineChars="200"/>
              <w:jc w:val="left"/>
              <w:rPr>
                <w:color w:val="000000"/>
              </w:rPr>
            </w:pPr>
            <w:r>
              <w:rPr>
                <w:color w:val="000000"/>
                <w:szCs w:val="21"/>
              </w:rPr>
              <w:t>2</w:t>
            </w:r>
            <w:r>
              <w:rPr>
                <w:color w:val="000000"/>
              </w:rPr>
              <w:t>.</w:t>
            </w:r>
            <w:r>
              <w:rPr>
                <w:rFonts w:hint="eastAsia"/>
                <w:color w:val="000000"/>
              </w:rPr>
              <w:t>脱色试验仅适用于添加了着色剂的产品。</w:t>
            </w:r>
          </w:p>
        </w:tc>
      </w:tr>
    </w:tbl>
    <w:p w14:paraId="0D1945E0">
      <w:pPr>
        <w:adjustRightInd w:val="0"/>
        <w:snapToGrid w:val="0"/>
        <w:spacing w:line="440" w:lineRule="exact"/>
        <w:ind w:firstLine="420" w:firstLineChars="200"/>
        <w:rPr>
          <w:color w:val="000000"/>
          <w:szCs w:val="21"/>
        </w:rPr>
      </w:pPr>
      <w:r>
        <w:rPr>
          <w:rFonts w:hint="eastAsia"/>
          <w:color w:val="000000"/>
          <w:szCs w:val="21"/>
        </w:rPr>
        <w:t>执行企业标准、团体标准、地方标准的产品，检验项目参照上述内容执行。</w:t>
      </w:r>
    </w:p>
    <w:bookmarkEnd w:id="1"/>
    <w:p w14:paraId="1D9A4B97">
      <w:pPr>
        <w:snapToGrid w:val="0"/>
        <w:spacing w:line="440" w:lineRule="exact"/>
        <w:ind w:firstLine="359" w:firstLineChars="171"/>
        <w:rPr>
          <w:color w:val="000000"/>
          <w:szCs w:val="21"/>
        </w:rPr>
      </w:pPr>
      <w:r>
        <w:rPr>
          <w:rFonts w:hint="eastAsia"/>
          <w:color w:val="000000"/>
          <w:szCs w:val="21"/>
        </w:rPr>
        <w:t>凡是注日期的文件，其随后所有的修改单（不包括勘误的内容）或修订版不适用于本细则。凡是不注日期的文件，其最新版本适用于本细则。</w:t>
      </w:r>
    </w:p>
    <w:p w14:paraId="3D4AE8AB">
      <w:pPr>
        <w:snapToGrid w:val="0"/>
        <w:spacing w:line="440" w:lineRule="exact"/>
        <w:ind w:firstLine="417" w:firstLineChars="199"/>
        <w:rPr>
          <w:rFonts w:eastAsia="黑体" w:cs="黑体"/>
          <w:szCs w:val="21"/>
        </w:rPr>
      </w:pPr>
      <w:r>
        <w:rPr>
          <w:color w:val="000000"/>
          <w:szCs w:val="21"/>
        </w:rPr>
        <w:t>依据GB 4789.1—2016 《食品安全国家标准 食品微生物学检验 总则》第7.3条规定“检验结果报告后，剩余样品和同批产品不进行微生物项目的复检”，微生物指标不合格不进行复检。</w:t>
      </w:r>
    </w:p>
    <w:p w14:paraId="515B3C04">
      <w:pPr>
        <w:adjustRightInd w:val="0"/>
        <w:snapToGrid w:val="0"/>
        <w:spacing w:line="440" w:lineRule="exact"/>
        <w:outlineLvl w:val="1"/>
        <w:rPr>
          <w:rFonts w:eastAsia="黑体" w:cs="黑体"/>
          <w:szCs w:val="21"/>
        </w:rPr>
      </w:pPr>
      <w:r>
        <w:rPr>
          <w:rFonts w:hint="eastAsia" w:eastAsia="黑体" w:cs="黑体"/>
          <w:szCs w:val="21"/>
        </w:rPr>
        <w:t>3 判定规则</w:t>
      </w:r>
    </w:p>
    <w:p w14:paraId="341A4D14">
      <w:pPr>
        <w:adjustRightInd w:val="0"/>
        <w:snapToGrid w:val="0"/>
        <w:spacing w:line="440" w:lineRule="exact"/>
        <w:rPr>
          <w:color w:val="000000"/>
          <w:szCs w:val="21"/>
        </w:rPr>
      </w:pPr>
      <w:r>
        <w:rPr>
          <w:rFonts w:hint="eastAsia"/>
          <w:color w:val="000000"/>
          <w:szCs w:val="21"/>
        </w:rPr>
        <w:t>3.1依据标准</w:t>
      </w:r>
    </w:p>
    <w:p w14:paraId="69CDB572">
      <w:pPr>
        <w:adjustRightInd w:val="0"/>
        <w:snapToGrid w:val="0"/>
        <w:spacing w:line="440" w:lineRule="exact"/>
        <w:ind w:firstLine="420" w:firstLineChars="200"/>
        <w:rPr>
          <w:rFonts w:cs="宋体"/>
          <w:szCs w:val="21"/>
        </w:rPr>
      </w:pPr>
      <w:r>
        <w:rPr>
          <w:rFonts w:hint="eastAsia" w:cs="宋体"/>
          <w:szCs w:val="21"/>
        </w:rPr>
        <w:t>GB 4806.7—2023 食品安全国家标准 食品接触用塑料材料及制品</w:t>
      </w:r>
    </w:p>
    <w:p w14:paraId="13B6D3B2">
      <w:pPr>
        <w:adjustRightInd w:val="0"/>
        <w:snapToGrid w:val="0"/>
        <w:spacing w:line="440" w:lineRule="exact"/>
        <w:ind w:firstLine="420" w:firstLineChars="200"/>
        <w:rPr>
          <w:rFonts w:cs="宋体"/>
          <w:szCs w:val="21"/>
        </w:rPr>
      </w:pPr>
      <w:r>
        <w:rPr>
          <w:rFonts w:hint="eastAsia" w:cs="宋体"/>
          <w:szCs w:val="21"/>
        </w:rPr>
        <w:t>GB 9685</w:t>
      </w:r>
      <w:r>
        <w:rPr>
          <w:szCs w:val="21"/>
        </w:rPr>
        <w:t>—</w:t>
      </w:r>
      <w:r>
        <w:rPr>
          <w:rFonts w:hint="eastAsia" w:cs="宋体"/>
          <w:szCs w:val="21"/>
        </w:rPr>
        <w:t>2016 食品安全国家标准 食品接触材料及制品用添加剂使用标准</w:t>
      </w:r>
    </w:p>
    <w:p w14:paraId="67E4221D">
      <w:pPr>
        <w:adjustRightInd w:val="0"/>
        <w:snapToGrid w:val="0"/>
        <w:spacing w:line="440" w:lineRule="exact"/>
        <w:ind w:firstLine="420" w:firstLineChars="200"/>
        <w:rPr>
          <w:rFonts w:cs="宋体"/>
          <w:szCs w:val="21"/>
        </w:rPr>
      </w:pPr>
      <w:r>
        <w:rPr>
          <w:rFonts w:hint="eastAsia" w:cs="宋体"/>
          <w:szCs w:val="21"/>
        </w:rPr>
        <w:t>GB 14934</w:t>
      </w:r>
      <w:r>
        <w:rPr>
          <w:szCs w:val="21"/>
        </w:rPr>
        <w:t>—</w:t>
      </w:r>
      <w:r>
        <w:rPr>
          <w:rFonts w:hint="eastAsia" w:cs="宋体"/>
          <w:szCs w:val="21"/>
        </w:rPr>
        <w:t>2016 食品安全国家标准 消毒餐(饮)具</w:t>
      </w:r>
    </w:p>
    <w:p w14:paraId="35FD9332">
      <w:pPr>
        <w:adjustRightInd w:val="0"/>
        <w:snapToGrid w:val="0"/>
        <w:spacing w:line="440" w:lineRule="exact"/>
        <w:ind w:firstLine="420" w:firstLineChars="200"/>
        <w:rPr>
          <w:rFonts w:hint="eastAsia" w:cs="宋体"/>
          <w:szCs w:val="21"/>
        </w:rPr>
      </w:pPr>
      <w:r>
        <w:fldChar w:fldCharType="begin"/>
      </w:r>
      <w:r>
        <w:instrText xml:space="preserve"> HYPERLINK "http://www.bzsb.info/javascript:void(0);" </w:instrText>
      </w:r>
      <w:r>
        <w:fldChar w:fldCharType="separate"/>
      </w:r>
      <w:r>
        <w:rPr>
          <w:rFonts w:hint="eastAsia" w:cs="宋体"/>
          <w:szCs w:val="21"/>
        </w:rPr>
        <w:t>GB/T 18006.1</w:t>
      </w:r>
      <w:r>
        <w:rPr>
          <w:szCs w:val="21"/>
        </w:rPr>
        <w:t>—</w:t>
      </w:r>
      <w:r>
        <w:rPr>
          <w:rFonts w:hint="eastAsia" w:cs="宋体"/>
          <w:szCs w:val="21"/>
        </w:rPr>
        <w:t>2009</w:t>
      </w:r>
      <w:r>
        <w:rPr>
          <w:rFonts w:hint="eastAsia" w:cs="宋体"/>
          <w:szCs w:val="21"/>
        </w:rPr>
        <w:fldChar w:fldCharType="end"/>
      </w:r>
      <w:r>
        <w:rPr>
          <w:rFonts w:hint="eastAsia"/>
        </w:rPr>
        <w:t xml:space="preserve"> </w:t>
      </w:r>
      <w:r>
        <w:rPr>
          <w:rFonts w:hint="eastAsia" w:cs="宋体"/>
          <w:szCs w:val="21"/>
        </w:rPr>
        <w:t>塑料一次性餐饮具通用技术要求</w:t>
      </w:r>
    </w:p>
    <w:p w14:paraId="4AD4F530">
      <w:pPr>
        <w:adjustRightInd w:val="0"/>
        <w:snapToGrid w:val="0"/>
        <w:spacing w:line="440" w:lineRule="exact"/>
        <w:ind w:firstLine="360" w:firstLineChars="200"/>
        <w:rPr>
          <w:rFonts w:hint="eastAsia" w:cs="宋体"/>
          <w:szCs w:val="21"/>
        </w:rPr>
      </w:pPr>
      <w:r>
        <w:rPr>
          <w:rFonts w:hint="eastAsia" w:ascii="宋体" w:hAnsi="宋体" w:eastAsia="宋体" w:cs="宋体"/>
          <w:color w:val="auto"/>
          <w:kern w:val="2"/>
          <w:sz w:val="18"/>
          <w:szCs w:val="18"/>
          <w:lang w:val="en-US" w:eastAsia="zh-CN" w:bidi="ar"/>
        </w:rPr>
        <w:t>《食品相关产品生产许可实施细则（一）食品用塑料包装容器工具等制品部分》</w:t>
      </w:r>
      <w:bookmarkStart w:id="2" w:name="_GoBack"/>
      <w:bookmarkEnd w:id="2"/>
    </w:p>
    <w:p w14:paraId="5C04A4C7">
      <w:pPr>
        <w:adjustRightInd w:val="0"/>
        <w:snapToGrid w:val="0"/>
        <w:spacing w:line="440" w:lineRule="exact"/>
        <w:ind w:firstLine="420" w:firstLineChars="200"/>
        <w:rPr>
          <w:rFonts w:hint="eastAsia" w:cs="宋体"/>
          <w:szCs w:val="21"/>
        </w:rPr>
      </w:pPr>
      <w:r>
        <w:rPr>
          <w:rFonts w:hint="eastAsia" w:cs="宋体"/>
          <w:szCs w:val="21"/>
        </w:rPr>
        <w:t>现行有效的企业标准、团体标准、地方标准及产品明示质量要求</w:t>
      </w:r>
    </w:p>
    <w:p w14:paraId="211795FA">
      <w:pPr>
        <w:adjustRightInd w:val="0"/>
        <w:snapToGrid w:val="0"/>
        <w:spacing w:line="440" w:lineRule="exact"/>
        <w:ind w:firstLine="420" w:firstLineChars="200"/>
        <w:rPr>
          <w:rFonts w:hint="eastAsia" w:cs="宋体"/>
          <w:szCs w:val="21"/>
        </w:rPr>
      </w:pPr>
    </w:p>
    <w:p w14:paraId="3932484D">
      <w:pPr>
        <w:adjustRightInd w:val="0"/>
        <w:snapToGrid w:val="0"/>
        <w:spacing w:line="440" w:lineRule="exact"/>
        <w:rPr>
          <w:color w:val="000000"/>
          <w:szCs w:val="21"/>
        </w:rPr>
      </w:pPr>
      <w:r>
        <w:rPr>
          <w:rFonts w:hint="eastAsia"/>
          <w:color w:val="000000"/>
          <w:szCs w:val="21"/>
        </w:rPr>
        <w:t>3.2判定原则</w:t>
      </w:r>
    </w:p>
    <w:p w14:paraId="590C7BED">
      <w:pPr>
        <w:adjustRightInd w:val="0"/>
        <w:snapToGrid w:val="0"/>
        <w:spacing w:line="440" w:lineRule="exact"/>
        <w:ind w:firstLine="420" w:firstLineChars="200"/>
        <w:rPr>
          <w:color w:val="000000"/>
          <w:szCs w:val="21"/>
        </w:rPr>
      </w:pPr>
      <w:r>
        <w:rPr>
          <w:rFonts w:hint="eastAsia"/>
          <w:color w:val="000000"/>
          <w:szCs w:val="21"/>
        </w:rPr>
        <w:t>经检验，检验项目全部合格，</w:t>
      </w:r>
      <w:r>
        <w:rPr>
          <w:color w:val="000000"/>
          <w:szCs w:val="21"/>
        </w:rPr>
        <w:t>判定为被抽查产品</w:t>
      </w:r>
      <w:r>
        <w:rPr>
          <w:rFonts w:hint="eastAsia"/>
          <w:color w:val="000000"/>
          <w:szCs w:val="21"/>
        </w:rPr>
        <w:t>所检项目未发现不</w:t>
      </w:r>
      <w:r>
        <w:rPr>
          <w:color w:val="000000"/>
          <w:szCs w:val="21"/>
        </w:rPr>
        <w:t>合格；</w:t>
      </w:r>
      <w:r>
        <w:rPr>
          <w:rFonts w:hint="eastAsia"/>
          <w:color w:val="000000"/>
          <w:szCs w:val="21"/>
        </w:rPr>
        <w:t>检验项目中任一项或一项以上不合格，判定为被抽查产品不合格。</w:t>
      </w:r>
    </w:p>
    <w:p w14:paraId="4EFB17A7">
      <w:pPr>
        <w:adjustRightInd w:val="0"/>
        <w:snapToGrid w:val="0"/>
        <w:spacing w:line="440" w:lineRule="exact"/>
        <w:ind w:firstLine="420" w:firstLineChars="200"/>
        <w:rPr>
          <w:color w:val="000000"/>
          <w:szCs w:val="21"/>
        </w:rPr>
      </w:pPr>
      <w:r>
        <w:rPr>
          <w:rFonts w:hint="eastAsia"/>
          <w:color w:val="000000"/>
          <w:szCs w:val="21"/>
        </w:rPr>
        <w:t>若被检产品明示的质量要求高于本细则中检验项目依据的标准要求时，应按被检产品明示的质量要求判定。</w:t>
      </w:r>
    </w:p>
    <w:p w14:paraId="11C7325E">
      <w:pPr>
        <w:adjustRightInd w:val="0"/>
        <w:snapToGrid w:val="0"/>
        <w:spacing w:line="440" w:lineRule="exact"/>
        <w:ind w:firstLine="420" w:firstLineChars="200"/>
        <w:rPr>
          <w:color w:val="000000"/>
          <w:szCs w:val="21"/>
        </w:rPr>
      </w:pPr>
      <w:r>
        <w:rPr>
          <w:rFonts w:hint="eastAsia"/>
          <w:color w:val="000000"/>
          <w:szCs w:val="21"/>
        </w:rPr>
        <w:t>若被检产品明示的质量要求低于本细则中检验项目依据的强制性标准要求时，应按照强制性标准要求判定。</w:t>
      </w:r>
    </w:p>
    <w:p w14:paraId="21E40BAE">
      <w:pPr>
        <w:adjustRightInd w:val="0"/>
        <w:snapToGrid w:val="0"/>
        <w:spacing w:line="440" w:lineRule="exact"/>
        <w:ind w:firstLine="420" w:firstLineChars="200"/>
        <w:rPr>
          <w:color w:val="000000"/>
          <w:szCs w:val="21"/>
        </w:rPr>
      </w:pPr>
      <w:r>
        <w:rPr>
          <w:rFonts w:hint="eastAsia"/>
          <w:color w:val="000000"/>
          <w:szCs w:val="21"/>
        </w:rPr>
        <w:t>若被检产品明示的质量要求低于或包含本细则中检验项目依据的推荐性标准要求时，应以被检产品明示的质量要求判定。</w:t>
      </w:r>
    </w:p>
    <w:p w14:paraId="44A0C949">
      <w:pPr>
        <w:adjustRightInd w:val="0"/>
        <w:snapToGrid w:val="0"/>
        <w:spacing w:line="440" w:lineRule="exact"/>
        <w:ind w:firstLine="420" w:firstLineChars="200"/>
        <w:rPr>
          <w:color w:val="000000"/>
          <w:szCs w:val="21"/>
        </w:rPr>
      </w:pPr>
      <w:r>
        <w:rPr>
          <w:rFonts w:hint="eastAsia"/>
          <w:color w:val="000000"/>
          <w:szCs w:val="21"/>
        </w:rPr>
        <w:t>若被检产品明示的质量要求缺少本细则中检验项目依据的强制性标准要求时，应按照强制性标准要求判定。</w:t>
      </w:r>
    </w:p>
    <w:p w14:paraId="6756BC66">
      <w:pPr>
        <w:adjustRightInd w:val="0"/>
        <w:snapToGrid w:val="0"/>
        <w:spacing w:line="440" w:lineRule="exact"/>
        <w:ind w:firstLine="420" w:firstLineChars="200"/>
        <w:rPr>
          <w:color w:val="000000"/>
          <w:szCs w:val="21"/>
        </w:rPr>
      </w:pPr>
      <w:r>
        <w:rPr>
          <w:rFonts w:hint="eastAsia"/>
          <w:color w:val="000000"/>
          <w:szCs w:val="21"/>
        </w:rPr>
        <w:t>若被检产品明示的质量要求缺少本细则中检验项目依据的推荐性标准要求时，该项目不参与判定。</w:t>
      </w:r>
    </w:p>
    <w:p w14:paraId="1621A1C6">
      <w:pPr>
        <w:adjustRightInd w:val="0"/>
        <w:snapToGrid w:val="0"/>
        <w:spacing w:line="440" w:lineRule="exact"/>
        <w:rPr>
          <w:color w:val="000000"/>
          <w:szCs w:val="21"/>
        </w:rPr>
      </w:pPr>
    </w:p>
    <w:p w14:paraId="2347E519">
      <w:pPr>
        <w:adjustRightInd w:val="0"/>
        <w:snapToGrid w:val="0"/>
        <w:spacing w:line="440" w:lineRule="exact"/>
        <w:outlineLvl w:val="1"/>
        <w:rPr>
          <w:rFonts w:eastAsia="黑体" w:cs="黑体"/>
          <w:szCs w:val="21"/>
        </w:rPr>
      </w:pPr>
      <w:r>
        <w:rPr>
          <w:rFonts w:hint="eastAsia" w:eastAsia="黑体" w:cs="黑体"/>
          <w:szCs w:val="21"/>
        </w:rPr>
        <w:t>4 附则</w:t>
      </w:r>
    </w:p>
    <w:p w14:paraId="182CC474">
      <w:pPr>
        <w:widowControl/>
        <w:spacing w:line="360" w:lineRule="auto"/>
        <w:ind w:left="-360" w:firstLine="840" w:firstLineChars="400"/>
        <w:rPr>
          <w:rFonts w:hint="default" w:eastAsia="宋体"/>
          <w:color w:val="000000"/>
          <w:szCs w:val="21"/>
          <w:lang w:val="en-US" w:eastAsia="zh-CN"/>
        </w:rPr>
      </w:pPr>
      <w:r>
        <w:rPr>
          <w:rFonts w:hint="eastAsia"/>
          <w:color w:val="000000"/>
          <w:szCs w:val="21"/>
        </w:rPr>
        <w:t>本细则</w:t>
      </w:r>
      <w:r>
        <w:rPr>
          <w:rFonts w:hint="eastAsia"/>
          <w:color w:val="000000"/>
          <w:szCs w:val="21"/>
          <w:lang w:val="en-US" w:eastAsia="zh-CN"/>
        </w:rPr>
        <w:t>首次发布。</w:t>
      </w:r>
    </w:p>
    <w:sectPr>
      <w:headerReference r:id="rId3" w:type="default"/>
      <w:footerReference r:id="rId4" w:type="default"/>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CB82DEB-BF39-4986-8ABE-36BC7F54293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B60A2D90-E3B0-4B1C-8D43-10018DDD1797}"/>
  </w:font>
  <w:font w:name="方正小标宋简体">
    <w:panose1 w:val="02010600010101010101"/>
    <w:charset w:val="86"/>
    <w:family w:val="auto"/>
    <w:pitch w:val="default"/>
    <w:sig w:usb0="00000001" w:usb1="080E0000" w:usb2="00000000" w:usb3="00000000" w:csb0="00040000" w:csb1="00000000"/>
    <w:embedRegular r:id="rId3" w:fontKey="{4C5B5212-E2F8-4AAF-B6C5-4C06FDC6179B}"/>
  </w:font>
  <w:font w:name="方正仿宋简体">
    <w:panose1 w:val="02000000000000000000"/>
    <w:charset w:val="86"/>
    <w:family w:val="script"/>
    <w:pitch w:val="default"/>
    <w:sig w:usb0="A00002BF" w:usb1="184F6CFA" w:usb2="00000012" w:usb3="00000000" w:csb0="00040001" w:csb1="00000000"/>
    <w:embedRegular r:id="rId4" w:fontKey="{65E6481C-D52D-40A6-92A4-8C87E6163516}"/>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E3615">
    <w:pPr>
      <w:pStyle w:val="5"/>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w:t>
    </w:r>
    <w:r>
      <w:rPr>
        <w:sz w:val="21"/>
        <w:szCs w:val="21"/>
        <w:lang w:val="zh-CN"/>
      </w:rPr>
      <w:fldChar w:fldCharType="end"/>
    </w:r>
  </w:p>
  <w:p w14:paraId="2D3D9C32">
    <w:pPr>
      <w:pStyle w:val="5"/>
      <w:ind w:right="360"/>
    </w:pPr>
  </w:p>
  <w:p w14:paraId="5A58B07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26DA">
    <w:pPr>
      <w:pStyle w:val="6"/>
      <w:pBdr>
        <w:bottom w:val="none" w:color="auto" w:sz="0" w:space="0"/>
      </w:pBdr>
    </w:pPr>
  </w:p>
  <w:p w14:paraId="5D7216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03EADD"/>
    <w:multiLevelType w:val="singleLevel"/>
    <w:tmpl w:val="F303EADD"/>
    <w:lvl w:ilvl="0" w:tentative="0">
      <w:start w:val="1"/>
      <w:numFmt w:val="decimal"/>
      <w:lvlText w:val="%1"/>
      <w:lvlJc w:val="center"/>
      <w:pPr>
        <w:ind w:left="279" w:hanging="13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iODJhNDlmY2NjMmNjNTE4M2VhODIwMTY1NWRkZmIifQ=="/>
  </w:docVars>
  <w:rsids>
    <w:rsidRoot w:val="004E7F45"/>
    <w:rsid w:val="000223BA"/>
    <w:rsid w:val="00025E70"/>
    <w:rsid w:val="00026930"/>
    <w:rsid w:val="000600FC"/>
    <w:rsid w:val="000612B1"/>
    <w:rsid w:val="000C39EF"/>
    <w:rsid w:val="000D0B7A"/>
    <w:rsid w:val="000F504B"/>
    <w:rsid w:val="001001F2"/>
    <w:rsid w:val="00111BFA"/>
    <w:rsid w:val="00126B4B"/>
    <w:rsid w:val="0013492D"/>
    <w:rsid w:val="00190058"/>
    <w:rsid w:val="001E7D67"/>
    <w:rsid w:val="001F5300"/>
    <w:rsid w:val="00262E0C"/>
    <w:rsid w:val="00263965"/>
    <w:rsid w:val="002917F2"/>
    <w:rsid w:val="002961CD"/>
    <w:rsid w:val="002D2966"/>
    <w:rsid w:val="002E746B"/>
    <w:rsid w:val="0033027F"/>
    <w:rsid w:val="00331A97"/>
    <w:rsid w:val="00345C28"/>
    <w:rsid w:val="00391B32"/>
    <w:rsid w:val="003D5388"/>
    <w:rsid w:val="003F7705"/>
    <w:rsid w:val="004064D4"/>
    <w:rsid w:val="00421E58"/>
    <w:rsid w:val="0048431A"/>
    <w:rsid w:val="004E7F45"/>
    <w:rsid w:val="004F4966"/>
    <w:rsid w:val="0051209D"/>
    <w:rsid w:val="00532F8D"/>
    <w:rsid w:val="0054077C"/>
    <w:rsid w:val="00556FBD"/>
    <w:rsid w:val="00571A64"/>
    <w:rsid w:val="00590F96"/>
    <w:rsid w:val="005A736C"/>
    <w:rsid w:val="005E6927"/>
    <w:rsid w:val="006219F8"/>
    <w:rsid w:val="00626CB9"/>
    <w:rsid w:val="00646A2D"/>
    <w:rsid w:val="0065579C"/>
    <w:rsid w:val="0068760D"/>
    <w:rsid w:val="006C56E0"/>
    <w:rsid w:val="007844F1"/>
    <w:rsid w:val="00791A66"/>
    <w:rsid w:val="007978AC"/>
    <w:rsid w:val="007A4F3E"/>
    <w:rsid w:val="007E6AED"/>
    <w:rsid w:val="0082334C"/>
    <w:rsid w:val="00862859"/>
    <w:rsid w:val="0088588D"/>
    <w:rsid w:val="008A1D26"/>
    <w:rsid w:val="008A34E5"/>
    <w:rsid w:val="008C2AA1"/>
    <w:rsid w:val="008D4A5A"/>
    <w:rsid w:val="00902C4C"/>
    <w:rsid w:val="0091647C"/>
    <w:rsid w:val="009371D2"/>
    <w:rsid w:val="009833AD"/>
    <w:rsid w:val="009A74F5"/>
    <w:rsid w:val="009F1D5A"/>
    <w:rsid w:val="00A04474"/>
    <w:rsid w:val="00A34CC6"/>
    <w:rsid w:val="00A42486"/>
    <w:rsid w:val="00A941B5"/>
    <w:rsid w:val="00A95981"/>
    <w:rsid w:val="00AC1FA9"/>
    <w:rsid w:val="00AD527D"/>
    <w:rsid w:val="00AE0D56"/>
    <w:rsid w:val="00AF34B8"/>
    <w:rsid w:val="00AF3B5B"/>
    <w:rsid w:val="00AF46D5"/>
    <w:rsid w:val="00B24BD0"/>
    <w:rsid w:val="00B4221B"/>
    <w:rsid w:val="00B44E4C"/>
    <w:rsid w:val="00B61C35"/>
    <w:rsid w:val="00B942CB"/>
    <w:rsid w:val="00BA4D5F"/>
    <w:rsid w:val="00BA5623"/>
    <w:rsid w:val="00BB1D93"/>
    <w:rsid w:val="00BC2935"/>
    <w:rsid w:val="00BE1502"/>
    <w:rsid w:val="00C2557D"/>
    <w:rsid w:val="00C25CB5"/>
    <w:rsid w:val="00C3154A"/>
    <w:rsid w:val="00C37F41"/>
    <w:rsid w:val="00C454DF"/>
    <w:rsid w:val="00C50932"/>
    <w:rsid w:val="00C87D52"/>
    <w:rsid w:val="00CE4FD7"/>
    <w:rsid w:val="00CE5418"/>
    <w:rsid w:val="00D10BD4"/>
    <w:rsid w:val="00D541C8"/>
    <w:rsid w:val="00D5626E"/>
    <w:rsid w:val="00D867EF"/>
    <w:rsid w:val="00D92B63"/>
    <w:rsid w:val="00D9409B"/>
    <w:rsid w:val="00DA4552"/>
    <w:rsid w:val="00DA52B0"/>
    <w:rsid w:val="00DF15F6"/>
    <w:rsid w:val="00DF4DCE"/>
    <w:rsid w:val="00E26257"/>
    <w:rsid w:val="00E864B9"/>
    <w:rsid w:val="00E93AD3"/>
    <w:rsid w:val="00E96ACA"/>
    <w:rsid w:val="00EB3B67"/>
    <w:rsid w:val="00EE0DA2"/>
    <w:rsid w:val="00F07ACA"/>
    <w:rsid w:val="00F14A6A"/>
    <w:rsid w:val="00F15254"/>
    <w:rsid w:val="00F2567C"/>
    <w:rsid w:val="00F76949"/>
    <w:rsid w:val="00F85554"/>
    <w:rsid w:val="00F94DCB"/>
    <w:rsid w:val="00FF2630"/>
    <w:rsid w:val="01A131C3"/>
    <w:rsid w:val="01FB18B7"/>
    <w:rsid w:val="024B3ED5"/>
    <w:rsid w:val="032C2CC0"/>
    <w:rsid w:val="050161E5"/>
    <w:rsid w:val="05545442"/>
    <w:rsid w:val="056915AB"/>
    <w:rsid w:val="057B705B"/>
    <w:rsid w:val="07555753"/>
    <w:rsid w:val="09837BF5"/>
    <w:rsid w:val="0CA16AA5"/>
    <w:rsid w:val="0D5E33E4"/>
    <w:rsid w:val="10E96DCA"/>
    <w:rsid w:val="11A97B1A"/>
    <w:rsid w:val="12EE04EB"/>
    <w:rsid w:val="137A0F61"/>
    <w:rsid w:val="142E2B41"/>
    <w:rsid w:val="146050F4"/>
    <w:rsid w:val="15097FDB"/>
    <w:rsid w:val="150E1C7B"/>
    <w:rsid w:val="15326481"/>
    <w:rsid w:val="15861A43"/>
    <w:rsid w:val="15F1076B"/>
    <w:rsid w:val="188E1215"/>
    <w:rsid w:val="18B11774"/>
    <w:rsid w:val="1A9221AF"/>
    <w:rsid w:val="1BDD60C2"/>
    <w:rsid w:val="1C0559C8"/>
    <w:rsid w:val="1DCA3D55"/>
    <w:rsid w:val="1E1060D3"/>
    <w:rsid w:val="1E3265FA"/>
    <w:rsid w:val="1FE932D4"/>
    <w:rsid w:val="1FF041AE"/>
    <w:rsid w:val="1FFE717E"/>
    <w:rsid w:val="20055C73"/>
    <w:rsid w:val="20076CF3"/>
    <w:rsid w:val="201C0001"/>
    <w:rsid w:val="204E7819"/>
    <w:rsid w:val="20A372F0"/>
    <w:rsid w:val="20CB4BB3"/>
    <w:rsid w:val="213E16CC"/>
    <w:rsid w:val="216F55CD"/>
    <w:rsid w:val="21F07040"/>
    <w:rsid w:val="22902033"/>
    <w:rsid w:val="22F14622"/>
    <w:rsid w:val="23997488"/>
    <w:rsid w:val="24744770"/>
    <w:rsid w:val="249267E9"/>
    <w:rsid w:val="276B0F6B"/>
    <w:rsid w:val="27B619BA"/>
    <w:rsid w:val="29370BA0"/>
    <w:rsid w:val="2A9653EA"/>
    <w:rsid w:val="2AF0519A"/>
    <w:rsid w:val="2B3505C9"/>
    <w:rsid w:val="2B7251A1"/>
    <w:rsid w:val="2D0F3610"/>
    <w:rsid w:val="2DAF6AA4"/>
    <w:rsid w:val="2E447434"/>
    <w:rsid w:val="2F7470F0"/>
    <w:rsid w:val="308630DB"/>
    <w:rsid w:val="310877D6"/>
    <w:rsid w:val="31996818"/>
    <w:rsid w:val="322F25BC"/>
    <w:rsid w:val="3282567F"/>
    <w:rsid w:val="32AF1344"/>
    <w:rsid w:val="337C71E2"/>
    <w:rsid w:val="33ED6206"/>
    <w:rsid w:val="345E6417"/>
    <w:rsid w:val="348A3282"/>
    <w:rsid w:val="35D82F96"/>
    <w:rsid w:val="3601309E"/>
    <w:rsid w:val="373778B4"/>
    <w:rsid w:val="379D2C7F"/>
    <w:rsid w:val="37A458DA"/>
    <w:rsid w:val="37CF580A"/>
    <w:rsid w:val="384E752E"/>
    <w:rsid w:val="39135CA7"/>
    <w:rsid w:val="394C6EB2"/>
    <w:rsid w:val="3A774A34"/>
    <w:rsid w:val="3AE96DA9"/>
    <w:rsid w:val="3BFA02F7"/>
    <w:rsid w:val="3C7D414C"/>
    <w:rsid w:val="3CC309AB"/>
    <w:rsid w:val="3E780D76"/>
    <w:rsid w:val="40F85902"/>
    <w:rsid w:val="42AA28AA"/>
    <w:rsid w:val="43F37E46"/>
    <w:rsid w:val="44123AED"/>
    <w:rsid w:val="44C85855"/>
    <w:rsid w:val="45000F8C"/>
    <w:rsid w:val="45697947"/>
    <w:rsid w:val="47DD19DA"/>
    <w:rsid w:val="47E81CD0"/>
    <w:rsid w:val="48CD242C"/>
    <w:rsid w:val="496B0759"/>
    <w:rsid w:val="4A6B0188"/>
    <w:rsid w:val="4AA970F7"/>
    <w:rsid w:val="4ABB1D38"/>
    <w:rsid w:val="4C1D7892"/>
    <w:rsid w:val="4D5E548A"/>
    <w:rsid w:val="4E3917D8"/>
    <w:rsid w:val="4EB67BBA"/>
    <w:rsid w:val="4EF318AC"/>
    <w:rsid w:val="50225853"/>
    <w:rsid w:val="50D864D3"/>
    <w:rsid w:val="51086967"/>
    <w:rsid w:val="513F2C99"/>
    <w:rsid w:val="516E4782"/>
    <w:rsid w:val="52F952BE"/>
    <w:rsid w:val="53243C8C"/>
    <w:rsid w:val="534A24ED"/>
    <w:rsid w:val="53AF4999"/>
    <w:rsid w:val="55675746"/>
    <w:rsid w:val="556E394C"/>
    <w:rsid w:val="55797C08"/>
    <w:rsid w:val="59F561A9"/>
    <w:rsid w:val="5A6F5206"/>
    <w:rsid w:val="5DAE5A52"/>
    <w:rsid w:val="5E0D0BDF"/>
    <w:rsid w:val="5F253730"/>
    <w:rsid w:val="5F5D78DC"/>
    <w:rsid w:val="601F0EAE"/>
    <w:rsid w:val="602E7188"/>
    <w:rsid w:val="620675AB"/>
    <w:rsid w:val="622B13D1"/>
    <w:rsid w:val="62AC7955"/>
    <w:rsid w:val="63490652"/>
    <w:rsid w:val="64A86918"/>
    <w:rsid w:val="650E0CE2"/>
    <w:rsid w:val="65CD15D6"/>
    <w:rsid w:val="68F93880"/>
    <w:rsid w:val="6951565F"/>
    <w:rsid w:val="69552DD1"/>
    <w:rsid w:val="69CB6804"/>
    <w:rsid w:val="6BE256D4"/>
    <w:rsid w:val="6C15171F"/>
    <w:rsid w:val="6E083216"/>
    <w:rsid w:val="6E8A7348"/>
    <w:rsid w:val="6E9256FE"/>
    <w:rsid w:val="6EA70D04"/>
    <w:rsid w:val="6EC5277F"/>
    <w:rsid w:val="6F2B5042"/>
    <w:rsid w:val="711A28E5"/>
    <w:rsid w:val="71482881"/>
    <w:rsid w:val="71D2493E"/>
    <w:rsid w:val="71DB227A"/>
    <w:rsid w:val="723122EE"/>
    <w:rsid w:val="72794FA7"/>
    <w:rsid w:val="730C2F2A"/>
    <w:rsid w:val="739B5F35"/>
    <w:rsid w:val="741A20CB"/>
    <w:rsid w:val="75762924"/>
    <w:rsid w:val="75FC38B9"/>
    <w:rsid w:val="768A5494"/>
    <w:rsid w:val="77854E73"/>
    <w:rsid w:val="797E31CB"/>
    <w:rsid w:val="7A277A18"/>
    <w:rsid w:val="7A9A1A11"/>
    <w:rsid w:val="7B9157EC"/>
    <w:rsid w:val="7BB578CB"/>
    <w:rsid w:val="7C3D28A5"/>
    <w:rsid w:val="7C5B0643"/>
    <w:rsid w:val="7E071097"/>
    <w:rsid w:val="7E463F5C"/>
    <w:rsid w:val="7E611631"/>
    <w:rsid w:val="7E6B05F1"/>
    <w:rsid w:val="7E6B3D8A"/>
    <w:rsid w:val="7F666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autoRedefine/>
    <w:qFormat/>
    <w:uiPriority w:val="99"/>
    <w:pPr>
      <w:jc w:val="left"/>
    </w:pPr>
  </w:style>
  <w:style w:type="paragraph" w:styleId="3">
    <w:name w:val="Body Text Indent"/>
    <w:basedOn w:val="1"/>
    <w:autoRedefine/>
    <w:qFormat/>
    <w:uiPriority w:val="0"/>
    <w:pPr>
      <w:ind w:firstLine="600" w:firstLineChars="200"/>
    </w:pPr>
    <w:rPr>
      <w:rFonts w:eastAsia="仿宋_GB2312"/>
      <w:sz w:val="30"/>
      <w:szCs w:val="24"/>
    </w:rPr>
  </w:style>
  <w:style w:type="paragraph" w:styleId="4">
    <w:name w:val="Balloon Text"/>
    <w:basedOn w:val="1"/>
    <w:link w:val="13"/>
    <w:autoRedefine/>
    <w:qFormat/>
    <w:uiPriority w:val="0"/>
    <w:rPr>
      <w:sz w:val="18"/>
      <w:szCs w:val="18"/>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4"/>
    <w:autoRedefine/>
    <w:qFormat/>
    <w:uiPriority w:val="0"/>
    <w:rPr>
      <w:b/>
      <w:bCs/>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autoRedefine/>
    <w:qFormat/>
    <w:uiPriority w:val="0"/>
    <w:rPr>
      <w:sz w:val="21"/>
      <w:szCs w:val="21"/>
    </w:rPr>
  </w:style>
  <w:style w:type="character" w:customStyle="1" w:styleId="12">
    <w:name w:val="批注文字 字符"/>
    <w:link w:val="2"/>
    <w:autoRedefine/>
    <w:qFormat/>
    <w:uiPriority w:val="99"/>
    <w:rPr>
      <w:kern w:val="2"/>
      <w:sz w:val="21"/>
      <w:szCs w:val="22"/>
    </w:rPr>
  </w:style>
  <w:style w:type="character" w:customStyle="1" w:styleId="13">
    <w:name w:val="批注框文本 字符"/>
    <w:link w:val="4"/>
    <w:autoRedefine/>
    <w:qFormat/>
    <w:uiPriority w:val="0"/>
    <w:rPr>
      <w:kern w:val="2"/>
      <w:sz w:val="18"/>
      <w:szCs w:val="18"/>
    </w:rPr>
  </w:style>
  <w:style w:type="character" w:customStyle="1" w:styleId="14">
    <w:name w:val="批注主题 字符"/>
    <w:link w:val="7"/>
    <w:autoRedefine/>
    <w:qFormat/>
    <w:uiPriority w:val="0"/>
  </w:style>
  <w:style w:type="character" w:customStyle="1" w:styleId="15">
    <w:name w:val="fontstyle01"/>
    <w:autoRedefine/>
    <w:qFormat/>
    <w:uiPriority w:val="0"/>
    <w:rPr>
      <w:rFonts w:ascii="黑体" w:hAnsi="宋体" w:eastAsia="黑体" w:cs="黑体"/>
      <w:color w:val="000000"/>
      <w:sz w:val="32"/>
      <w:szCs w:val="32"/>
    </w:rPr>
  </w:style>
  <w:style w:type="paragraph" w:customStyle="1" w:styleId="16">
    <w:name w:val="修订1"/>
    <w:autoRedefine/>
    <w:unhideWhenUsed/>
    <w:qFormat/>
    <w:uiPriority w:val="99"/>
    <w:rPr>
      <w:rFonts w:ascii="Times New Roman" w:hAnsi="Times New Roman" w:eastAsia="宋体" w:cs="Times New Roman"/>
      <w:kern w:val="2"/>
      <w:sz w:val="21"/>
      <w:szCs w:val="22"/>
      <w:lang w:val="en-US" w:eastAsia="zh-CN" w:bidi="ar-SA"/>
    </w:rPr>
  </w:style>
  <w:style w:type="paragraph" w:customStyle="1" w:styleId="17">
    <w:name w:val="列出段落1"/>
    <w:basedOn w:val="1"/>
    <w:autoRedefine/>
    <w:qFormat/>
    <w:uiPriority w:val="34"/>
    <w:pPr>
      <w:ind w:firstLine="420" w:firstLineChars="200"/>
    </w:pPr>
  </w:style>
  <w:style w:type="paragraph" w:customStyle="1" w:styleId="18">
    <w:name w:val="Default"/>
    <w:autoRedefine/>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styleId="19">
    <w:name w:val="List Paragraph"/>
    <w:basedOn w:val="1"/>
    <w:autoRedefine/>
    <w:qFormat/>
    <w:uiPriority w:val="99"/>
    <w:pPr>
      <w:ind w:firstLine="420" w:firstLineChars="200"/>
    </w:pPr>
  </w:style>
  <w:style w:type="paragraph" w:customStyle="1" w:styleId="20">
    <w:name w:val="Revision"/>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1038</Words>
  <Characters>1247</Characters>
  <Lines>13</Lines>
  <Paragraphs>3</Paragraphs>
  <TotalTime>0</TotalTime>
  <ScaleCrop>false</ScaleCrop>
  <LinksUpToDate>false</LinksUpToDate>
  <CharactersWithSpaces>1281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2019-12-26T19:53:00Z</dcterms:created>
  <dc:creator>Administrator</dc:creator>
  <cp:lastModifiedBy>renketina</cp:lastModifiedBy>
  <cp:lastPrinted>2024-03-01T06:25:00Z</cp:lastPrinted>
  <dcterms:modified xsi:type="dcterms:W3CDTF">2025-05-27T02:05:01Z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4CBD88FE8F2C44DBAE9F1135C2873110_13</vt:lpwstr>
  </property>
  <property fmtid="{D5CDD505-2E9C-101B-9397-08002B2CF9AE}" pid="4" name="KSOTemplateDocerSaveRecord">
    <vt:lpwstr>eyJoZGlkIjoiZjk0ODA0MjBlZDZhYjY0NzJkODczMTUzNTE0MDg3YWQiLCJ1c2VySWQiOiIzMDk4MTEzMDYifQ==</vt:lpwstr>
  </property>
</Properties>
</file>