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pacing w:val="20"/>
          <w:sz w:val="44"/>
          <w:szCs w:val="44"/>
          <w:highlight w:val="none"/>
        </w:rPr>
      </w:pPr>
      <w:r>
        <w:rPr>
          <w:rFonts w:hint="eastAsia" w:ascii="黑体" w:hAnsi="黑体" w:eastAsia="黑体"/>
          <w:spacing w:val="20"/>
          <w:sz w:val="44"/>
          <w:szCs w:val="44"/>
          <w:highlight w:val="none"/>
        </w:rPr>
        <w:t>东阳市政府产业基金管理办法</w:t>
      </w:r>
    </w:p>
    <w:p>
      <w:pPr>
        <w:spacing w:line="360" w:lineRule="auto"/>
        <w:jc w:val="center"/>
        <w:rPr>
          <w:rFonts w:hint="eastAsia" w:ascii="黑体" w:eastAsia="黑体"/>
          <w:b/>
          <w:bCs/>
          <w:sz w:val="32"/>
          <w:szCs w:val="32"/>
          <w:highlight w:val="none"/>
        </w:rPr>
      </w:pPr>
    </w:p>
    <w:p>
      <w:pPr>
        <w:spacing w:line="360" w:lineRule="auto"/>
        <w:jc w:val="center"/>
        <w:rPr>
          <w:rFonts w:hint="eastAsia" w:ascii="黑体" w:eastAsia="黑体"/>
          <w:b/>
          <w:bCs/>
          <w:sz w:val="32"/>
          <w:szCs w:val="32"/>
          <w:highlight w:val="none"/>
          <w:lang w:eastAsia="zh-CN"/>
        </w:rPr>
      </w:pPr>
      <w:r>
        <w:rPr>
          <w:rFonts w:hint="eastAsia" w:ascii="黑体" w:eastAsia="黑体"/>
          <w:b/>
          <w:bCs/>
          <w:sz w:val="32"/>
          <w:szCs w:val="32"/>
          <w:highlight w:val="none"/>
          <w:lang w:eastAsia="zh-CN"/>
        </w:rPr>
        <w:t>基金设立</w:t>
      </w:r>
      <w:r>
        <w:rPr>
          <w:rFonts w:hint="eastAsia" w:ascii="黑体" w:eastAsia="黑体"/>
          <w:b/>
          <w:bCs/>
          <w:sz w:val="32"/>
          <w:szCs w:val="32"/>
          <w:highlight w:val="none"/>
          <w:lang w:val="en-US" w:eastAsia="zh-CN"/>
        </w:rPr>
        <w:t>和</w:t>
      </w:r>
      <w:bookmarkStart w:id="0" w:name="_GoBack"/>
      <w:bookmarkEnd w:id="0"/>
      <w:r>
        <w:rPr>
          <w:rFonts w:hint="eastAsia" w:ascii="黑体" w:eastAsia="黑体"/>
          <w:b/>
          <w:bCs/>
          <w:sz w:val="32"/>
          <w:szCs w:val="32"/>
          <w:highlight w:val="none"/>
          <w:lang w:eastAsia="zh-CN"/>
        </w:rPr>
        <w:t>规模</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一、</w:t>
      </w:r>
      <w:r>
        <w:rPr>
          <w:rFonts w:hint="eastAsia" w:ascii="仿宋_GB2312" w:eastAsia="仿宋_GB2312"/>
          <w:spacing w:val="-6"/>
          <w:sz w:val="32"/>
          <w:szCs w:val="32"/>
          <w:highlight w:val="none"/>
        </w:rPr>
        <w:t>为加强和规范东阳市政府产业基金（以下简称“产业基金”）的运作和管理，更好发挥政府产业基金的引导和杠杆作用，根据《浙江省财政厅关于印发浙江省产业基金管理办法的通知》（浙财建〔2021〕75号）、《浙江省财政厅关于进一步加强政府产业基金投资运作管理的指导意见》（浙财金〔2021〕42号）</w:t>
      </w:r>
      <w:r>
        <w:rPr>
          <w:rFonts w:hint="eastAsia" w:ascii="仿宋_GB2312" w:eastAsia="仿宋_GB2312"/>
          <w:spacing w:val="-6"/>
          <w:sz w:val="32"/>
          <w:szCs w:val="32"/>
          <w:highlight w:val="none"/>
          <w:lang w:eastAsia="zh-CN"/>
        </w:rPr>
        <w:t>、《金华市国资委金华市财政局关于印发金华市产业基金管理办法（试行）的通知》（金国资发〔2022〕20号）</w:t>
      </w:r>
      <w:r>
        <w:rPr>
          <w:rFonts w:hint="eastAsia" w:ascii="仿宋_GB2312" w:eastAsia="仿宋_GB2312"/>
          <w:spacing w:val="-6"/>
          <w:sz w:val="32"/>
          <w:szCs w:val="32"/>
          <w:highlight w:val="none"/>
        </w:rPr>
        <w:t>等文件精神，制定本办法。</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二、</w:t>
      </w:r>
      <w:r>
        <w:rPr>
          <w:rFonts w:hint="eastAsia" w:ascii="仿宋_GB2312" w:eastAsia="仿宋_GB2312"/>
          <w:spacing w:val="-6"/>
          <w:sz w:val="32"/>
          <w:szCs w:val="32"/>
          <w:highlight w:val="none"/>
        </w:rPr>
        <w:t>本办法所称产业基金系由政府主导设立，按市场化方式运作的投资基金，其设立宗旨是发挥财政政策导向作用，引导金融资本和社会资本支持我市实体经济发展，加快推动我市科技创新和产业转型升级。</w:t>
      </w:r>
    </w:p>
    <w:p>
      <w:pPr>
        <w:spacing w:line="360" w:lineRule="auto"/>
        <w:ind w:firstLine="616" w:firstLineChars="200"/>
        <w:rPr>
          <w:rFonts w:ascii="仿宋_GB2312" w:eastAsia="仿宋_GB2312"/>
          <w:spacing w:val="-6"/>
          <w:sz w:val="32"/>
          <w:szCs w:val="32"/>
          <w:highlight w:val="none"/>
        </w:rPr>
      </w:pPr>
      <w:r>
        <w:rPr>
          <w:rFonts w:hint="eastAsia" w:ascii="仿宋_GB2312" w:eastAsia="仿宋_GB2312"/>
          <w:spacing w:val="-6"/>
          <w:sz w:val="32"/>
          <w:szCs w:val="32"/>
          <w:highlight w:val="none"/>
        </w:rPr>
        <w:t>产业基金运作遵循客观规律，给予一定投资风险容忍度，并健全尽职免责机制。</w:t>
      </w:r>
    </w:p>
    <w:p>
      <w:pPr>
        <w:spacing w:line="360" w:lineRule="auto"/>
        <w:ind w:firstLine="616" w:firstLineChars="200"/>
        <w:rPr>
          <w:rFonts w:ascii="仿宋_GB2312" w:eastAsia="仿宋_GB2312"/>
          <w:color w:val="FF0000"/>
          <w:spacing w:val="-6"/>
          <w:sz w:val="32"/>
          <w:szCs w:val="32"/>
          <w:highlight w:val="none"/>
        </w:rPr>
      </w:pPr>
      <w:r>
        <w:rPr>
          <w:rFonts w:hint="eastAsia" w:ascii="黑体" w:eastAsia="黑体"/>
          <w:spacing w:val="-6"/>
          <w:sz w:val="32"/>
          <w:szCs w:val="32"/>
          <w:highlight w:val="none"/>
          <w:lang w:eastAsia="zh-CN"/>
        </w:rPr>
        <w:t>三、</w:t>
      </w:r>
      <w:r>
        <w:rPr>
          <w:rFonts w:hint="eastAsia" w:ascii="仿宋_GB2312" w:eastAsia="仿宋_GB2312"/>
          <w:spacing w:val="-6"/>
          <w:sz w:val="32"/>
          <w:szCs w:val="32"/>
          <w:highlight w:val="none"/>
          <w:lang w:val="en-US" w:eastAsia="zh-CN"/>
        </w:rPr>
        <w:t>产业基金投资</w:t>
      </w:r>
      <w:r>
        <w:rPr>
          <w:rFonts w:hint="eastAsia" w:ascii="仿宋_GB2312" w:eastAsia="仿宋_GB2312"/>
          <w:spacing w:val="-6"/>
          <w:sz w:val="32"/>
          <w:szCs w:val="32"/>
          <w:highlight w:val="none"/>
        </w:rPr>
        <w:t>项目</w:t>
      </w:r>
      <w:r>
        <w:rPr>
          <w:rFonts w:hint="eastAsia" w:ascii="仿宋_GB2312" w:eastAsia="仿宋_GB2312"/>
          <w:spacing w:val="-6"/>
          <w:sz w:val="32"/>
          <w:szCs w:val="32"/>
          <w:highlight w:val="none"/>
          <w:lang w:val="en-US" w:eastAsia="zh-CN"/>
        </w:rPr>
        <w:t>聚焦我市产业结构特点和改革方向</w:t>
      </w:r>
      <w:r>
        <w:rPr>
          <w:rFonts w:hint="eastAsia" w:ascii="仿宋_GB2312" w:eastAsia="仿宋_GB2312"/>
          <w:spacing w:val="-6"/>
          <w:sz w:val="32"/>
          <w:szCs w:val="32"/>
          <w:highlight w:val="none"/>
        </w:rPr>
        <w:t>，</w:t>
      </w:r>
      <w:r>
        <w:rPr>
          <w:rFonts w:hint="eastAsia" w:ascii="仿宋_GB2312" w:eastAsia="仿宋_GB2312"/>
          <w:spacing w:val="-6"/>
          <w:sz w:val="32"/>
          <w:szCs w:val="32"/>
          <w:highlight w:val="none"/>
          <w:lang w:val="en-US" w:eastAsia="zh-CN"/>
        </w:rPr>
        <w:t>聚力支持</w:t>
      </w:r>
      <w:r>
        <w:rPr>
          <w:rFonts w:hint="eastAsia" w:ascii="仿宋_GB2312" w:eastAsia="仿宋_GB2312"/>
          <w:spacing w:val="-6"/>
          <w:sz w:val="32"/>
          <w:szCs w:val="32"/>
          <w:highlight w:val="none"/>
        </w:rPr>
        <w:t>新能源、新材料、</w:t>
      </w:r>
      <w:r>
        <w:rPr>
          <w:rFonts w:hint="eastAsia" w:ascii="仿宋_GB2312" w:eastAsia="仿宋_GB2312"/>
          <w:spacing w:val="-6"/>
          <w:sz w:val="32"/>
          <w:szCs w:val="32"/>
          <w:highlight w:val="none"/>
          <w:lang w:val="en-US" w:eastAsia="zh-CN"/>
        </w:rPr>
        <w:t>生命</w:t>
      </w:r>
      <w:r>
        <w:rPr>
          <w:rFonts w:hint="eastAsia" w:ascii="仿宋_GB2312" w:eastAsia="仿宋_GB2312"/>
          <w:spacing w:val="-6"/>
          <w:sz w:val="32"/>
          <w:szCs w:val="32"/>
          <w:highlight w:val="none"/>
        </w:rPr>
        <w:t>健康、高端装备制造和影视文旅等</w:t>
      </w:r>
      <w:r>
        <w:rPr>
          <w:rFonts w:hint="eastAsia" w:ascii="仿宋_GB2312" w:eastAsia="仿宋_GB2312"/>
          <w:spacing w:val="-6"/>
          <w:sz w:val="32"/>
          <w:szCs w:val="32"/>
          <w:highlight w:val="none"/>
          <w:lang w:val="en-US" w:eastAsia="zh-CN"/>
        </w:rPr>
        <w:t>重点</w:t>
      </w:r>
      <w:r>
        <w:rPr>
          <w:rFonts w:hint="eastAsia" w:ascii="仿宋_GB2312" w:eastAsia="仿宋_GB2312"/>
          <w:spacing w:val="-6"/>
          <w:sz w:val="32"/>
          <w:szCs w:val="32"/>
          <w:highlight w:val="none"/>
        </w:rPr>
        <w:t>产业。</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四、</w:t>
      </w:r>
      <w:r>
        <w:rPr>
          <w:rFonts w:hint="eastAsia" w:ascii="仿宋_GB2312" w:eastAsia="仿宋_GB2312"/>
          <w:spacing w:val="-6"/>
          <w:sz w:val="32"/>
          <w:szCs w:val="32"/>
          <w:highlight w:val="none"/>
        </w:rPr>
        <w:t>产业基金总规模为</w:t>
      </w:r>
      <w:r>
        <w:rPr>
          <w:rFonts w:hint="eastAsia" w:ascii="仿宋_GB2312" w:eastAsia="仿宋_GB2312"/>
          <w:spacing w:val="-6"/>
          <w:sz w:val="32"/>
          <w:szCs w:val="32"/>
          <w:highlight w:val="none"/>
          <w:lang w:val="en-US" w:eastAsia="zh-CN"/>
        </w:rPr>
        <w:t>30</w:t>
      </w:r>
      <w:r>
        <w:rPr>
          <w:rFonts w:hint="eastAsia" w:ascii="仿宋_GB2312" w:eastAsia="仿宋_GB2312"/>
          <w:spacing w:val="-6"/>
          <w:sz w:val="32"/>
          <w:szCs w:val="32"/>
          <w:highlight w:val="none"/>
        </w:rPr>
        <w:t>亿元，视资金需求和财力情况分次到位，后续可视运作和管理情况经市政府批准后增减规模。</w:t>
      </w:r>
    </w:p>
    <w:p>
      <w:pPr>
        <w:spacing w:line="360" w:lineRule="auto"/>
        <w:jc w:val="center"/>
        <w:rPr>
          <w:rFonts w:ascii="黑体" w:eastAsia="黑体"/>
          <w:b/>
          <w:bCs/>
          <w:spacing w:val="-6"/>
          <w:sz w:val="32"/>
          <w:szCs w:val="32"/>
          <w:highlight w:val="none"/>
        </w:rPr>
      </w:pPr>
      <w:r>
        <w:rPr>
          <w:rFonts w:hint="eastAsia" w:ascii="黑体" w:eastAsia="黑体"/>
          <w:b/>
          <w:bCs/>
          <w:spacing w:val="-6"/>
          <w:sz w:val="32"/>
          <w:szCs w:val="32"/>
          <w:highlight w:val="none"/>
        </w:rPr>
        <w:t>管理架构和职责分工</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五、</w:t>
      </w:r>
      <w:r>
        <w:rPr>
          <w:rFonts w:hint="eastAsia" w:ascii="仿宋_GB2312" w:eastAsia="仿宋_GB2312"/>
          <w:spacing w:val="-6"/>
          <w:sz w:val="32"/>
          <w:szCs w:val="32"/>
          <w:highlight w:val="none"/>
        </w:rPr>
        <w:t>产业基金基本运作管理架构包括基金管理委员会、财政局、项目行业主管部门、金投集团、基金管理公司等，根据国家法律法规及本办法规定各司其职、各负其责，健全基金运作管理机制，推动产业基金政策目标实现。</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六、</w:t>
      </w:r>
      <w:r>
        <w:rPr>
          <w:rFonts w:hint="eastAsia" w:ascii="仿宋_GB2312" w:eastAsia="仿宋_GB2312"/>
          <w:spacing w:val="-6"/>
          <w:sz w:val="32"/>
          <w:szCs w:val="32"/>
          <w:highlight w:val="none"/>
        </w:rPr>
        <w:t>基金管理委员会职责。由常务副市长任主任、项目行业分管副市长任副主任，按照“5+X”机制运行。市府办、财政局、国资办、金融办、金投集团等5个部门单位负责人为固定成员，“X”即项目行业主管部门的负责人，并视情况邀请资深专业人士参加。根据我市的产业规划及相关政策，确定基金的投资方向和投资原则；负责产业基金投资、投后重大事项、监督管理、政策指导和统筹协调等。</w:t>
      </w:r>
    </w:p>
    <w:p>
      <w:pPr>
        <w:spacing w:line="360" w:lineRule="auto"/>
        <w:ind w:firstLine="616" w:firstLineChars="200"/>
        <w:rPr>
          <w:rFonts w:ascii="仿宋_GB2312" w:eastAsia="仿宋_GB2312"/>
          <w:spacing w:val="-6"/>
          <w:sz w:val="32"/>
          <w:szCs w:val="32"/>
          <w:highlight w:val="none"/>
        </w:rPr>
      </w:pPr>
      <w:r>
        <w:rPr>
          <w:rFonts w:hint="eastAsia" w:ascii="仿宋_GB2312" w:eastAsia="仿宋_GB2312"/>
          <w:spacing w:val="-6"/>
          <w:sz w:val="32"/>
          <w:szCs w:val="32"/>
          <w:highlight w:val="none"/>
        </w:rPr>
        <w:t>基金管理委员会下设办公室，办公室设在财政局，由财政局负责人兼任办公室主任。主要职责是：负责管委会的日常工作和协调统筹工作；对产业基金的运行管理情况进行监督。</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七、</w:t>
      </w:r>
      <w:r>
        <w:rPr>
          <w:rFonts w:hint="eastAsia" w:ascii="仿宋_GB2312" w:eastAsia="仿宋_GB2312"/>
          <w:spacing w:val="-6"/>
          <w:sz w:val="32"/>
          <w:szCs w:val="32"/>
          <w:highlight w:val="none"/>
        </w:rPr>
        <w:t>市政府常务会议、市长办公会议可代为履行基金管理委员会的相关职责。</w:t>
      </w:r>
    </w:p>
    <w:p>
      <w:pPr>
        <w:spacing w:line="360" w:lineRule="auto"/>
        <w:ind w:firstLine="619" w:firstLineChars="200"/>
        <w:rPr>
          <w:rFonts w:ascii="仿宋_GB2312" w:eastAsia="仿宋_GB2312"/>
          <w:spacing w:val="-6"/>
          <w:sz w:val="32"/>
          <w:szCs w:val="32"/>
          <w:highlight w:val="none"/>
        </w:rPr>
      </w:pPr>
      <w:r>
        <w:rPr>
          <w:rFonts w:hint="eastAsia" w:ascii="黑体" w:hAnsi="黑体" w:eastAsia="黑体" w:cs="黑体"/>
          <w:b/>
          <w:bCs/>
          <w:spacing w:val="-6"/>
          <w:sz w:val="32"/>
          <w:szCs w:val="32"/>
          <w:highlight w:val="none"/>
          <w:lang w:eastAsia="zh-CN"/>
        </w:rPr>
        <w:t>八、</w:t>
      </w:r>
      <w:r>
        <w:rPr>
          <w:rFonts w:hint="eastAsia" w:ascii="仿宋_GB2312" w:eastAsia="仿宋_GB2312"/>
          <w:spacing w:val="-6"/>
          <w:sz w:val="32"/>
          <w:szCs w:val="32"/>
          <w:highlight w:val="none"/>
        </w:rPr>
        <w:t>财政局主要职责。筹措落实财政资金补充产业基金；负责牵头制定产业基金管理办法、绩效评价办法、尽职免责指导意见；负责组织开展产业基金运作管理情况的绩效评价和考核。</w:t>
      </w:r>
    </w:p>
    <w:p>
      <w:pPr>
        <w:spacing w:line="360" w:lineRule="auto"/>
        <w:ind w:firstLine="616" w:firstLineChars="200"/>
        <w:rPr>
          <w:rFonts w:ascii="仿宋_GB2312" w:eastAsia="仿宋_GB2312"/>
          <w:spacing w:val="-6"/>
          <w:sz w:val="32"/>
          <w:szCs w:val="32"/>
          <w:highlight w:val="none"/>
        </w:rPr>
      </w:pPr>
      <w:r>
        <w:rPr>
          <w:rFonts w:hint="eastAsia" w:ascii="仿宋_GB2312" w:eastAsia="仿宋_GB2312"/>
          <w:spacing w:val="-6"/>
          <w:sz w:val="32"/>
          <w:szCs w:val="32"/>
          <w:highlight w:val="none"/>
        </w:rPr>
        <w:t>市财政局负责代表市政府履行出资人职责，授权金投集团代行出资人职责，由其组建基金法人主体，协调管理基金相关事项。</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九、</w:t>
      </w:r>
      <w:r>
        <w:rPr>
          <w:rFonts w:hint="eastAsia" w:ascii="仿宋_GB2312" w:eastAsia="仿宋_GB2312"/>
          <w:spacing w:val="-6"/>
          <w:sz w:val="32"/>
          <w:szCs w:val="32"/>
          <w:highlight w:val="none"/>
        </w:rPr>
        <w:t>项目行业主管部门主要职责。参与投资事项研究；协助与省级机构、社会资本对接合作，引进省市级基金、社会资本共同设立子基金或专项基金、直接投资项目等。市级项目行业主管部门包含市委组织部（人才办）、市委宣传部、市发改委、市经信局、市科技局、市农业农村局、市商务局等部门。</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十、</w:t>
      </w:r>
      <w:r>
        <w:rPr>
          <w:rFonts w:hint="eastAsia" w:ascii="仿宋_GB2312" w:eastAsia="仿宋_GB2312"/>
          <w:spacing w:val="-6"/>
          <w:sz w:val="32"/>
          <w:szCs w:val="32"/>
          <w:highlight w:val="none"/>
        </w:rPr>
        <w:t>金投集团主要职责。经财政局授权履行出资人职责；负责产业基金法人主体组建、整合等相关事项；负责根据相关规定组织产业基金选择确定基金管理公司；牵头与省</w:t>
      </w:r>
      <w:r>
        <w:rPr>
          <w:rFonts w:hint="eastAsia" w:ascii="仿宋_GB2312" w:eastAsia="仿宋_GB2312"/>
          <w:spacing w:val="-6"/>
          <w:sz w:val="32"/>
          <w:szCs w:val="32"/>
          <w:highlight w:val="none"/>
          <w:lang w:val="en-US" w:eastAsia="zh-CN"/>
        </w:rPr>
        <w:t>市</w:t>
      </w:r>
      <w:r>
        <w:rPr>
          <w:rFonts w:hint="eastAsia" w:ascii="仿宋_GB2312" w:eastAsia="仿宋_GB2312"/>
          <w:spacing w:val="-6"/>
          <w:sz w:val="32"/>
          <w:szCs w:val="32"/>
          <w:highlight w:val="none"/>
        </w:rPr>
        <w:t>级机构、社会资本对接合作；负责对基金管理公司进行监督指导；负责实施基金年度财务审计和对基金管理公司的考核评价，定期报送产业基金运作相关情况。</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十一、</w:t>
      </w:r>
      <w:r>
        <w:rPr>
          <w:rFonts w:hint="eastAsia" w:ascii="仿宋_GB2312" w:eastAsia="仿宋_GB2312"/>
          <w:spacing w:val="-6"/>
          <w:sz w:val="32"/>
          <w:szCs w:val="32"/>
          <w:highlight w:val="none"/>
        </w:rPr>
        <w:t>基金管理公司主要职责。负责协同做好项目立项的投资方案和协议主要条款；对项目开展尽职调查，出具尽职调查报告；负责入股谈判、协议签署、参与决策、投后管理、退出等工作；负责制定完善内部基金投资运作制度；负责对产业基金实行专户管理、专账核算。</w:t>
      </w:r>
    </w:p>
    <w:p>
      <w:pPr>
        <w:spacing w:line="360" w:lineRule="auto"/>
        <w:jc w:val="center"/>
        <w:rPr>
          <w:rFonts w:ascii="仿宋_GB2312" w:eastAsia="仿宋_GB2312"/>
          <w:b/>
          <w:bCs/>
          <w:spacing w:val="-6"/>
          <w:sz w:val="32"/>
          <w:szCs w:val="32"/>
          <w:highlight w:val="none"/>
        </w:rPr>
      </w:pPr>
      <w:r>
        <w:rPr>
          <w:rFonts w:hint="eastAsia" w:ascii="黑体" w:eastAsia="黑体"/>
          <w:b/>
          <w:bCs/>
          <w:spacing w:val="-6"/>
          <w:sz w:val="32"/>
          <w:szCs w:val="32"/>
          <w:highlight w:val="none"/>
        </w:rPr>
        <w:t>投资模式和要求</w:t>
      </w:r>
    </w:p>
    <w:p>
      <w:pPr>
        <w:spacing w:line="360" w:lineRule="auto"/>
        <w:ind w:firstLine="616" w:firstLineChars="200"/>
        <w:rPr>
          <w:rFonts w:hint="eastAsia" w:ascii="仿宋_GB2312" w:eastAsia="仿宋_GB2312"/>
          <w:spacing w:val="-6"/>
          <w:sz w:val="32"/>
          <w:szCs w:val="32"/>
          <w:highlight w:val="none"/>
        </w:rPr>
      </w:pPr>
      <w:r>
        <w:rPr>
          <w:rFonts w:hint="eastAsia" w:ascii="黑体" w:eastAsia="黑体"/>
          <w:spacing w:val="-6"/>
          <w:sz w:val="32"/>
          <w:szCs w:val="32"/>
          <w:highlight w:val="none"/>
          <w:lang w:eastAsia="zh-CN"/>
        </w:rPr>
        <w:t>十二、</w:t>
      </w:r>
      <w:r>
        <w:rPr>
          <w:rFonts w:hint="eastAsia" w:ascii="仿宋_GB2312" w:eastAsia="仿宋_GB2312"/>
          <w:spacing w:val="-6"/>
          <w:sz w:val="32"/>
          <w:szCs w:val="32"/>
          <w:highlight w:val="none"/>
        </w:rPr>
        <w:t>产业基金投资以定向基金的模式为主，也可采取直接投资和非定向基金的模式，非定向基金需常务副市长同意后方可申请设立，定向基金和非定向基金统称子基金。</w:t>
      </w:r>
    </w:p>
    <w:p>
      <w:pPr>
        <w:spacing w:line="360" w:lineRule="auto"/>
        <w:ind w:firstLine="616" w:firstLineChars="200"/>
        <w:rPr>
          <w:rFonts w:hint="eastAsia" w:ascii="仿宋_GB2312" w:hAnsi="仿宋_GB2312" w:eastAsia="仿宋_GB2312" w:cs="仿宋_GB2312"/>
          <w:sz w:val="32"/>
          <w:szCs w:val="32"/>
          <w:highlight w:val="none"/>
        </w:rPr>
      </w:pPr>
      <w:r>
        <w:rPr>
          <w:rFonts w:hint="eastAsia" w:ascii="黑体" w:eastAsia="黑体"/>
          <w:spacing w:val="-6"/>
          <w:sz w:val="32"/>
          <w:szCs w:val="32"/>
          <w:highlight w:val="none"/>
          <w:lang w:eastAsia="zh-CN"/>
        </w:rPr>
        <w:t>十三、</w:t>
      </w:r>
      <w:r>
        <w:rPr>
          <w:rFonts w:hint="eastAsia" w:ascii="仿宋_GB2312" w:hAnsi="仿宋_GB2312" w:eastAsia="仿宋_GB2312" w:cs="仿宋_GB2312"/>
          <w:sz w:val="32"/>
          <w:szCs w:val="32"/>
          <w:highlight w:val="none"/>
        </w:rPr>
        <w:t>采取直接投资模式的，产业基金持股比例不得超过20%，且不为第一大股东。采取</w:t>
      </w:r>
      <w:r>
        <w:rPr>
          <w:rFonts w:hint="eastAsia" w:ascii="仿宋_GB2312" w:hAnsi="仿宋_GB2312" w:eastAsia="仿宋_GB2312" w:cs="仿宋_GB2312"/>
          <w:sz w:val="32"/>
          <w:szCs w:val="32"/>
          <w:highlight w:val="none"/>
          <w:lang w:val="en-US" w:eastAsia="zh-CN"/>
        </w:rPr>
        <w:t>子基金</w:t>
      </w:r>
      <w:r>
        <w:rPr>
          <w:rFonts w:hint="eastAsia" w:ascii="仿宋_GB2312" w:hAnsi="仿宋_GB2312" w:eastAsia="仿宋_GB2312" w:cs="仿宋_GB2312"/>
          <w:sz w:val="32"/>
          <w:szCs w:val="32"/>
          <w:highlight w:val="none"/>
        </w:rPr>
        <w:t>模式的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产业基金出资比例不超过基金规模的20%，且不为第一大股东。</w:t>
      </w:r>
    </w:p>
    <w:p>
      <w:pPr>
        <w:spacing w:line="360" w:lineRule="auto"/>
        <w:ind w:firstLine="640" w:firstLineChars="200"/>
        <w:rPr>
          <w:rFonts w:ascii="仿宋_GB2312" w:eastAsia="仿宋_GB2312"/>
          <w:spacing w:val="-6"/>
          <w:sz w:val="32"/>
          <w:szCs w:val="32"/>
          <w:highlight w:val="none"/>
        </w:rPr>
      </w:pPr>
      <w:r>
        <w:rPr>
          <w:rFonts w:hint="eastAsia" w:ascii="仿宋_GB2312" w:hAnsi="仿宋_GB2312" w:eastAsia="仿宋_GB2312" w:cs="仿宋_GB2312"/>
          <w:sz w:val="32"/>
          <w:szCs w:val="32"/>
          <w:highlight w:val="none"/>
        </w:rPr>
        <w:t>对于特别重大的项目经市政府主要领导审</w:t>
      </w:r>
      <w:r>
        <w:rPr>
          <w:rFonts w:hint="eastAsia" w:ascii="仿宋_GB2312" w:hAnsi="仿宋_GB2312" w:eastAsia="仿宋_GB2312" w:cs="仿宋_GB2312"/>
          <w:sz w:val="32"/>
          <w:szCs w:val="32"/>
          <w:highlight w:val="none"/>
          <w:lang w:eastAsia="zh-CN"/>
        </w:rPr>
        <w:t>定</w:t>
      </w:r>
      <w:r>
        <w:rPr>
          <w:rFonts w:hint="eastAsia" w:ascii="仿宋_GB2312" w:hAnsi="仿宋_GB2312" w:eastAsia="仿宋_GB2312" w:cs="仿宋_GB2312"/>
          <w:sz w:val="32"/>
          <w:szCs w:val="32"/>
          <w:highlight w:val="none"/>
        </w:rPr>
        <w:t>后不受上述所设出资比例限制。</w:t>
      </w:r>
    </w:p>
    <w:p>
      <w:pPr>
        <w:spacing w:line="360" w:lineRule="auto"/>
        <w:ind w:firstLine="616" w:firstLineChars="200"/>
        <w:rPr>
          <w:rFonts w:ascii="仿宋_GB2312" w:eastAsia="仿宋_GB2312"/>
          <w:b/>
          <w:spacing w:val="-6"/>
          <w:sz w:val="32"/>
          <w:szCs w:val="32"/>
          <w:highlight w:val="none"/>
        </w:rPr>
      </w:pPr>
      <w:r>
        <w:rPr>
          <w:rFonts w:hint="eastAsia" w:ascii="黑体" w:eastAsia="黑体"/>
          <w:spacing w:val="-6"/>
          <w:sz w:val="32"/>
          <w:szCs w:val="32"/>
          <w:highlight w:val="none"/>
          <w:lang w:eastAsia="zh-CN"/>
        </w:rPr>
        <w:t>十四、</w:t>
      </w:r>
      <w:r>
        <w:rPr>
          <w:rFonts w:hint="eastAsia" w:ascii="仿宋_GB2312" w:eastAsia="仿宋_GB2312"/>
          <w:spacing w:val="-6"/>
          <w:sz w:val="32"/>
          <w:szCs w:val="32"/>
          <w:highlight w:val="none"/>
        </w:rPr>
        <w:t>直接投资项目，按市场化方式定价估值。需要资产评估的，应按规定程序聘请具备资质的资产评估机构进行评估。国家、省级</w:t>
      </w:r>
      <w:r>
        <w:rPr>
          <w:rFonts w:hint="eastAsia" w:ascii="仿宋_GB2312" w:eastAsia="仿宋_GB2312"/>
          <w:spacing w:val="-6"/>
          <w:sz w:val="32"/>
          <w:szCs w:val="32"/>
          <w:highlight w:val="none"/>
          <w:lang w:val="en-US" w:eastAsia="zh-CN"/>
        </w:rPr>
        <w:t>或市级</w:t>
      </w:r>
      <w:r>
        <w:rPr>
          <w:rFonts w:hint="eastAsia" w:ascii="仿宋_GB2312" w:eastAsia="仿宋_GB2312"/>
          <w:spacing w:val="-6"/>
          <w:sz w:val="32"/>
          <w:szCs w:val="32"/>
          <w:highlight w:val="none"/>
        </w:rPr>
        <w:t>基金参与本轮投资的，可将该类机构的估值作为定价依据。</w:t>
      </w:r>
    </w:p>
    <w:p>
      <w:pPr>
        <w:spacing w:line="360" w:lineRule="auto"/>
        <w:ind w:firstLine="616" w:firstLineChars="200"/>
        <w:rPr>
          <w:rFonts w:hint="eastAsia" w:ascii="仿宋_GB2312" w:hAnsi="微软雅黑" w:eastAsia="仿宋_GB2312"/>
          <w:color w:val="000000"/>
          <w:sz w:val="32"/>
          <w:szCs w:val="32"/>
          <w:highlight w:val="none"/>
        </w:rPr>
      </w:pPr>
      <w:r>
        <w:rPr>
          <w:rFonts w:hint="eastAsia" w:ascii="黑体" w:eastAsia="黑体"/>
          <w:spacing w:val="-6"/>
          <w:sz w:val="32"/>
          <w:szCs w:val="32"/>
          <w:highlight w:val="none"/>
          <w:lang w:eastAsia="zh-CN"/>
        </w:rPr>
        <w:t>十五、</w:t>
      </w:r>
      <w:r>
        <w:rPr>
          <w:rFonts w:hint="eastAsia" w:ascii="仿宋_GB2312" w:eastAsia="仿宋_GB2312"/>
          <w:spacing w:val="-6"/>
          <w:sz w:val="32"/>
          <w:szCs w:val="32"/>
          <w:highlight w:val="none"/>
        </w:rPr>
        <w:t>产业基金</w:t>
      </w:r>
      <w:r>
        <w:rPr>
          <w:rFonts w:hint="eastAsia" w:ascii="仿宋_GB2312" w:hAnsi="微软雅黑" w:eastAsia="仿宋_GB2312"/>
          <w:color w:val="000000"/>
          <w:sz w:val="32"/>
          <w:szCs w:val="32"/>
          <w:highlight w:val="none"/>
        </w:rPr>
        <w:t>通过股权投资</w:t>
      </w:r>
      <w:r>
        <w:rPr>
          <w:rFonts w:hint="eastAsia" w:ascii="仿宋_GB2312" w:hAnsi="微软雅黑" w:eastAsia="仿宋_GB2312"/>
          <w:color w:val="000000"/>
          <w:sz w:val="32"/>
          <w:szCs w:val="32"/>
          <w:highlight w:val="none"/>
          <w:lang w:eastAsia="zh-CN"/>
        </w:rPr>
        <w:t>、</w:t>
      </w:r>
      <w:r>
        <w:rPr>
          <w:rFonts w:hint="eastAsia" w:ascii="仿宋_GB2312" w:hAnsi="微软雅黑" w:eastAsia="仿宋_GB2312"/>
          <w:color w:val="000000"/>
          <w:sz w:val="32"/>
          <w:szCs w:val="32"/>
          <w:highlight w:val="none"/>
          <w:lang w:val="en-US" w:eastAsia="zh-CN"/>
        </w:rPr>
        <w:t>基金投资的</w:t>
      </w:r>
      <w:r>
        <w:rPr>
          <w:rFonts w:hint="eastAsia" w:ascii="仿宋_GB2312" w:hAnsi="微软雅黑" w:eastAsia="仿宋_GB2312"/>
          <w:color w:val="000000"/>
          <w:sz w:val="32"/>
          <w:szCs w:val="32"/>
          <w:highlight w:val="none"/>
        </w:rPr>
        <w:t>方式进行运作，但不得从事以下业务：</w:t>
      </w:r>
    </w:p>
    <w:p>
      <w:pPr>
        <w:spacing w:line="360" w:lineRule="auto"/>
        <w:ind w:firstLine="640" w:firstLineChars="200"/>
        <w:rPr>
          <w:rFonts w:hint="eastAsia"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1.从事融资担保以外的担保、抵押、委托贷款等业务；</w:t>
      </w:r>
    </w:p>
    <w:p>
      <w:pPr>
        <w:spacing w:line="360" w:lineRule="auto"/>
        <w:ind w:firstLine="640" w:firstLineChars="200"/>
        <w:rPr>
          <w:rFonts w:hint="eastAsia"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2.投资公开交易类股票、期货、房地产、证券投资基金、评级AAA以下的企业债、信托产品、非保本型理财产品、保险计划及其他金融衍生品；</w:t>
      </w:r>
    </w:p>
    <w:p>
      <w:pPr>
        <w:spacing w:line="360" w:lineRule="auto"/>
        <w:ind w:firstLine="640" w:firstLineChars="200"/>
        <w:rPr>
          <w:rFonts w:hint="eastAsia"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3.向任何第三方提供赞助、捐赠（经批准的公益性捐赠除外）；</w:t>
      </w:r>
    </w:p>
    <w:p>
      <w:pPr>
        <w:spacing w:line="360" w:lineRule="auto"/>
        <w:ind w:firstLine="640" w:firstLineChars="200"/>
        <w:rPr>
          <w:rFonts w:hint="eastAsia"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4.吸收或变相吸收存款，或向第三方提供贷款和资金拆借，或名股实债等变相增加政府债务的行为；</w:t>
      </w:r>
    </w:p>
    <w:p>
      <w:pPr>
        <w:spacing w:line="360" w:lineRule="auto"/>
        <w:ind w:firstLine="640" w:firstLineChars="200"/>
        <w:rPr>
          <w:rFonts w:hint="eastAsia"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5.承担无限连带责任的对外投资；</w:t>
      </w:r>
    </w:p>
    <w:p>
      <w:pPr>
        <w:spacing w:line="360" w:lineRule="auto"/>
        <w:ind w:firstLine="640" w:firstLineChars="200"/>
        <w:rPr>
          <w:rFonts w:hint="eastAsia"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6.发行信托或集合理财产品募集资金；</w:t>
      </w:r>
    </w:p>
    <w:p>
      <w:pPr>
        <w:spacing w:line="360" w:lineRule="auto"/>
        <w:ind w:firstLine="640" w:firstLineChars="200"/>
        <w:rPr>
          <w:rFonts w:ascii="仿宋_GB2312" w:eastAsia="仿宋_GB2312"/>
          <w:spacing w:val="-6"/>
          <w:sz w:val="32"/>
          <w:szCs w:val="32"/>
          <w:highlight w:val="none"/>
        </w:rPr>
      </w:pPr>
      <w:r>
        <w:rPr>
          <w:rFonts w:hint="eastAsia" w:ascii="仿宋_GB2312" w:hAnsi="微软雅黑" w:eastAsia="仿宋_GB2312"/>
          <w:color w:val="000000"/>
          <w:sz w:val="32"/>
          <w:szCs w:val="32"/>
          <w:highlight w:val="none"/>
        </w:rPr>
        <w:t>7.其他国家法律法规禁止从事的业务。</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lang w:eastAsia="zh-CN"/>
        </w:rPr>
        <w:t>十六、</w:t>
      </w:r>
      <w:r>
        <w:rPr>
          <w:rFonts w:hint="eastAsia" w:ascii="仿宋_GB2312" w:eastAsia="仿宋_GB2312"/>
          <w:spacing w:val="-6"/>
          <w:sz w:val="32"/>
          <w:szCs w:val="32"/>
          <w:highlight w:val="none"/>
        </w:rPr>
        <w:t>产业基金投资的子基金，一般应委托专业机构进行运营和管理，选聘的专业机构应不低于以下条件：</w:t>
      </w:r>
    </w:p>
    <w:p>
      <w:pPr>
        <w:spacing w:line="360" w:lineRule="auto"/>
        <w:ind w:firstLine="616" w:firstLineChars="200"/>
        <w:rPr>
          <w:rFonts w:ascii="仿宋_GB2312" w:eastAsia="仿宋_GB2312"/>
          <w:spacing w:val="-6"/>
          <w:sz w:val="32"/>
          <w:szCs w:val="32"/>
          <w:highlight w:val="none"/>
        </w:rPr>
      </w:pPr>
      <w:r>
        <w:rPr>
          <w:rFonts w:hint="eastAsia" w:ascii="仿宋_GB2312" w:eastAsia="仿宋_GB2312"/>
          <w:spacing w:val="-6"/>
          <w:sz w:val="32"/>
          <w:szCs w:val="32"/>
          <w:highlight w:val="none"/>
        </w:rPr>
        <w:t>1.在中华人民共和国境内依法设立，且已在相关监管部门或行业自律组织登记备案，实收资本不低于1000万元人民币，最近3年不存在重大违法违规行为；</w:t>
      </w:r>
    </w:p>
    <w:p>
      <w:pPr>
        <w:pStyle w:val="4"/>
        <w:shd w:val="clear" w:color="auto" w:fill="FFFFFF"/>
        <w:spacing w:before="0" w:beforeAutospacing="0" w:after="0" w:afterAutospacing="0" w:line="360" w:lineRule="auto"/>
        <w:ind w:firstLine="616" w:firstLineChars="200"/>
        <w:rPr>
          <w:rFonts w:ascii="仿宋_GB2312" w:hAnsi="微软雅黑" w:eastAsia="仿宋_GB2312"/>
          <w:color w:val="000000"/>
          <w:sz w:val="32"/>
          <w:szCs w:val="32"/>
          <w:highlight w:val="none"/>
        </w:rPr>
      </w:pPr>
      <w:r>
        <w:rPr>
          <w:rFonts w:hint="eastAsia" w:ascii="仿宋_GB2312" w:eastAsia="仿宋_GB2312"/>
          <w:spacing w:val="-6"/>
          <w:sz w:val="32"/>
          <w:szCs w:val="32"/>
          <w:highlight w:val="none"/>
        </w:rPr>
        <w:t>2.</w:t>
      </w:r>
      <w:r>
        <w:rPr>
          <w:rFonts w:hint="eastAsia" w:ascii="仿宋_GB2312" w:hAnsi="微软雅黑" w:eastAsia="仿宋_GB2312"/>
          <w:color w:val="000000"/>
          <w:sz w:val="32"/>
          <w:szCs w:val="32"/>
          <w:highlight w:val="none"/>
        </w:rPr>
        <w:t>有固定营业场所及与其业务相适应的软硬件设施，应向符合私募投资基金监督管理有关规定的合格投资者募集资金；</w:t>
      </w:r>
    </w:p>
    <w:p>
      <w:pPr>
        <w:pStyle w:val="4"/>
        <w:shd w:val="clear" w:color="auto" w:fill="FFFFFF"/>
        <w:spacing w:before="0" w:beforeAutospacing="0" w:after="0" w:afterAutospacing="0" w:line="360" w:lineRule="auto"/>
        <w:ind w:firstLine="640" w:firstLineChars="200"/>
        <w:rPr>
          <w:rFonts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3.具备丰富的投资管理经验和良好的管理业绩，健全的投资管理和风险控制流程，规范的项目遴选机制，能够为被投资企业提供创业辅导、管理咨询等增值服务；</w:t>
      </w:r>
    </w:p>
    <w:p>
      <w:pPr>
        <w:spacing w:line="360" w:lineRule="auto"/>
        <w:ind w:firstLine="640" w:firstLineChars="200"/>
        <w:rPr>
          <w:rFonts w:ascii="仿宋_GB2312" w:eastAsia="仿宋_GB2312"/>
          <w:spacing w:val="-6"/>
          <w:sz w:val="32"/>
          <w:szCs w:val="32"/>
          <w:highlight w:val="none"/>
        </w:rPr>
      </w:pPr>
      <w:r>
        <w:rPr>
          <w:rFonts w:hint="eastAsia" w:ascii="仿宋_GB2312" w:hAnsi="微软雅黑" w:eastAsia="仿宋_GB2312"/>
          <w:color w:val="000000"/>
          <w:sz w:val="32"/>
          <w:szCs w:val="32"/>
          <w:highlight w:val="none"/>
        </w:rPr>
        <w:t>4.至少有3名具备3年以上股权投资或股权投资基金管理工作经验的高级管理人员，且有3个（含）以上股权投资的成功案例；</w:t>
      </w:r>
    </w:p>
    <w:p>
      <w:pPr>
        <w:spacing w:line="360" w:lineRule="auto"/>
        <w:ind w:firstLine="616" w:firstLineChars="200"/>
        <w:rPr>
          <w:rFonts w:ascii="仿宋_GB2312" w:eastAsia="仿宋_GB2312"/>
          <w:spacing w:val="-6"/>
          <w:sz w:val="32"/>
          <w:szCs w:val="32"/>
          <w:highlight w:val="none"/>
        </w:rPr>
      </w:pPr>
      <w:r>
        <w:rPr>
          <w:rFonts w:hint="eastAsia" w:ascii="仿宋_GB2312" w:eastAsia="仿宋_GB2312"/>
          <w:spacing w:val="-6"/>
          <w:sz w:val="32"/>
          <w:szCs w:val="32"/>
          <w:highlight w:val="none"/>
        </w:rPr>
        <w:t>5.专业机构在提交合作方案时，须至少已取得拟设立子基金总规模30%额度的出资意向，并提供拟出资人出资承诺函或类似材料。</w:t>
      </w:r>
    </w:p>
    <w:p>
      <w:pPr>
        <w:spacing w:line="360" w:lineRule="auto"/>
        <w:jc w:val="center"/>
        <w:rPr>
          <w:rFonts w:ascii="黑体" w:eastAsia="黑体"/>
          <w:b/>
          <w:bCs/>
          <w:spacing w:val="-6"/>
          <w:sz w:val="32"/>
          <w:szCs w:val="32"/>
          <w:highlight w:val="none"/>
        </w:rPr>
      </w:pPr>
      <w:r>
        <w:rPr>
          <w:rFonts w:hint="eastAsia" w:ascii="黑体" w:eastAsia="黑体"/>
          <w:b/>
          <w:bCs/>
          <w:spacing w:val="-6"/>
          <w:sz w:val="32"/>
          <w:szCs w:val="32"/>
          <w:highlight w:val="none"/>
        </w:rPr>
        <w:t>投资管理程序</w:t>
      </w:r>
    </w:p>
    <w:p>
      <w:pPr>
        <w:spacing w:line="360" w:lineRule="auto"/>
        <w:ind w:firstLine="616" w:firstLineChars="200"/>
        <w:rPr>
          <w:rFonts w:ascii="仿宋_GB2312" w:hAnsi="仿宋_GB2312" w:eastAsia="仿宋_GB2312" w:cs="仿宋_GB2312"/>
          <w:sz w:val="32"/>
          <w:szCs w:val="32"/>
          <w:highlight w:val="none"/>
        </w:rPr>
      </w:pPr>
      <w:r>
        <w:rPr>
          <w:rFonts w:hint="eastAsia" w:ascii="黑体" w:eastAsia="黑体"/>
          <w:spacing w:val="-6"/>
          <w:sz w:val="32"/>
          <w:szCs w:val="32"/>
          <w:highlight w:val="none"/>
          <w:lang w:eastAsia="zh-CN"/>
        </w:rPr>
        <w:t>十七、</w:t>
      </w:r>
      <w:r>
        <w:rPr>
          <w:rFonts w:hint="eastAsia" w:ascii="仿宋_GB2312" w:hAnsi="仿宋_GB2312" w:eastAsia="仿宋_GB2312" w:cs="仿宋_GB2312"/>
          <w:sz w:val="32"/>
          <w:szCs w:val="32"/>
          <w:highlight w:val="none"/>
        </w:rPr>
        <w:t>产业基金项目投资管理一般程序为：项目立项、尽职调查、投资决策、实施及投后管理等。</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1．项目立项。由项目行业主管部门</w:t>
      </w:r>
      <w:r>
        <w:rPr>
          <w:rFonts w:hint="eastAsia" w:ascii="仿宋_GB2312" w:hAnsi="仿宋_GB2312" w:eastAsia="仿宋_GB2312" w:cs="仿宋_GB2312"/>
          <w:sz w:val="32"/>
          <w:szCs w:val="32"/>
          <w:highlight w:val="none"/>
          <w:lang w:val="en-US" w:eastAsia="zh-CN"/>
        </w:rPr>
        <w:t>或基金管理公司</w:t>
      </w:r>
      <w:r>
        <w:rPr>
          <w:rFonts w:hint="eastAsia" w:ascii="仿宋_GB2312" w:hAnsi="仿宋_GB2312" w:eastAsia="仿宋_GB2312" w:cs="仿宋_GB2312"/>
          <w:sz w:val="32"/>
          <w:szCs w:val="32"/>
          <w:highlight w:val="none"/>
        </w:rPr>
        <w:t>负责项目的立项工作，项目投资方案应提出总规模、出资比例、退出安排等事项，由金投集团进行初步审核后上报</w:t>
      </w:r>
      <w:r>
        <w:rPr>
          <w:rFonts w:hint="eastAsia" w:ascii="仿宋_GB2312" w:eastAsia="仿宋_GB2312"/>
          <w:spacing w:val="-6"/>
          <w:sz w:val="32"/>
          <w:szCs w:val="32"/>
          <w:highlight w:val="none"/>
        </w:rPr>
        <w:t>基金管理委员会</w:t>
      </w:r>
      <w:r>
        <w:rPr>
          <w:rFonts w:hint="eastAsia" w:ascii="仿宋_GB2312" w:hAnsi="仿宋_GB2312" w:eastAsia="仿宋_GB2312" w:cs="仿宋_GB2312"/>
          <w:sz w:val="32"/>
          <w:szCs w:val="32"/>
          <w:highlight w:val="none"/>
        </w:rPr>
        <w:t>办公室复核。</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2．尽职调查。由基金管理公司</w:t>
      </w:r>
      <w:r>
        <w:rPr>
          <w:rFonts w:hint="eastAsia" w:ascii="仿宋_GB2312" w:hAnsi="仿宋_GB2312" w:eastAsia="仿宋_GB2312" w:cs="仿宋_GB2312"/>
          <w:sz w:val="32"/>
          <w:szCs w:val="32"/>
          <w:highlight w:val="none"/>
          <w:lang w:val="en-US" w:eastAsia="zh-CN"/>
        </w:rPr>
        <w:t>负责</w:t>
      </w:r>
      <w:r>
        <w:rPr>
          <w:rFonts w:hint="eastAsia" w:ascii="仿宋_GB2312" w:hAnsi="仿宋_GB2312" w:eastAsia="仿宋_GB2312" w:cs="仿宋_GB2312"/>
          <w:sz w:val="32"/>
          <w:szCs w:val="32"/>
          <w:highlight w:val="none"/>
        </w:rPr>
        <w:t>尽职调查</w:t>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rPr>
        <w:t>。项目本轮投资已有独立第三方机构出具尽职调查报告的，可引用其报告。</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3．投资决策。由金投集团将投资方案上报</w:t>
      </w:r>
      <w:r>
        <w:rPr>
          <w:rFonts w:hint="eastAsia" w:ascii="仿宋_GB2312" w:eastAsia="仿宋_GB2312"/>
          <w:spacing w:val="-6"/>
          <w:sz w:val="32"/>
          <w:szCs w:val="32"/>
          <w:highlight w:val="none"/>
        </w:rPr>
        <w:t>基金管理委员会</w:t>
      </w:r>
      <w:r>
        <w:rPr>
          <w:rFonts w:hint="eastAsia" w:ascii="仿宋_GB2312" w:hAnsi="仿宋_GB2312" w:eastAsia="仿宋_GB2312" w:cs="仿宋_GB2312"/>
          <w:sz w:val="32"/>
          <w:szCs w:val="32"/>
          <w:highlight w:val="none"/>
        </w:rPr>
        <w:t>办公室</w:t>
      </w:r>
      <w:r>
        <w:rPr>
          <w:rFonts w:hint="eastAsia" w:ascii="仿宋_GB2312" w:hAnsi="仿宋_GB2312" w:eastAsia="仿宋_GB2312" w:cs="仿宋_GB2312"/>
          <w:sz w:val="32"/>
          <w:szCs w:val="32"/>
          <w:highlight w:val="none"/>
          <w:lang w:eastAsia="zh-CN"/>
        </w:rPr>
        <w:t>备案</w:t>
      </w:r>
      <w:r>
        <w:rPr>
          <w:rFonts w:hint="eastAsia" w:ascii="仿宋_GB2312" w:hAnsi="仿宋_GB2312" w:eastAsia="仿宋_GB2312" w:cs="仿宋_GB2312"/>
          <w:sz w:val="32"/>
          <w:szCs w:val="32"/>
          <w:highlight w:val="none"/>
        </w:rPr>
        <w:t>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报</w:t>
      </w:r>
      <w:r>
        <w:rPr>
          <w:rFonts w:hint="eastAsia" w:ascii="仿宋_GB2312" w:eastAsia="仿宋_GB2312"/>
          <w:spacing w:val="-6"/>
          <w:sz w:val="32"/>
          <w:szCs w:val="32"/>
          <w:highlight w:val="none"/>
        </w:rPr>
        <w:t>基金管理委员会</w:t>
      </w:r>
      <w:r>
        <w:rPr>
          <w:rFonts w:hint="eastAsia" w:ascii="仿宋_GB2312" w:hAnsi="仿宋_GB2312" w:eastAsia="仿宋_GB2312" w:cs="仿宋_GB2312"/>
          <w:sz w:val="32"/>
          <w:szCs w:val="32"/>
          <w:highlight w:val="none"/>
        </w:rPr>
        <w:t>或</w:t>
      </w:r>
      <w:r>
        <w:rPr>
          <w:rFonts w:hint="eastAsia" w:ascii="仿宋_GB2312" w:eastAsia="仿宋_GB2312"/>
          <w:spacing w:val="-6"/>
          <w:sz w:val="32"/>
          <w:szCs w:val="32"/>
          <w:highlight w:val="none"/>
        </w:rPr>
        <w:t>市长办公会议或</w:t>
      </w:r>
      <w:r>
        <w:rPr>
          <w:rFonts w:hint="eastAsia" w:ascii="仿宋_GB2312" w:hAnsi="仿宋_GB2312" w:eastAsia="仿宋_GB2312" w:cs="仿宋_GB2312"/>
          <w:sz w:val="32"/>
          <w:szCs w:val="32"/>
          <w:highlight w:val="none"/>
        </w:rPr>
        <w:t>市政府常务会议进行审议</w:t>
      </w:r>
      <w:r>
        <w:rPr>
          <w:rFonts w:hint="eastAsia" w:ascii="仿宋_GB2312" w:hAnsi="仿宋_GB2312" w:eastAsia="仿宋_GB2312" w:cs="仿宋_GB2312"/>
          <w:sz w:val="32"/>
          <w:szCs w:val="32"/>
          <w:highlight w:val="none"/>
          <w:lang w:val="en-US" w:eastAsia="zh-CN"/>
        </w:rPr>
        <w:t>决策</w:t>
      </w:r>
      <w:r>
        <w:rPr>
          <w:rFonts w:hint="eastAsia" w:ascii="仿宋_GB2312" w:hAnsi="仿宋_GB2312" w:eastAsia="仿宋_GB2312" w:cs="仿宋_GB2312"/>
          <w:sz w:val="32"/>
          <w:szCs w:val="32"/>
          <w:highlight w:val="none"/>
        </w:rPr>
        <w:t>。</w:t>
      </w:r>
    </w:p>
    <w:p>
      <w:pPr>
        <w:pStyle w:val="4"/>
        <w:shd w:val="clear" w:color="auto" w:fill="FFFFFF"/>
        <w:spacing w:before="0" w:beforeAutospacing="0" w:after="0" w:afterAutospacing="0" w:line="360" w:lineRule="auto"/>
        <w:ind w:firstLine="640" w:firstLineChars="200"/>
        <w:rPr>
          <w:rFonts w:ascii="仿宋_GB2312" w:hAnsi="微软雅黑" w:eastAsia="仿宋_GB2312"/>
          <w:color w:val="000000"/>
          <w:sz w:val="32"/>
          <w:szCs w:val="32"/>
          <w:highlight w:val="none"/>
        </w:rPr>
      </w:pPr>
      <w:r>
        <w:rPr>
          <w:rFonts w:hint="eastAsia" w:ascii="仿宋_GB2312" w:hAnsi="仿宋_GB2312" w:eastAsia="仿宋_GB2312" w:cs="仿宋_GB2312"/>
          <w:sz w:val="32"/>
          <w:szCs w:val="32"/>
          <w:highlight w:val="none"/>
        </w:rPr>
        <w:t>4．实施及投后管理。</w:t>
      </w:r>
      <w:r>
        <w:rPr>
          <w:rFonts w:hint="eastAsia" w:ascii="仿宋_GB2312" w:hAnsi="微软雅黑" w:eastAsia="仿宋_GB2312"/>
          <w:color w:val="000000"/>
          <w:sz w:val="32"/>
          <w:szCs w:val="32"/>
          <w:highlight w:val="none"/>
        </w:rPr>
        <w:t>基金管理公司根据项目投资方案和协议主要条款，与相关合作方签署法律文件，并做好项目实施和投后管理。涉及投后重大事项的，向</w:t>
      </w:r>
      <w:r>
        <w:rPr>
          <w:rFonts w:hint="eastAsia" w:ascii="仿宋_GB2312" w:eastAsia="仿宋_GB2312"/>
          <w:spacing w:val="-6"/>
          <w:sz w:val="32"/>
          <w:szCs w:val="32"/>
          <w:highlight w:val="none"/>
        </w:rPr>
        <w:t>基金管理委员会</w:t>
      </w:r>
      <w:r>
        <w:rPr>
          <w:rFonts w:hint="eastAsia" w:ascii="仿宋_GB2312" w:hAnsi="仿宋_GB2312" w:eastAsia="仿宋_GB2312" w:cs="仿宋_GB2312"/>
          <w:sz w:val="32"/>
          <w:szCs w:val="32"/>
          <w:highlight w:val="none"/>
        </w:rPr>
        <w:t>办公室</w:t>
      </w:r>
      <w:r>
        <w:rPr>
          <w:rFonts w:hint="eastAsia" w:ascii="仿宋_GB2312" w:hAnsi="微软雅黑" w:eastAsia="仿宋_GB2312"/>
          <w:color w:val="000000"/>
          <w:sz w:val="32"/>
          <w:szCs w:val="32"/>
          <w:highlight w:val="none"/>
        </w:rPr>
        <w:t>报批后执行。</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5．项目投资方案经批准后达6个月，仍未签署相关投资协议，基金管理公司应在1个月内向</w:t>
      </w:r>
      <w:r>
        <w:rPr>
          <w:rFonts w:hint="eastAsia" w:ascii="仿宋_GB2312" w:hAnsi="仿宋_GB2312" w:eastAsia="仿宋_GB2312" w:cs="仿宋_GB2312"/>
          <w:sz w:val="32"/>
          <w:szCs w:val="32"/>
          <w:highlight w:val="none"/>
          <w:lang w:eastAsia="zh-CN"/>
        </w:rPr>
        <w:t>基金管理委员会</w:t>
      </w:r>
      <w:r>
        <w:rPr>
          <w:rFonts w:hint="eastAsia" w:ascii="仿宋_GB2312" w:hAnsi="仿宋_GB2312" w:eastAsia="仿宋_GB2312" w:cs="仿宋_GB2312"/>
          <w:sz w:val="32"/>
          <w:szCs w:val="32"/>
          <w:highlight w:val="none"/>
        </w:rPr>
        <w:t>办公室请示是否终止项目，并按批示执行。</w:t>
      </w:r>
    </w:p>
    <w:p>
      <w:pPr>
        <w:pStyle w:val="4"/>
        <w:shd w:val="clear" w:color="auto" w:fill="FFFFFF"/>
        <w:spacing w:before="0" w:beforeAutospacing="0" w:after="0" w:afterAutospacing="0" w:line="360" w:lineRule="auto"/>
        <w:ind w:firstLine="616" w:firstLineChars="200"/>
        <w:rPr>
          <w:rFonts w:ascii="仿宋_GB2312" w:hAnsi="微软雅黑" w:eastAsia="仿宋_GB2312"/>
          <w:color w:val="000000"/>
          <w:sz w:val="32"/>
          <w:szCs w:val="32"/>
          <w:highlight w:val="none"/>
        </w:rPr>
      </w:pPr>
      <w:r>
        <w:rPr>
          <w:rFonts w:hint="eastAsia" w:ascii="黑体" w:eastAsia="黑体"/>
          <w:spacing w:val="-6"/>
          <w:sz w:val="32"/>
          <w:szCs w:val="32"/>
          <w:highlight w:val="none"/>
          <w:lang w:eastAsia="zh-CN"/>
        </w:rPr>
        <w:t>十八、</w:t>
      </w:r>
      <w:r>
        <w:rPr>
          <w:rFonts w:hint="eastAsia" w:ascii="仿宋_GB2312" w:hAnsi="微软雅黑" w:eastAsia="仿宋_GB2312"/>
          <w:color w:val="000000"/>
          <w:sz w:val="32"/>
          <w:szCs w:val="32"/>
          <w:highlight w:val="none"/>
        </w:rPr>
        <w:t>本办法所称投后重大事项，主要包括产业基金认缴出资额增加、项目管理方实质性变化、基金存续期延长等核心要素变更等，项目管理方实质性变化包括但不限于：</w:t>
      </w:r>
    </w:p>
    <w:p>
      <w:pPr>
        <w:pStyle w:val="4"/>
        <w:shd w:val="clear" w:color="auto" w:fill="FFFFFF"/>
        <w:spacing w:before="0" w:beforeAutospacing="0" w:after="0" w:afterAutospacing="0" w:line="360" w:lineRule="auto"/>
        <w:ind w:firstLine="640" w:firstLineChars="200"/>
        <w:rPr>
          <w:rFonts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1.直投项目控股股东及经营范围发生实质性变化，且影响直投项目发起部门政策目标实现的；</w:t>
      </w:r>
    </w:p>
    <w:p>
      <w:pPr>
        <w:pStyle w:val="4"/>
        <w:shd w:val="clear" w:color="auto" w:fill="FFFFFF"/>
        <w:spacing w:before="0" w:beforeAutospacing="0" w:after="0" w:afterAutospacing="0" w:line="360" w:lineRule="auto"/>
        <w:ind w:firstLine="640" w:firstLineChars="200"/>
        <w:rPr>
          <w:rFonts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2.子基金管理机构的控股股东（公司制）或普通合伙人（合伙制）发生实质性变化；</w:t>
      </w:r>
    </w:p>
    <w:p>
      <w:pPr>
        <w:pStyle w:val="4"/>
        <w:shd w:val="clear" w:color="auto" w:fill="FFFFFF"/>
        <w:spacing w:before="0" w:beforeAutospacing="0" w:after="0" w:afterAutospacing="0" w:line="360" w:lineRule="auto"/>
        <w:ind w:firstLine="640" w:firstLineChars="200"/>
        <w:rPr>
          <w:rFonts w:ascii="仿宋_GB2312" w:hAnsi="微软雅黑" w:eastAsia="仿宋_GB2312"/>
          <w:color w:val="000000"/>
          <w:sz w:val="32"/>
          <w:szCs w:val="32"/>
          <w:highlight w:val="none"/>
        </w:rPr>
      </w:pPr>
      <w:r>
        <w:rPr>
          <w:rFonts w:hint="eastAsia" w:ascii="仿宋_GB2312" w:hAnsi="微软雅黑" w:eastAsia="仿宋_GB2312"/>
          <w:color w:val="000000"/>
          <w:sz w:val="32"/>
          <w:szCs w:val="32"/>
          <w:highlight w:val="none"/>
        </w:rPr>
        <w:t>3.子基金管理机构董事长、总经理或协议约定的关键人士半数（含）以上发生变化。</w:t>
      </w:r>
    </w:p>
    <w:p>
      <w:pPr>
        <w:spacing w:line="360" w:lineRule="auto"/>
        <w:ind w:firstLine="616" w:firstLineChars="200"/>
        <w:rPr>
          <w:rFonts w:ascii="仿宋_GB2312" w:eastAsia="仿宋_GB2312"/>
          <w:b/>
          <w:spacing w:val="-6"/>
          <w:sz w:val="32"/>
          <w:szCs w:val="32"/>
          <w:highlight w:val="none"/>
        </w:rPr>
      </w:pPr>
      <w:r>
        <w:rPr>
          <w:rFonts w:hint="eastAsia" w:ascii="仿宋_GB2312" w:eastAsia="仿宋_GB2312"/>
          <w:spacing w:val="-6"/>
          <w:sz w:val="32"/>
          <w:szCs w:val="32"/>
          <w:highlight w:val="none"/>
        </w:rPr>
        <w:t>基金管理委员会</w:t>
      </w:r>
      <w:r>
        <w:rPr>
          <w:rFonts w:hint="eastAsia" w:ascii="仿宋_GB2312" w:hAnsi="仿宋_GB2312" w:eastAsia="仿宋_GB2312" w:cs="仿宋_GB2312"/>
          <w:sz w:val="32"/>
          <w:szCs w:val="32"/>
          <w:highlight w:val="none"/>
        </w:rPr>
        <w:t>办公室</w:t>
      </w:r>
      <w:r>
        <w:rPr>
          <w:rFonts w:hint="eastAsia" w:ascii="仿宋_GB2312" w:hAnsi="微软雅黑" w:eastAsia="仿宋_GB2312"/>
          <w:color w:val="000000"/>
          <w:sz w:val="32"/>
          <w:szCs w:val="32"/>
          <w:highlight w:val="none"/>
        </w:rPr>
        <w:t>可在运作方案中对投后重大事项作出具体规定。</w:t>
      </w:r>
    </w:p>
    <w:p>
      <w:pPr>
        <w:spacing w:line="360" w:lineRule="auto"/>
        <w:jc w:val="center"/>
        <w:rPr>
          <w:rFonts w:ascii="黑体" w:eastAsia="黑体"/>
          <w:b/>
          <w:bCs/>
          <w:spacing w:val="-6"/>
          <w:sz w:val="32"/>
          <w:szCs w:val="32"/>
          <w:highlight w:val="none"/>
        </w:rPr>
      </w:pPr>
      <w:r>
        <w:rPr>
          <w:rFonts w:hint="eastAsia" w:ascii="黑体" w:eastAsia="黑体"/>
          <w:b/>
          <w:bCs/>
          <w:spacing w:val="-6"/>
          <w:sz w:val="32"/>
          <w:szCs w:val="32"/>
          <w:highlight w:val="none"/>
        </w:rPr>
        <w:t>费用和收益分配</w:t>
      </w:r>
    </w:p>
    <w:p>
      <w:pPr>
        <w:spacing w:line="360" w:lineRule="auto"/>
        <w:ind w:firstLine="616" w:firstLineChars="200"/>
        <w:rPr>
          <w:rFonts w:ascii="仿宋_GB2312" w:eastAsia="仿宋_GB2312"/>
          <w:b/>
          <w:spacing w:val="-6"/>
          <w:sz w:val="32"/>
          <w:szCs w:val="32"/>
          <w:highlight w:val="none"/>
        </w:rPr>
      </w:pPr>
      <w:r>
        <w:rPr>
          <w:rFonts w:hint="eastAsia" w:ascii="黑体" w:eastAsia="黑体"/>
          <w:spacing w:val="-6"/>
          <w:sz w:val="32"/>
          <w:szCs w:val="32"/>
          <w:highlight w:val="none"/>
        </w:rPr>
        <w:t>十九</w:t>
      </w:r>
      <w:r>
        <w:rPr>
          <w:rFonts w:hint="eastAsia" w:ascii="黑体" w:eastAsia="黑体"/>
          <w:spacing w:val="-6"/>
          <w:sz w:val="32"/>
          <w:szCs w:val="32"/>
          <w:highlight w:val="none"/>
          <w:lang w:eastAsia="zh-CN"/>
        </w:rPr>
        <w:t>、</w:t>
      </w:r>
      <w:r>
        <w:rPr>
          <w:rFonts w:hint="eastAsia" w:ascii="仿宋_GB2312" w:eastAsia="仿宋_GB2312"/>
          <w:spacing w:val="-6"/>
          <w:sz w:val="32"/>
          <w:szCs w:val="32"/>
          <w:highlight w:val="none"/>
        </w:rPr>
        <w:t>产业基金按实缴货币资金额0.6%/年的比例向基金管理公司支付委托管理费用。</w:t>
      </w:r>
    </w:p>
    <w:p>
      <w:pPr>
        <w:spacing w:line="360" w:lineRule="auto"/>
        <w:ind w:firstLine="616" w:firstLineChars="200"/>
        <w:rPr>
          <w:rFonts w:ascii="仿宋_GB2312" w:eastAsia="仿宋_GB2312"/>
          <w:b/>
          <w:spacing w:val="-6"/>
          <w:sz w:val="32"/>
          <w:szCs w:val="32"/>
          <w:highlight w:val="none"/>
        </w:rPr>
      </w:pPr>
      <w:r>
        <w:rPr>
          <w:rFonts w:hint="eastAsia" w:ascii="黑体" w:eastAsia="黑体"/>
          <w:spacing w:val="-6"/>
          <w:sz w:val="32"/>
          <w:szCs w:val="32"/>
          <w:highlight w:val="none"/>
        </w:rPr>
        <w:t>二十</w:t>
      </w:r>
      <w:r>
        <w:rPr>
          <w:rFonts w:hint="eastAsia" w:ascii="黑体" w:eastAsia="黑体"/>
          <w:spacing w:val="-6"/>
          <w:sz w:val="32"/>
          <w:szCs w:val="32"/>
          <w:highlight w:val="none"/>
          <w:lang w:eastAsia="zh-CN"/>
        </w:rPr>
        <w:t>、</w:t>
      </w:r>
      <w:r>
        <w:rPr>
          <w:rFonts w:hint="eastAsia" w:ascii="仿宋_GB2312" w:hAnsi="微软雅黑" w:eastAsia="仿宋_GB2312"/>
          <w:color w:val="000000"/>
          <w:sz w:val="32"/>
          <w:szCs w:val="32"/>
          <w:highlight w:val="none"/>
        </w:rPr>
        <w:t>为激励基金管理公司引进人才，不断提高运作管理水平，可参照市场行业惯例和市场化机构通行做法，对于投资效益较好的项目，可从项目投资收益中提取一定比例用于对基金管理公司的业绩奖励。</w:t>
      </w:r>
    </w:p>
    <w:p>
      <w:pPr>
        <w:spacing w:line="360" w:lineRule="auto"/>
        <w:ind w:firstLine="616" w:firstLineChars="200"/>
        <w:rPr>
          <w:rFonts w:ascii="仿宋_GB2312" w:eastAsia="仿宋_GB2312"/>
          <w:b/>
          <w:spacing w:val="-6"/>
          <w:sz w:val="32"/>
          <w:szCs w:val="32"/>
          <w:highlight w:val="none"/>
        </w:rPr>
      </w:pPr>
      <w:r>
        <w:rPr>
          <w:rFonts w:hint="eastAsia" w:ascii="黑体" w:eastAsia="黑体"/>
          <w:spacing w:val="-6"/>
          <w:sz w:val="32"/>
          <w:szCs w:val="32"/>
          <w:highlight w:val="none"/>
        </w:rPr>
        <w:t>二十一</w:t>
      </w:r>
      <w:r>
        <w:rPr>
          <w:rFonts w:hint="eastAsia" w:ascii="黑体" w:eastAsia="黑体"/>
          <w:spacing w:val="-6"/>
          <w:sz w:val="32"/>
          <w:szCs w:val="32"/>
          <w:highlight w:val="none"/>
          <w:lang w:eastAsia="zh-CN"/>
        </w:rPr>
        <w:t>、</w:t>
      </w:r>
      <w:r>
        <w:rPr>
          <w:rFonts w:hint="eastAsia" w:ascii="黑体" w:eastAsia="黑体"/>
          <w:spacing w:val="-6"/>
          <w:sz w:val="32"/>
          <w:szCs w:val="32"/>
          <w:highlight w:val="none"/>
        </w:rPr>
        <w:t xml:space="preserve"> </w:t>
      </w:r>
      <w:r>
        <w:rPr>
          <w:rFonts w:hint="eastAsia" w:ascii="仿宋_GB2312" w:hAnsi="仿宋_GB2312" w:eastAsia="仿宋_GB2312" w:cs="仿宋_GB2312"/>
          <w:sz w:val="32"/>
          <w:szCs w:val="32"/>
          <w:highlight w:val="none"/>
        </w:rPr>
        <w:t>基金法人主体仅限于列支法律规定作为公司存在所必须进行的成本和费用，以及根据本办法规定支付的管理费用和业绩奖励。</w:t>
      </w:r>
    </w:p>
    <w:p>
      <w:pPr>
        <w:spacing w:line="360" w:lineRule="auto"/>
        <w:jc w:val="center"/>
        <w:rPr>
          <w:rFonts w:ascii="仿宋_GB2312" w:eastAsia="仿宋_GB2312"/>
          <w:b/>
          <w:bCs/>
          <w:spacing w:val="-6"/>
          <w:sz w:val="32"/>
          <w:szCs w:val="32"/>
          <w:highlight w:val="none"/>
        </w:rPr>
      </w:pPr>
      <w:r>
        <w:rPr>
          <w:rFonts w:hint="eastAsia" w:ascii="黑体" w:eastAsia="黑体"/>
          <w:b/>
          <w:bCs/>
          <w:spacing w:val="-6"/>
          <w:sz w:val="32"/>
          <w:szCs w:val="32"/>
          <w:highlight w:val="none"/>
        </w:rPr>
        <w:t>项目退出</w:t>
      </w:r>
    </w:p>
    <w:p>
      <w:pPr>
        <w:spacing w:line="360" w:lineRule="auto"/>
        <w:ind w:firstLine="616" w:firstLineChars="200"/>
        <w:rPr>
          <w:rFonts w:ascii="仿宋_GB2312" w:hAnsi="仿宋_GB2312" w:eastAsia="仿宋_GB2312" w:cs="仿宋_GB2312"/>
          <w:sz w:val="32"/>
          <w:szCs w:val="32"/>
          <w:highlight w:val="none"/>
        </w:rPr>
      </w:pPr>
      <w:r>
        <w:rPr>
          <w:rFonts w:hint="eastAsia" w:ascii="黑体" w:eastAsia="黑体"/>
          <w:spacing w:val="-6"/>
          <w:sz w:val="32"/>
          <w:szCs w:val="32"/>
          <w:highlight w:val="none"/>
        </w:rPr>
        <w:t>二十二</w:t>
      </w:r>
      <w:r>
        <w:rPr>
          <w:rFonts w:hint="eastAsia" w:ascii="黑体" w:eastAsia="黑体"/>
          <w:spacing w:val="-6"/>
          <w:sz w:val="32"/>
          <w:szCs w:val="32"/>
          <w:highlight w:val="none"/>
          <w:lang w:eastAsia="zh-CN"/>
        </w:rPr>
        <w:t>、</w:t>
      </w:r>
      <w:r>
        <w:rPr>
          <w:rFonts w:hint="eastAsia" w:ascii="仿宋_GB2312" w:hAnsi="仿宋_GB2312" w:eastAsia="仿宋_GB2312" w:cs="仿宋_GB2312"/>
          <w:sz w:val="32"/>
          <w:szCs w:val="32"/>
          <w:highlight w:val="none"/>
        </w:rPr>
        <w:t> 产业基金可采取股权（份额）转让、股票减持、股东（合伙人）回购及解散清算等方式退出。</w:t>
      </w:r>
    </w:p>
    <w:p>
      <w:pPr>
        <w:spacing w:line="360" w:lineRule="auto"/>
        <w:ind w:firstLine="616" w:firstLineChars="200"/>
        <w:rPr>
          <w:rFonts w:ascii="仿宋_GB2312" w:hAnsi="仿宋_GB2312" w:eastAsia="仿宋_GB2312" w:cs="仿宋_GB2312"/>
          <w:sz w:val="32"/>
          <w:szCs w:val="32"/>
          <w:highlight w:val="none"/>
        </w:rPr>
      </w:pPr>
      <w:r>
        <w:rPr>
          <w:rFonts w:hint="eastAsia" w:ascii="黑体" w:eastAsia="黑体"/>
          <w:spacing w:val="-6"/>
          <w:sz w:val="32"/>
          <w:szCs w:val="32"/>
          <w:highlight w:val="none"/>
        </w:rPr>
        <w:t>二十三</w:t>
      </w:r>
      <w:r>
        <w:rPr>
          <w:rFonts w:hint="eastAsia" w:ascii="黑体" w:eastAsia="黑体"/>
          <w:spacing w:val="-6"/>
          <w:sz w:val="32"/>
          <w:szCs w:val="32"/>
          <w:highlight w:val="none"/>
          <w:lang w:eastAsia="zh-CN"/>
        </w:rPr>
        <w:t>、</w:t>
      </w:r>
      <w:r>
        <w:rPr>
          <w:rFonts w:hint="eastAsia" w:ascii="仿宋_GB2312" w:hAnsi="仿宋_GB2312" w:eastAsia="仿宋_GB2312" w:cs="仿宋_GB2312"/>
          <w:sz w:val="32"/>
          <w:szCs w:val="32"/>
          <w:highlight w:val="none"/>
        </w:rPr>
        <w:t> 产业基金投资项目在达到协议约定的投资年限或退出条件时，由基金管理公司按约定实施退出；其他情形下需要退出的，由金投集团制定退出方案</w:t>
      </w:r>
      <w:r>
        <w:rPr>
          <w:rFonts w:hint="default" w:ascii="仿宋_GB2312" w:hAnsi="仿宋_GB2312" w:eastAsia="仿宋_GB2312" w:cs="仿宋_GB2312"/>
          <w:sz w:val="32"/>
          <w:szCs w:val="32"/>
          <w:highlight w:val="none"/>
        </w:rPr>
        <w:t>上报基金管理管委会办公室后，上报基金管理委员会或市长办公会议或市政府常务会议</w:t>
      </w:r>
      <w:r>
        <w:rPr>
          <w:rFonts w:hint="eastAsia" w:ascii="仿宋_GB2312" w:hAnsi="仿宋_GB2312" w:eastAsia="仿宋_GB2312" w:cs="仿宋_GB2312"/>
          <w:sz w:val="32"/>
          <w:szCs w:val="32"/>
          <w:highlight w:val="none"/>
        </w:rPr>
        <w:t>审议，审定后交由基金管理公司实施。</w:t>
      </w:r>
    </w:p>
    <w:p>
      <w:pPr>
        <w:spacing w:line="360" w:lineRule="auto"/>
        <w:ind w:firstLine="616" w:firstLineChars="200"/>
        <w:rPr>
          <w:rFonts w:hint="eastAsia" w:ascii="仿宋_GB2312" w:hAnsi="仿宋_GB2312" w:eastAsia="仿宋_GB2312" w:cs="仿宋_GB2312"/>
          <w:sz w:val="32"/>
          <w:szCs w:val="32"/>
          <w:highlight w:val="none"/>
        </w:rPr>
      </w:pPr>
      <w:r>
        <w:rPr>
          <w:rFonts w:hint="eastAsia" w:ascii="黑体" w:eastAsia="黑体"/>
          <w:spacing w:val="-6"/>
          <w:sz w:val="32"/>
          <w:szCs w:val="32"/>
          <w:highlight w:val="none"/>
        </w:rPr>
        <w:t>二十四</w:t>
      </w:r>
      <w:r>
        <w:rPr>
          <w:rFonts w:hint="eastAsia" w:ascii="黑体" w:eastAsia="黑体"/>
          <w:spacing w:val="-6"/>
          <w:sz w:val="32"/>
          <w:szCs w:val="32"/>
          <w:highlight w:val="none"/>
          <w:lang w:eastAsia="zh-CN"/>
        </w:rPr>
        <w:t>、</w:t>
      </w:r>
      <w:r>
        <w:rPr>
          <w:rFonts w:hint="eastAsia" w:ascii="仿宋_GB2312" w:hAnsi="仿宋_GB2312" w:eastAsia="仿宋_GB2312" w:cs="仿宋_GB2312"/>
          <w:sz w:val="32"/>
          <w:szCs w:val="32"/>
          <w:highlight w:val="none"/>
        </w:rPr>
        <w:t> 产业基金原则上应向章程或协议约定的受让方转让股权（份额）。章程或协议没有约定的，对受让方为国有全资公司或国有独资企业的，可协议转让相应股权（份额）；对受让方为非国有全资公司或非国有独资企业的，按国有资产管理有关规定需进场交易的，应通过依法设立的交易机构采取公开挂牌方式退出。</w:t>
      </w:r>
    </w:p>
    <w:p>
      <w:pPr>
        <w:spacing w:line="360" w:lineRule="auto"/>
        <w:ind w:firstLine="616" w:firstLineChars="200"/>
        <w:rPr>
          <w:rFonts w:hint="eastAsia" w:ascii="仿宋_GB2312" w:hAnsi="仿宋_GB2312" w:eastAsia="仿宋_GB2312" w:cs="仿宋_GB2312"/>
          <w:sz w:val="32"/>
          <w:szCs w:val="32"/>
          <w:highlight w:val="none"/>
        </w:rPr>
      </w:pPr>
      <w:r>
        <w:rPr>
          <w:rFonts w:hint="eastAsia" w:ascii="黑体" w:eastAsia="黑体"/>
          <w:spacing w:val="-6"/>
          <w:sz w:val="32"/>
          <w:szCs w:val="32"/>
          <w:highlight w:val="none"/>
        </w:rPr>
        <w:t>二十五</w:t>
      </w:r>
      <w:r>
        <w:rPr>
          <w:rFonts w:hint="eastAsia" w:ascii="黑体" w:eastAsia="黑体"/>
          <w:spacing w:val="-6"/>
          <w:sz w:val="32"/>
          <w:szCs w:val="32"/>
          <w:highlight w:val="none"/>
          <w:lang w:eastAsia="zh-CN"/>
        </w:rPr>
        <w:t>、</w:t>
      </w:r>
      <w:r>
        <w:rPr>
          <w:rFonts w:hint="eastAsia" w:ascii="仿宋_GB2312" w:hAnsi="仿宋_GB2312" w:eastAsia="仿宋_GB2312" w:cs="仿宋_GB2312"/>
          <w:sz w:val="32"/>
          <w:szCs w:val="32"/>
          <w:highlight w:val="none"/>
        </w:rPr>
        <w:t>产业基金原则上应按照章程或协议约定的退出价格执行。章程或者协议没有约定的，按国有资产管理有关规定需进行评估的，应按规定程序聘请具备资质的资产评估机构进行评估。</w:t>
      </w:r>
    </w:p>
    <w:p>
      <w:pPr>
        <w:spacing w:line="360" w:lineRule="auto"/>
        <w:ind w:firstLine="616" w:firstLineChars="200"/>
        <w:rPr>
          <w:rFonts w:ascii="仿宋_GB2312" w:hAnsi="仿宋_GB2312" w:eastAsia="仿宋_GB2312" w:cs="仿宋_GB2312"/>
          <w:sz w:val="32"/>
          <w:szCs w:val="32"/>
          <w:highlight w:val="none"/>
        </w:rPr>
      </w:pPr>
      <w:r>
        <w:rPr>
          <w:rFonts w:hint="eastAsia" w:ascii="黑体" w:eastAsia="黑体"/>
          <w:spacing w:val="-6"/>
          <w:sz w:val="32"/>
          <w:szCs w:val="32"/>
          <w:highlight w:val="none"/>
        </w:rPr>
        <w:t>二十</w:t>
      </w:r>
      <w:r>
        <w:rPr>
          <w:rFonts w:hint="eastAsia" w:ascii="黑体" w:eastAsia="黑体"/>
          <w:spacing w:val="-6"/>
          <w:sz w:val="32"/>
          <w:szCs w:val="32"/>
          <w:highlight w:val="none"/>
          <w:lang w:val="en-US" w:eastAsia="zh-CN"/>
        </w:rPr>
        <w:t>六</w:t>
      </w:r>
      <w:r>
        <w:rPr>
          <w:rFonts w:hint="eastAsia" w:ascii="黑体" w:eastAsia="黑体"/>
          <w:spacing w:val="-6"/>
          <w:sz w:val="32"/>
          <w:szCs w:val="32"/>
          <w:highlight w:val="none"/>
          <w:lang w:eastAsia="zh-CN"/>
        </w:rPr>
        <w:t>、</w:t>
      </w:r>
      <w:r>
        <w:rPr>
          <w:rFonts w:hint="eastAsia" w:ascii="仿宋_GB2312" w:hAnsi="仿宋_GB2312" w:eastAsia="仿宋_GB2312" w:cs="仿宋_GB2312"/>
          <w:sz w:val="32"/>
          <w:szCs w:val="32"/>
          <w:highlight w:val="none"/>
        </w:rPr>
        <w:t>产业基金应在章程或协议中约定，有下述情况之一时，产业基金可选择提前退出：</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1.章程或协议签署后超过6个月，未按规定程序和时间要求完成设立或增资手续的。</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2.产业基金拨付子基金账户1年以上，子基金未实际出资的。</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3.未完成返投目标等子基金严重偏离章程或合伙协议约定投资的，且造成产业基金重大损失的。</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4.政策性子基金投资项目不符合本办法及相关运作方案政策导向的,或绩效达不到预期效果的。</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5.发现其他严重危及产业基金安全或违背政策目标等事前约定退出情形的。</w:t>
      </w:r>
    </w:p>
    <w:p>
      <w:pPr>
        <w:spacing w:line="360" w:lineRule="auto"/>
        <w:ind w:firstLine="616" w:firstLineChars="200"/>
        <w:rPr>
          <w:rFonts w:ascii="仿宋_GB2312" w:hAnsi="仿宋_GB2312" w:eastAsia="仿宋_GB2312" w:cs="仿宋_GB2312"/>
          <w:sz w:val="32"/>
          <w:szCs w:val="32"/>
          <w:highlight w:val="none"/>
        </w:rPr>
      </w:pPr>
      <w:r>
        <w:rPr>
          <w:rFonts w:hint="eastAsia" w:ascii="黑体" w:eastAsia="黑体"/>
          <w:spacing w:val="-6"/>
          <w:sz w:val="32"/>
          <w:szCs w:val="32"/>
          <w:highlight w:val="none"/>
        </w:rPr>
        <w:t>二十</w:t>
      </w:r>
      <w:r>
        <w:rPr>
          <w:rFonts w:hint="eastAsia" w:ascii="黑体" w:eastAsia="黑体"/>
          <w:spacing w:val="-6"/>
          <w:sz w:val="32"/>
          <w:szCs w:val="32"/>
          <w:highlight w:val="none"/>
          <w:lang w:val="en-US" w:eastAsia="zh-CN"/>
        </w:rPr>
        <w:t>七</w:t>
      </w:r>
      <w:r>
        <w:rPr>
          <w:rFonts w:hint="eastAsia" w:ascii="黑体" w:eastAsia="黑体"/>
          <w:spacing w:val="-6"/>
          <w:sz w:val="32"/>
          <w:szCs w:val="32"/>
          <w:highlight w:val="none"/>
          <w:lang w:eastAsia="zh-CN"/>
        </w:rPr>
        <w:t>、</w:t>
      </w:r>
      <w:r>
        <w:rPr>
          <w:rFonts w:hint="eastAsia" w:ascii="仿宋_GB2312" w:hAnsi="仿宋_GB2312" w:eastAsia="仿宋_GB2312" w:cs="仿宋_GB2312"/>
          <w:sz w:val="32"/>
          <w:szCs w:val="32"/>
          <w:highlight w:val="none"/>
        </w:rPr>
        <w:t xml:space="preserve"> 基金投资项目投资存续期限一般不超过8年，经相关审议决策程序批准后可适当延长。</w:t>
      </w:r>
    </w:p>
    <w:p>
      <w:pPr>
        <w:spacing w:line="360" w:lineRule="auto"/>
        <w:jc w:val="center"/>
        <w:rPr>
          <w:rFonts w:ascii="黑体" w:eastAsia="黑体"/>
          <w:b/>
          <w:bCs/>
          <w:spacing w:val="-6"/>
          <w:sz w:val="32"/>
          <w:szCs w:val="32"/>
          <w:highlight w:val="none"/>
        </w:rPr>
      </w:pPr>
      <w:r>
        <w:rPr>
          <w:rFonts w:hint="eastAsia" w:ascii="黑体" w:eastAsia="黑体"/>
          <w:b/>
          <w:bCs/>
          <w:spacing w:val="-6"/>
          <w:sz w:val="32"/>
          <w:szCs w:val="32"/>
          <w:highlight w:val="none"/>
        </w:rPr>
        <w:t>风险控制和考核评价</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rPr>
        <w:t>二十</w:t>
      </w:r>
      <w:r>
        <w:rPr>
          <w:rFonts w:hint="eastAsia" w:ascii="黑体" w:eastAsia="黑体"/>
          <w:spacing w:val="-6"/>
          <w:sz w:val="32"/>
          <w:szCs w:val="32"/>
          <w:highlight w:val="none"/>
          <w:lang w:val="en-US" w:eastAsia="zh-CN"/>
        </w:rPr>
        <w:t>八</w:t>
      </w:r>
      <w:r>
        <w:rPr>
          <w:rFonts w:hint="eastAsia" w:ascii="黑体" w:eastAsia="黑体"/>
          <w:spacing w:val="-6"/>
          <w:sz w:val="32"/>
          <w:szCs w:val="32"/>
          <w:highlight w:val="none"/>
          <w:lang w:eastAsia="zh-CN"/>
        </w:rPr>
        <w:t>、</w:t>
      </w:r>
      <w:r>
        <w:rPr>
          <w:rFonts w:hint="eastAsia" w:ascii="仿宋_GB2312" w:eastAsia="仿宋_GB2312"/>
          <w:spacing w:val="-6"/>
          <w:sz w:val="32"/>
          <w:szCs w:val="32"/>
          <w:highlight w:val="none"/>
        </w:rPr>
        <w:t>建立健全产业基金及投资项目的绩效考核制度。财政局对基金的运作和管理以及政策目标、政策效果等情况定期进行考核评价，基金法人主体对基金管理公司投资规模、资金投向及其资产情况定期进行考核评价，并根据结果采取相应的奖惩措施。</w:t>
      </w:r>
    </w:p>
    <w:p>
      <w:pPr>
        <w:pStyle w:val="4"/>
        <w:shd w:val="clear" w:color="auto" w:fill="FFFFFF"/>
        <w:spacing w:before="0" w:beforeAutospacing="0" w:after="0" w:afterAutospacing="0" w:line="360" w:lineRule="auto"/>
        <w:ind w:firstLine="616" w:firstLineChars="200"/>
        <w:rPr>
          <w:rFonts w:ascii="仿宋_GB2312" w:hAnsi="微软雅黑" w:eastAsia="仿宋_GB2312"/>
          <w:color w:val="000000"/>
          <w:sz w:val="32"/>
          <w:szCs w:val="32"/>
          <w:highlight w:val="none"/>
        </w:rPr>
      </w:pPr>
      <w:r>
        <w:rPr>
          <w:rFonts w:hint="eastAsia" w:ascii="黑体" w:eastAsia="黑体"/>
          <w:spacing w:val="-6"/>
          <w:sz w:val="32"/>
          <w:szCs w:val="32"/>
          <w:highlight w:val="none"/>
        </w:rPr>
        <w:t>二十</w:t>
      </w:r>
      <w:r>
        <w:rPr>
          <w:rFonts w:hint="eastAsia" w:ascii="黑体" w:eastAsia="黑体"/>
          <w:spacing w:val="-6"/>
          <w:sz w:val="32"/>
          <w:szCs w:val="32"/>
          <w:highlight w:val="none"/>
          <w:lang w:val="en-US" w:eastAsia="zh-CN"/>
        </w:rPr>
        <w:t>九</w:t>
      </w:r>
      <w:r>
        <w:rPr>
          <w:rFonts w:hint="eastAsia" w:ascii="仿宋_GB2312" w:hAnsi="微软雅黑" w:eastAsia="仿宋_GB2312"/>
          <w:b/>
          <w:color w:val="000000"/>
          <w:sz w:val="32"/>
          <w:szCs w:val="32"/>
          <w:highlight w:val="none"/>
        </w:rPr>
        <w:t> </w:t>
      </w:r>
      <w:r>
        <w:rPr>
          <w:rFonts w:hint="eastAsia" w:ascii="仿宋_GB2312" w:hAnsi="微软雅黑" w:eastAsia="仿宋_GB2312"/>
          <w:b/>
          <w:color w:val="000000"/>
          <w:sz w:val="32"/>
          <w:szCs w:val="32"/>
          <w:highlight w:val="none"/>
          <w:lang w:eastAsia="zh-CN"/>
        </w:rPr>
        <w:t>、</w:t>
      </w:r>
      <w:r>
        <w:rPr>
          <w:rFonts w:hint="eastAsia" w:ascii="仿宋_GB2312" w:hAnsi="微软雅黑" w:eastAsia="仿宋_GB2312"/>
          <w:color w:val="000000"/>
          <w:sz w:val="32"/>
          <w:szCs w:val="32"/>
          <w:highlight w:val="none"/>
        </w:rPr>
        <w:t>基金管理公司要建立健全包括风险管理制度和风险控制流程在内的风控合规体系及内部管控制度。</w:t>
      </w:r>
    </w:p>
    <w:p>
      <w:pPr>
        <w:spacing w:line="360" w:lineRule="auto"/>
        <w:ind w:firstLine="616" w:firstLineChars="200"/>
        <w:rPr>
          <w:rFonts w:ascii="仿宋_GB2312" w:hAnsi="微软雅黑" w:eastAsia="仿宋_GB2312"/>
          <w:color w:val="000000"/>
          <w:sz w:val="32"/>
          <w:szCs w:val="32"/>
          <w:highlight w:val="none"/>
        </w:rPr>
      </w:pPr>
      <w:r>
        <w:rPr>
          <w:rFonts w:hint="eastAsia" w:ascii="黑体" w:eastAsia="黑体"/>
          <w:spacing w:val="-6"/>
          <w:sz w:val="32"/>
          <w:szCs w:val="32"/>
          <w:highlight w:val="none"/>
          <w:lang w:val="en-US" w:eastAsia="zh-CN"/>
        </w:rPr>
        <w:t>三</w:t>
      </w:r>
      <w:r>
        <w:rPr>
          <w:rFonts w:hint="eastAsia" w:ascii="黑体" w:eastAsia="黑体"/>
          <w:spacing w:val="-6"/>
          <w:sz w:val="32"/>
          <w:szCs w:val="32"/>
          <w:highlight w:val="none"/>
        </w:rPr>
        <w:t>十</w:t>
      </w:r>
      <w:r>
        <w:rPr>
          <w:rFonts w:hint="eastAsia" w:ascii="黑体" w:eastAsia="黑体"/>
          <w:spacing w:val="-6"/>
          <w:sz w:val="32"/>
          <w:szCs w:val="32"/>
          <w:highlight w:val="none"/>
          <w:lang w:eastAsia="zh-CN"/>
        </w:rPr>
        <w:t>、</w:t>
      </w:r>
      <w:r>
        <w:rPr>
          <w:rFonts w:hint="eastAsia" w:ascii="仿宋_GB2312" w:hAnsi="微软雅黑" w:eastAsia="仿宋_GB2312"/>
          <w:color w:val="000000"/>
          <w:sz w:val="32"/>
          <w:szCs w:val="32"/>
          <w:highlight w:val="none"/>
        </w:rPr>
        <w:t>产业基金合作方存在违规违约行为的，按协议约定处理，造成产业基金损失的，根据协议约定要求相关方赔偿损失。</w:t>
      </w:r>
    </w:p>
    <w:p>
      <w:pPr>
        <w:spacing w:line="360" w:lineRule="auto"/>
        <w:ind w:firstLine="616" w:firstLineChars="200"/>
        <w:rPr>
          <w:rFonts w:ascii="仿宋_GB2312" w:eastAsia="仿宋_GB2312"/>
          <w:spacing w:val="-6"/>
          <w:sz w:val="32"/>
          <w:szCs w:val="32"/>
          <w:highlight w:val="none"/>
        </w:rPr>
      </w:pPr>
      <w:r>
        <w:rPr>
          <w:rFonts w:hint="eastAsia" w:ascii="黑体" w:eastAsia="黑体"/>
          <w:spacing w:val="-6"/>
          <w:sz w:val="32"/>
          <w:szCs w:val="32"/>
          <w:highlight w:val="none"/>
        </w:rPr>
        <w:t>三十</w:t>
      </w:r>
      <w:r>
        <w:rPr>
          <w:rFonts w:hint="eastAsia" w:ascii="黑体" w:eastAsia="黑体"/>
          <w:spacing w:val="-6"/>
          <w:sz w:val="32"/>
          <w:szCs w:val="32"/>
          <w:highlight w:val="none"/>
          <w:lang w:val="en-US" w:eastAsia="zh-CN"/>
        </w:rPr>
        <w:t>一</w:t>
      </w:r>
      <w:r>
        <w:rPr>
          <w:rFonts w:hint="eastAsia" w:ascii="黑体" w:eastAsia="黑体"/>
          <w:spacing w:val="-6"/>
          <w:sz w:val="32"/>
          <w:szCs w:val="32"/>
          <w:highlight w:val="none"/>
          <w:lang w:eastAsia="zh-CN"/>
        </w:rPr>
        <w:t>、</w:t>
      </w:r>
      <w:r>
        <w:rPr>
          <w:rFonts w:hint="eastAsia" w:ascii="仿宋_GB2312" w:hAnsi="仿宋_GB2312" w:eastAsia="仿宋_GB2312" w:cs="仿宋_GB2312"/>
          <w:sz w:val="32"/>
          <w:szCs w:val="32"/>
          <w:highlight w:val="none"/>
        </w:rPr>
        <w:t>产业基金合作设立的子基金应当委托一家</w:t>
      </w:r>
      <w:r>
        <w:rPr>
          <w:rFonts w:hint="eastAsia" w:ascii="仿宋_GB2312" w:hAnsi="仿宋_GB2312" w:eastAsia="仿宋_GB2312" w:cs="仿宋_GB2312"/>
          <w:sz w:val="32"/>
          <w:szCs w:val="32"/>
          <w:highlight w:val="none"/>
          <w:lang w:val="en-US" w:eastAsia="zh-CN"/>
        </w:rPr>
        <w:t>中国境内</w:t>
      </w:r>
      <w:r>
        <w:rPr>
          <w:rFonts w:hint="eastAsia" w:ascii="仿宋_GB2312" w:hAnsi="仿宋_GB2312" w:eastAsia="仿宋_GB2312" w:cs="仿宋_GB2312"/>
          <w:sz w:val="32"/>
          <w:szCs w:val="32"/>
          <w:highlight w:val="none"/>
        </w:rPr>
        <w:t>有相关资质的商业银行进行托管，按照有关规定及托管协议开展资产保管、资金拨付和结算等日常工作，对投资活动进行动态监管，定期向子基金管理公司出具银行托管报告。</w:t>
      </w:r>
    </w:p>
    <w:p>
      <w:pPr>
        <w:spacing w:line="360" w:lineRule="auto"/>
        <w:jc w:val="center"/>
        <w:rPr>
          <w:rFonts w:ascii="黑体" w:eastAsia="黑体"/>
          <w:b/>
          <w:bCs/>
          <w:spacing w:val="-6"/>
          <w:sz w:val="32"/>
          <w:szCs w:val="32"/>
          <w:highlight w:val="none"/>
        </w:rPr>
      </w:pPr>
      <w:r>
        <w:rPr>
          <w:rFonts w:hint="eastAsia" w:ascii="黑体" w:eastAsia="黑体"/>
          <w:b/>
          <w:bCs/>
          <w:spacing w:val="-6"/>
          <w:sz w:val="32"/>
          <w:szCs w:val="32"/>
          <w:highlight w:val="none"/>
        </w:rPr>
        <w:t>报告制度</w:t>
      </w:r>
    </w:p>
    <w:p>
      <w:pPr>
        <w:pStyle w:val="4"/>
        <w:shd w:val="clear" w:color="auto" w:fill="FFFFFF"/>
        <w:spacing w:before="0" w:beforeAutospacing="0" w:after="0" w:afterAutospacing="0" w:line="360" w:lineRule="auto"/>
        <w:ind w:firstLine="616" w:firstLineChars="200"/>
        <w:rPr>
          <w:rFonts w:ascii="仿宋_GB2312" w:hAnsi="微软雅黑" w:eastAsia="仿宋_GB2312"/>
          <w:color w:val="000000"/>
          <w:sz w:val="32"/>
          <w:szCs w:val="32"/>
          <w:highlight w:val="none"/>
        </w:rPr>
      </w:pPr>
      <w:r>
        <w:rPr>
          <w:rFonts w:hint="eastAsia" w:ascii="黑体" w:eastAsia="黑体"/>
          <w:spacing w:val="-6"/>
          <w:sz w:val="32"/>
          <w:szCs w:val="32"/>
          <w:highlight w:val="none"/>
        </w:rPr>
        <w:t>三十</w:t>
      </w:r>
      <w:r>
        <w:rPr>
          <w:rFonts w:hint="eastAsia" w:ascii="黑体" w:eastAsia="黑体"/>
          <w:spacing w:val="-6"/>
          <w:sz w:val="32"/>
          <w:szCs w:val="32"/>
          <w:highlight w:val="none"/>
          <w:lang w:val="en-US" w:eastAsia="zh-CN"/>
        </w:rPr>
        <w:t>二</w:t>
      </w:r>
      <w:r>
        <w:rPr>
          <w:rFonts w:hint="eastAsia" w:ascii="黑体" w:eastAsia="黑体"/>
          <w:spacing w:val="-6"/>
          <w:sz w:val="32"/>
          <w:szCs w:val="32"/>
          <w:highlight w:val="none"/>
          <w:lang w:eastAsia="zh-CN"/>
        </w:rPr>
        <w:t>、</w:t>
      </w:r>
      <w:r>
        <w:rPr>
          <w:rFonts w:hint="eastAsia" w:ascii="仿宋_GB2312" w:hAnsi="微软雅黑" w:eastAsia="仿宋_GB2312"/>
          <w:color w:val="000000"/>
          <w:sz w:val="32"/>
          <w:szCs w:val="32"/>
          <w:highlight w:val="none"/>
        </w:rPr>
        <w:t>每季度结束后60日内，基金管理公司应向金投集团报送产业基金投资运作、项目进展、股本变化和资金使用等情况，由金投集团审核后报基金管理委员会办公室备案。</w:t>
      </w:r>
    </w:p>
    <w:p>
      <w:pPr>
        <w:pStyle w:val="4"/>
        <w:shd w:val="clear" w:color="auto" w:fill="FFFFFF"/>
        <w:spacing w:before="0" w:beforeAutospacing="0" w:after="0" w:afterAutospacing="0" w:line="360" w:lineRule="auto"/>
        <w:ind w:firstLine="616" w:firstLineChars="200"/>
        <w:rPr>
          <w:rFonts w:ascii="仿宋_GB2312" w:hAnsi="微软雅黑" w:eastAsia="仿宋_GB2312"/>
          <w:color w:val="000000"/>
          <w:sz w:val="32"/>
          <w:szCs w:val="32"/>
          <w:highlight w:val="none"/>
        </w:rPr>
      </w:pPr>
      <w:r>
        <w:rPr>
          <w:rFonts w:hint="eastAsia" w:ascii="黑体" w:eastAsia="黑体"/>
          <w:spacing w:val="-6"/>
          <w:sz w:val="32"/>
          <w:szCs w:val="32"/>
          <w:highlight w:val="none"/>
        </w:rPr>
        <w:t>三十</w:t>
      </w:r>
      <w:r>
        <w:rPr>
          <w:rFonts w:hint="eastAsia" w:ascii="黑体" w:eastAsia="黑体"/>
          <w:spacing w:val="-6"/>
          <w:sz w:val="32"/>
          <w:szCs w:val="32"/>
          <w:highlight w:val="none"/>
          <w:lang w:val="en-US" w:eastAsia="zh-CN"/>
        </w:rPr>
        <w:t>三</w:t>
      </w:r>
      <w:r>
        <w:rPr>
          <w:rFonts w:hint="eastAsia" w:ascii="黑体" w:eastAsia="黑体"/>
          <w:spacing w:val="-6"/>
          <w:sz w:val="32"/>
          <w:szCs w:val="32"/>
          <w:highlight w:val="none"/>
          <w:lang w:eastAsia="zh-CN"/>
        </w:rPr>
        <w:t>、</w:t>
      </w:r>
      <w:r>
        <w:rPr>
          <w:rFonts w:hint="eastAsia" w:ascii="仿宋_GB2312" w:hAnsi="微软雅黑" w:eastAsia="仿宋_GB2312"/>
          <w:b/>
          <w:color w:val="000000"/>
          <w:sz w:val="32"/>
          <w:szCs w:val="32"/>
          <w:highlight w:val="none"/>
        </w:rPr>
        <w:t xml:space="preserve">  </w:t>
      </w:r>
      <w:r>
        <w:rPr>
          <w:rFonts w:hint="eastAsia" w:ascii="仿宋_GB2312" w:hAnsi="微软雅黑" w:eastAsia="仿宋_GB2312"/>
          <w:color w:val="000000"/>
          <w:sz w:val="32"/>
          <w:szCs w:val="32"/>
          <w:highlight w:val="none"/>
        </w:rPr>
        <w:t>会计年度结束后5个月内，基金管理公司应向金投集团提交产业基金年度工作报告，金投集团负责产业基金年度财务报告的审计，审核后报基金管理委员会办公室。</w:t>
      </w:r>
    </w:p>
    <w:p>
      <w:pPr>
        <w:pStyle w:val="4"/>
        <w:shd w:val="clear" w:color="auto" w:fill="FFFFFF"/>
        <w:spacing w:before="0" w:beforeAutospacing="0" w:after="0" w:afterAutospacing="0" w:line="360" w:lineRule="auto"/>
        <w:ind w:firstLine="616" w:firstLineChars="200"/>
        <w:rPr>
          <w:rFonts w:ascii="仿宋_GB2312" w:hAnsi="微软雅黑" w:eastAsia="仿宋_GB2312"/>
          <w:color w:val="000000"/>
          <w:sz w:val="32"/>
          <w:szCs w:val="32"/>
          <w:highlight w:val="none"/>
        </w:rPr>
      </w:pPr>
      <w:r>
        <w:rPr>
          <w:rFonts w:hint="eastAsia" w:ascii="黑体" w:eastAsia="黑体"/>
          <w:spacing w:val="-6"/>
          <w:sz w:val="32"/>
          <w:szCs w:val="32"/>
          <w:highlight w:val="none"/>
        </w:rPr>
        <w:t>三十四</w:t>
      </w:r>
      <w:r>
        <w:rPr>
          <w:rFonts w:hint="eastAsia" w:ascii="黑体" w:eastAsia="黑体"/>
          <w:spacing w:val="-6"/>
          <w:sz w:val="32"/>
          <w:szCs w:val="32"/>
          <w:highlight w:val="none"/>
          <w:lang w:eastAsia="zh-CN"/>
        </w:rPr>
        <w:t>、</w:t>
      </w:r>
      <w:r>
        <w:rPr>
          <w:rFonts w:hint="eastAsia" w:ascii="仿宋_GB2312" w:hAnsi="微软雅黑" w:eastAsia="仿宋_GB2312"/>
          <w:color w:val="000000"/>
          <w:sz w:val="32"/>
          <w:szCs w:val="32"/>
          <w:highlight w:val="none"/>
        </w:rPr>
        <w:t>产业基金运作和管理中，被投企业如发生重大违约行为、经营异常、重大投资损失、陷入难以扭转困境、经营停顿等重大事项，基金管理公司应在发现后7个工作日内向金投集团报告，由金投集团上报基金管理委员会办公室，由办公室提出意见。</w:t>
      </w:r>
    </w:p>
    <w:p>
      <w:pPr>
        <w:spacing w:line="360" w:lineRule="auto"/>
        <w:jc w:val="center"/>
        <w:rPr>
          <w:rFonts w:hint="eastAsia" w:ascii="黑体" w:eastAsia="黑体"/>
          <w:b/>
          <w:bCs/>
          <w:spacing w:val="-6"/>
          <w:sz w:val="32"/>
          <w:szCs w:val="32"/>
          <w:highlight w:val="none"/>
          <w:lang w:eastAsia="zh-CN"/>
        </w:rPr>
      </w:pPr>
      <w:r>
        <w:rPr>
          <w:rFonts w:hint="eastAsia" w:ascii="黑体" w:eastAsia="黑体"/>
          <w:b/>
          <w:bCs/>
          <w:spacing w:val="-6"/>
          <w:sz w:val="32"/>
          <w:szCs w:val="32"/>
          <w:highlight w:val="none"/>
          <w:lang w:eastAsia="zh-CN"/>
        </w:rPr>
        <w:t>其他事项</w:t>
      </w:r>
    </w:p>
    <w:p>
      <w:pPr>
        <w:spacing w:line="360" w:lineRule="auto"/>
        <w:ind w:firstLine="616" w:firstLineChars="200"/>
        <w:rPr>
          <w:highlight w:val="none"/>
        </w:rPr>
      </w:pPr>
      <w:r>
        <w:rPr>
          <w:rFonts w:hint="eastAsia" w:ascii="黑体" w:eastAsia="黑体"/>
          <w:spacing w:val="-6"/>
          <w:sz w:val="32"/>
          <w:szCs w:val="32"/>
          <w:highlight w:val="none"/>
        </w:rPr>
        <w:t>三十五</w:t>
      </w:r>
      <w:r>
        <w:rPr>
          <w:rFonts w:hint="eastAsia" w:ascii="黑体" w:eastAsia="黑体"/>
          <w:spacing w:val="-6"/>
          <w:sz w:val="32"/>
          <w:szCs w:val="32"/>
          <w:highlight w:val="none"/>
          <w:lang w:eastAsia="zh-CN"/>
        </w:rPr>
        <w:t>、</w:t>
      </w:r>
      <w:r>
        <w:rPr>
          <w:rFonts w:hint="eastAsia" w:ascii="仿宋_GB2312" w:hAnsi="仿宋_GB2312" w:eastAsia="仿宋_GB2312" w:cs="仿宋_GB2312"/>
          <w:sz w:val="32"/>
          <w:szCs w:val="32"/>
          <w:highlight w:val="none"/>
        </w:rPr>
        <w:t>本办法自</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rPr>
        <w:t>3年X月X日起实施，由市财政局负责解释。此前有关政府产业基金管理的文件规定与本办法不一致的，以本办法为准。</w:t>
      </w:r>
    </w:p>
    <w:sectPr>
      <w:footerReference r:id="rId3" w:type="default"/>
      <w:pgSz w:w="11906" w:h="16838"/>
      <w:pgMar w:top="1440" w:right="1803" w:bottom="1440" w:left="180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56E5AC-E6C8-4467-8C22-BFF42B09B3F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5DB91EC1-2018-4FA2-9E47-10DEE774ADE4}"/>
  </w:font>
  <w:font w:name="微软雅黑">
    <w:panose1 w:val="020B0503020204020204"/>
    <w:charset w:val="86"/>
    <w:family w:val="swiss"/>
    <w:pitch w:val="default"/>
    <w:sig w:usb0="80000287" w:usb1="2ACF3C50" w:usb2="00000016" w:usb3="00000000" w:csb0="0004001F" w:csb1="00000000"/>
    <w:embedRegular r:id="rId3" w:fontKey="{90CB8205-4C4C-421A-9864-D5880B8AB63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A1OGZmNDgwNzJmN2NlMGI1N2FkN2NlYmUxZjg3NDcifQ=="/>
  </w:docVars>
  <w:rsids>
    <w:rsidRoot w:val="00C52301"/>
    <w:rsid w:val="007C73CC"/>
    <w:rsid w:val="009302FC"/>
    <w:rsid w:val="00B45E0B"/>
    <w:rsid w:val="00C52301"/>
    <w:rsid w:val="017C299C"/>
    <w:rsid w:val="01B70222"/>
    <w:rsid w:val="036D1000"/>
    <w:rsid w:val="0C942A80"/>
    <w:rsid w:val="0F081946"/>
    <w:rsid w:val="12A26A76"/>
    <w:rsid w:val="14062797"/>
    <w:rsid w:val="157E633E"/>
    <w:rsid w:val="1E4B403F"/>
    <w:rsid w:val="24D80E07"/>
    <w:rsid w:val="276322F4"/>
    <w:rsid w:val="2D672CF8"/>
    <w:rsid w:val="392D2162"/>
    <w:rsid w:val="39A76E7B"/>
    <w:rsid w:val="39E53F7E"/>
    <w:rsid w:val="3A8A6FBD"/>
    <w:rsid w:val="3B72650D"/>
    <w:rsid w:val="3CC139D2"/>
    <w:rsid w:val="3E20425D"/>
    <w:rsid w:val="41A173A3"/>
    <w:rsid w:val="44421112"/>
    <w:rsid w:val="44A937EB"/>
    <w:rsid w:val="44E65A8B"/>
    <w:rsid w:val="470D538E"/>
    <w:rsid w:val="47D160CC"/>
    <w:rsid w:val="47DD3035"/>
    <w:rsid w:val="4AF511B4"/>
    <w:rsid w:val="4B463415"/>
    <w:rsid w:val="4DBE4B00"/>
    <w:rsid w:val="4FA54547"/>
    <w:rsid w:val="59672DD2"/>
    <w:rsid w:val="5CAC7D41"/>
    <w:rsid w:val="5F6F385F"/>
    <w:rsid w:val="63DF6BD1"/>
    <w:rsid w:val="67AC2C85"/>
    <w:rsid w:val="68085C6E"/>
    <w:rsid w:val="6C79135A"/>
    <w:rsid w:val="6DE04984"/>
    <w:rsid w:val="7315618E"/>
    <w:rsid w:val="73D56A03"/>
    <w:rsid w:val="75EB5092"/>
    <w:rsid w:val="77C16142"/>
    <w:rsid w:val="795C6AD8"/>
    <w:rsid w:val="79DB139A"/>
    <w:rsid w:val="79E36E98"/>
    <w:rsid w:val="79EE2BC7"/>
    <w:rsid w:val="7BF93B75"/>
    <w:rsid w:val="7CA177AC"/>
    <w:rsid w:val="7FAC6F58"/>
    <w:rsid w:val="D3EEA58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东阳</Company>
  <Pages>12</Pages>
  <Words>5155</Words>
  <Characters>191</Characters>
  <Lines>1</Lines>
  <Paragraphs>10</Paragraphs>
  <TotalTime>1</TotalTime>
  <ScaleCrop>false</ScaleCrop>
  <LinksUpToDate>false</LinksUpToDate>
  <CharactersWithSpaces>5336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2022-01-10T15:29:00Z</dcterms:created>
  <dc:creator>gk</dc:creator>
  <cp:lastModifiedBy>俞欢欢</cp:lastModifiedBy>
  <cp:lastPrinted>2023-10-26T08:55:00Z</cp:lastPrinted>
  <dcterms:modified xsi:type="dcterms:W3CDTF">2023-10-31T02:26:36Z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B777466607274434AB77D6D5DCDBB72D_12</vt:lpwstr>
  </property>
</Properties>
</file>