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</w:rPr>
        <w:t>2</w:t>
      </w:r>
    </w:p>
    <w:p>
      <w:pPr>
        <w:widowControl/>
        <w:spacing w:after="156" w:afterLines="50" w:line="5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关于《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松阳县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茶产业高质量发展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扶持办法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（送审稿）》的起草说明</w:t>
      </w:r>
    </w:p>
    <w:p>
      <w:pPr>
        <w:spacing w:line="600" w:lineRule="exact"/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 w:cs="Times New Roman"/>
          <w:szCs w:val="32"/>
        </w:rPr>
        <w:t>现就</w:t>
      </w:r>
      <w:r>
        <w:rPr>
          <w:rFonts w:hint="eastAsia" w:ascii="宋体" w:hAnsi="宋体" w:cs="Times New Roman"/>
          <w:szCs w:val="32"/>
          <w:lang w:eastAsia="zh-CN"/>
        </w:rPr>
        <w:t>松阳县茶叶产业发展中心</w:t>
      </w:r>
      <w:r>
        <w:rPr>
          <w:rFonts w:hint="eastAsia" w:ascii="宋体" w:hAnsi="宋体" w:cs="Times New Roman"/>
          <w:szCs w:val="32"/>
        </w:rPr>
        <w:t>起草的《</w:t>
      </w:r>
      <w:r>
        <w:rPr>
          <w:rFonts w:hint="eastAsia" w:ascii="宋体" w:hAnsi="宋体" w:cs="Times New Roman"/>
          <w:szCs w:val="32"/>
          <w:lang w:eastAsia="zh-CN"/>
        </w:rPr>
        <w:t>松阳县茶产业高质量发展扶持办法</w:t>
      </w:r>
      <w:r>
        <w:rPr>
          <w:rFonts w:hint="eastAsia" w:ascii="宋体" w:hAnsi="宋体" w:cs="Times New Roman"/>
          <w:szCs w:val="32"/>
        </w:rPr>
        <w:t>（送审</w:t>
      </w:r>
      <w:r>
        <w:rPr>
          <w:rFonts w:hint="eastAsia" w:ascii="宋体" w:hAnsi="宋体" w:cs="仿宋_GB2312"/>
          <w:szCs w:val="32"/>
        </w:rPr>
        <w:t>稿）</w:t>
      </w:r>
      <w:r>
        <w:rPr>
          <w:rFonts w:hint="eastAsia" w:ascii="宋体" w:hAnsi="宋体" w:cs="Times New Roman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szCs w:val="32"/>
        </w:rPr>
        <w:t>有关情况说明如下：</w:t>
      </w:r>
    </w:p>
    <w:p>
      <w:pPr>
        <w:spacing w:line="600" w:lineRule="exact"/>
        <w:ind w:firstLine="627" w:firstLineChars="196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一、制定实施办法的必要性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Cs w:val="32"/>
          <w:lang w:val="en-US" w:eastAsia="zh-CN"/>
        </w:rPr>
        <w:t>为深入实施“三茶统筹”发展理念，深化全产业链提升工程，加快推进茶产业高质量发展。2023年7月，出台了《松阳县创建“中国有机茶乡”扶持办法》(松政办发〔2023〕30号)，目前已施行近2年，根据县委十一届八次全会提出的新要求，有个别条款已不适用，结合县委打造“中国有机茶乡”金名片要求和省、市相关文件精神，需对20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年出台的《松阳县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创建“中国有机茶乡”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扶持办法》(松委办发〔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0号)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进行修改完善。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二、起草情况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2024年11月，我中心启动办法修订工作，通过广泛的调查研究，学习借鉴浙江景宁、开化，湖北宣恩，四川巴中，贵州等地的办法文件，于2024年12月20日形成办法初稿。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2024年12月20日至2025年2月17日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广泛听取茶企、各有关单位及社会各界人士意见建议，9次修改完善初稿。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2025年2月25日，专题向梁海刚书记汇报茶产业高质量发展扶持办法。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2月28日，我中心根据相关部门的意见对办法条款进行再次完善，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统一意见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。并通过县市场监管局公平竞争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CN" w:bidi="ar-SA"/>
        </w:rPr>
        <w:t>预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审查。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3月5日，专题向雷晓华副县长汇报，根据雷晓华副县长提出的修改意见再次对《办法》进行修改。并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通过县司法局合法性预审查。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3月6日，雷晓华副县长再次组织相关部门征求意见；修改完善后向雷晓华副县长汇报，同意提交县长办公会议研究。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三、需要解决的主要问题</w:t>
      </w:r>
    </w:p>
    <w:p>
      <w:pPr>
        <w:spacing w:line="520" w:lineRule="exact"/>
        <w:ind w:firstLine="640" w:firstLineChars="20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落实国家、省、市对</w:t>
      </w:r>
      <w:r>
        <w:rPr>
          <w:rFonts w:hint="eastAsia" w:ascii="仿宋_GB2312" w:hAnsi="宋体" w:cs="宋体"/>
          <w:kern w:val="0"/>
          <w:szCs w:val="32"/>
          <w:lang w:eastAsia="zh-CN"/>
        </w:rPr>
        <w:t>茶产业发展</w:t>
      </w:r>
      <w:r>
        <w:rPr>
          <w:rFonts w:hint="eastAsia" w:ascii="仿宋_GB2312" w:hAnsi="宋体" w:cs="宋体"/>
          <w:kern w:val="0"/>
          <w:szCs w:val="32"/>
        </w:rPr>
        <w:t>的最新要求，</w:t>
      </w:r>
      <w:r>
        <w:rPr>
          <w:rFonts w:hint="eastAsia" w:ascii="仿宋_GB2312" w:hAnsi="宋体" w:cs="宋体"/>
          <w:kern w:val="0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月，县委十一届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次全体（扩大）会议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精神，</w:t>
      </w:r>
      <w:r>
        <w:rPr>
          <w:rFonts w:hint="eastAsia" w:ascii="仿宋_GB2312" w:hAnsi="宋体" w:cs="宋体"/>
          <w:kern w:val="0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茶产业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三年行动计划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的总体目标，深入实施茶产业链提升工程，</w:t>
      </w:r>
      <w:r>
        <w:rPr>
          <w:rFonts w:hint="eastAsia" w:ascii="仿宋_GB2312" w:hAnsi="宋体" w:cs="宋体"/>
          <w:kern w:val="0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茶产业延链、补链、强链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重点，推动茶产业绿色高质量发展，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实施茶产业链向新挺近行动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Cs w:val="32"/>
          <w:lang w:eastAsia="zh-CN"/>
        </w:rPr>
      </w:pPr>
      <w:r>
        <w:rPr>
          <w:rFonts w:hint="eastAsia" w:ascii="黑体" w:hAnsi="黑体" w:eastAsia="黑体" w:cs="Times New Roman"/>
          <w:szCs w:val="32"/>
        </w:rPr>
        <w:t>四、拟</w:t>
      </w:r>
      <w:r>
        <w:rPr>
          <w:rFonts w:hint="eastAsia" w:ascii="黑体" w:hAnsi="黑体" w:eastAsia="黑体" w:cs="Times New Roman"/>
          <w:szCs w:val="32"/>
          <w:lang w:eastAsia="zh-CN"/>
        </w:rPr>
        <w:t>修订情况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扶持办法共七个部分21条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本次修订后为六个部分18条，保留条款16条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删除条款5条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新增条款2条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其中保留条款中内容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有较大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条，对条款进行精简表述或微调的6条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修订后的扶持办法分6部分，主要为做优茶基地、做深茶加工、拓展茶销售、创新茶科技、做强茶品牌、附则。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具体如下：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Cs w:val="32"/>
          <w:lang w:eastAsia="zh-CN"/>
        </w:rPr>
        <w:t>（一）新增条款</w:t>
      </w:r>
      <w:r>
        <w:rPr>
          <w:rFonts w:hint="eastAsia" w:ascii="黑体" w:hAnsi="黑体" w:eastAsia="黑体" w:cs="Times New Roman"/>
          <w:szCs w:val="32"/>
          <w:lang w:val="en-US" w:eastAsia="zh-CN"/>
        </w:rPr>
        <w:t>2条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 w:bidi="ar-SA"/>
        </w:rPr>
        <w:t>在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“第二部分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做深茶加工”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增加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新修订政策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规范生产加工。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新入驻小微园、国有企业、村集体厂房的茶叶生产加工主体，年度销售额达500万元、2000万元、5000万元、1亿元以上的分别给予租金（含物业）30%、50%、60%、80%的补助，每家企业每年不超过50万元，最多补助3年。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“第五部分做强茶品牌”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新修订政策第1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条“推广松阳茶品牌。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运营管理协会每年20万元补助，给予推广松阳茶公用品牌统一包装的其他行业协会每年最高5万元补助。鼓励茶叶生产经营主体使用公版包装，对年度使用公版包装500套、1000套、5000套以上的分别给予包装金额30%、40%、50%的奖励。对规范使用“地理标志证明商标、保护产品”的包装主体，按包装金额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0%给予补助。大小包装单个版本最高奖励不超过5万元，单个主体最高奖励不超过10万元。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（二）有较大修改的条款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“第三部分做深茶加工第9条鼓励茶叶深加工”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新修订办法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“第二部分做深茶加工第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支持新产品开发。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对茶叶衍生产品的开发，对取得生产许可的茶企业开发生产茶饮品、茶日用品、茶工艺品、含茶功能产品给予奖励，单个产品年销售额达10万元的，经审核后给予单品年销售额10%的一次性奖励，每家企业每年不超过30万元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”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将原办法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“第四部分拓展茶销售第10条做强电商经济”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改为新办法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“第三部分第8条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拓宽线上销售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鼓励茶叶线上销售，提高县域茶叶线上销售份额，对限上电商企业采购茶叶并取得县域内上游进项发票的，按发票金额的3%给予奖励，采购额以年度纳统销售额为上限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将原办法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“第五部分创新茶科技第14条加快数字应用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改为新办法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第四部分第1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条加快数字应用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名优茶智能化采摘、智慧茶园、智慧工厂建设及茶叶加工环节进行连续化、自动化、智能化建设或改造的给予奖励。投资总额达10万元（含）以上并进行计划申报的，验收合格后按审定设备投资额的30%给予奖励，最高奖励限额为300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CN" w:bidi="ar-SA"/>
        </w:rPr>
        <w:t>4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将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Hans" w:bidi="ar-SA"/>
        </w:rPr>
        <w:t>原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eastAsia="zh-CN" w:bidi="ar-SA"/>
        </w:rPr>
        <w:t>办法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Hans" w:bidi="ar-SA"/>
        </w:rPr>
        <w:t>“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Hans" w:bidi="ar-SA"/>
        </w:rPr>
        <w:t>第七部分附则”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Hans" w:bidi="ar-SA"/>
        </w:rPr>
        <w:t>中第21条修改为：“新修订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eastAsia="zh-CN" w:bidi="ar-SA"/>
        </w:rPr>
        <w:t>办法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eastAsia="zh-Hans" w:bidi="ar-SA"/>
        </w:rPr>
        <w:t>第18条“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2025年度扶持政策按本办法执行。本办法施行前，不符合本办法规定但符合原政策的，按原政策予以兑现。同一事项同时符合县级多项政策的，按照就高不重复享受原则执行。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删除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的条款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新的扶持办法将原办法“第二部分提升茶品质”中的“强化肥药管控措施、实行肥药减量使用及推行茶园标准化生产”及“第十八条鼓励恢复传统手工制茶技艺”以及附则部分的第一条予以删除。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pacing w:val="-6"/>
          <w:kern w:val="2"/>
          <w:sz w:val="30"/>
          <w:szCs w:val="30"/>
          <w:highlight w:val="none"/>
          <w:lang w:val="en-US" w:eastAsia="zh-CN" w:bidi="ar-SA"/>
        </w:rPr>
        <w:t xml:space="preserve">    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5120" w:firstLineChars="1600"/>
        <w:rPr>
          <w:rFonts w:hint="eastAsia" w:ascii="仿宋_GB2312" w:hAnsi="宋体" w:eastAsia="仿宋_GB2312" w:cs="宋体"/>
          <w:szCs w:val="32"/>
          <w:lang w:eastAsia="zh-CN"/>
        </w:rPr>
      </w:pPr>
      <w:r>
        <w:rPr>
          <w:rFonts w:hint="eastAsia" w:ascii="仿宋_GB2312" w:hAnsi="宋体" w:cs="宋体"/>
          <w:szCs w:val="32"/>
          <w:lang w:eastAsia="zh-CN"/>
        </w:rPr>
        <w:t>松阳县茶叶产业发展中心</w:t>
      </w:r>
    </w:p>
    <w:p>
      <w:pPr>
        <w:spacing w:line="600" w:lineRule="exact"/>
        <w:ind w:firstLine="5760" w:firstLineChars="1800"/>
        <w:rPr>
          <w:rFonts w:hint="eastAsia" w:ascii="宋体" w:hAnsi="宋体"/>
          <w:color w:val="FF0000"/>
          <w:szCs w:val="32"/>
        </w:rPr>
      </w:pPr>
      <w:r>
        <w:rPr>
          <w:rFonts w:hint="eastAsia" w:ascii="仿宋_GB2312" w:hAnsi="宋体" w:cs="宋体"/>
          <w:szCs w:val="32"/>
        </w:rPr>
        <w:t>202</w:t>
      </w:r>
      <w:r>
        <w:rPr>
          <w:rFonts w:hint="eastAsia" w:ascii="仿宋_GB2312" w:hAnsi="宋体" w:cs="宋体"/>
          <w:szCs w:val="32"/>
          <w:lang w:val="en-US" w:eastAsia="zh-CN"/>
        </w:rPr>
        <w:t>5</w:t>
      </w:r>
      <w:r>
        <w:rPr>
          <w:rFonts w:hint="eastAsia" w:ascii="仿宋_GB2312" w:hAnsi="宋体" w:cs="宋体"/>
          <w:szCs w:val="32"/>
        </w:rPr>
        <w:t>年</w:t>
      </w:r>
      <w:r>
        <w:rPr>
          <w:rFonts w:hint="eastAsia" w:ascii="仿宋_GB2312" w:hAnsi="宋体" w:cs="宋体"/>
          <w:szCs w:val="32"/>
          <w:lang w:val="en-US" w:eastAsia="zh-CN"/>
        </w:rPr>
        <w:t>3</w:t>
      </w:r>
      <w:r>
        <w:rPr>
          <w:rFonts w:hint="eastAsia" w:ascii="仿宋_GB2312" w:hAnsi="宋体" w:cs="宋体"/>
          <w:szCs w:val="32"/>
        </w:rPr>
        <w:t>月</w:t>
      </w:r>
      <w:r>
        <w:rPr>
          <w:rFonts w:hint="eastAsia" w:ascii="仿宋_GB2312" w:hAnsi="宋体" w:cs="宋体"/>
          <w:szCs w:val="32"/>
          <w:lang w:val="en-US" w:eastAsia="zh-CN"/>
        </w:rPr>
        <w:t>21</w:t>
      </w:r>
      <w:r>
        <w:rPr>
          <w:rFonts w:hint="eastAsia" w:ascii="仿宋_GB2312" w:hAnsi="宋体" w:cs="宋体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7</w:t>
    </w:r>
    <w: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8</w:t>
    </w:r>
    <w:r>
      <w:fldChar w:fldCharType="end"/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GZiY2M1ZmQ5NGRiODU3MGY2ODExZmVkZDJiZTMifQ=="/>
  </w:docVars>
  <w:rsids>
    <w:rsidRoot w:val="005C3880"/>
    <w:rsid w:val="0002098C"/>
    <w:rsid w:val="0002551A"/>
    <w:rsid w:val="000B19D2"/>
    <w:rsid w:val="000B7275"/>
    <w:rsid w:val="000D20B9"/>
    <w:rsid w:val="000D44FD"/>
    <w:rsid w:val="00152510"/>
    <w:rsid w:val="00201683"/>
    <w:rsid w:val="00306A17"/>
    <w:rsid w:val="00321A3E"/>
    <w:rsid w:val="00352DFC"/>
    <w:rsid w:val="00487891"/>
    <w:rsid w:val="004F6450"/>
    <w:rsid w:val="00535AB0"/>
    <w:rsid w:val="00590681"/>
    <w:rsid w:val="005C3880"/>
    <w:rsid w:val="005D2292"/>
    <w:rsid w:val="00627A07"/>
    <w:rsid w:val="00634677"/>
    <w:rsid w:val="0064052A"/>
    <w:rsid w:val="006F6464"/>
    <w:rsid w:val="007A571E"/>
    <w:rsid w:val="007F0C1F"/>
    <w:rsid w:val="00800325"/>
    <w:rsid w:val="0088296D"/>
    <w:rsid w:val="0089039D"/>
    <w:rsid w:val="008F7812"/>
    <w:rsid w:val="00A91C9B"/>
    <w:rsid w:val="00C47CFF"/>
    <w:rsid w:val="00C50D8C"/>
    <w:rsid w:val="00D20194"/>
    <w:rsid w:val="00D77F6D"/>
    <w:rsid w:val="00DD09A7"/>
    <w:rsid w:val="00E13D0A"/>
    <w:rsid w:val="00E44BE6"/>
    <w:rsid w:val="00EE30D9"/>
    <w:rsid w:val="00EF2218"/>
    <w:rsid w:val="00F06F46"/>
    <w:rsid w:val="00F46E24"/>
    <w:rsid w:val="00FA6B40"/>
    <w:rsid w:val="00FC7958"/>
    <w:rsid w:val="03B66B9F"/>
    <w:rsid w:val="061347CC"/>
    <w:rsid w:val="07B80F8E"/>
    <w:rsid w:val="095A6668"/>
    <w:rsid w:val="0C447E98"/>
    <w:rsid w:val="0C880245"/>
    <w:rsid w:val="0CF374D2"/>
    <w:rsid w:val="0F035E78"/>
    <w:rsid w:val="143D67CD"/>
    <w:rsid w:val="146E0B6B"/>
    <w:rsid w:val="156101D1"/>
    <w:rsid w:val="181F2616"/>
    <w:rsid w:val="1B3D3E2D"/>
    <w:rsid w:val="1CE60AFA"/>
    <w:rsid w:val="1E623279"/>
    <w:rsid w:val="1FF43D0F"/>
    <w:rsid w:val="20113FC2"/>
    <w:rsid w:val="20377720"/>
    <w:rsid w:val="209D01F2"/>
    <w:rsid w:val="242A7D6B"/>
    <w:rsid w:val="27626CE2"/>
    <w:rsid w:val="2FA728D5"/>
    <w:rsid w:val="2FB621E0"/>
    <w:rsid w:val="333C10AA"/>
    <w:rsid w:val="3677045C"/>
    <w:rsid w:val="38A95722"/>
    <w:rsid w:val="3A7B0557"/>
    <w:rsid w:val="3CAB5036"/>
    <w:rsid w:val="3D8104E2"/>
    <w:rsid w:val="3FD81AEE"/>
    <w:rsid w:val="44DF7ED0"/>
    <w:rsid w:val="4BCE3D1B"/>
    <w:rsid w:val="4C92650A"/>
    <w:rsid w:val="4D3733B4"/>
    <w:rsid w:val="4F361471"/>
    <w:rsid w:val="5C5179F5"/>
    <w:rsid w:val="5EF41B7A"/>
    <w:rsid w:val="63F23EBC"/>
    <w:rsid w:val="648A26E8"/>
    <w:rsid w:val="652C7273"/>
    <w:rsid w:val="66512F29"/>
    <w:rsid w:val="6A452429"/>
    <w:rsid w:val="6C2A2AEC"/>
    <w:rsid w:val="6C883394"/>
    <w:rsid w:val="6EFF071A"/>
    <w:rsid w:val="7C0B44C2"/>
    <w:rsid w:val="7EB60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color w:val="FF0000"/>
      <w:sz w:val="24"/>
      <w:szCs w:val="20"/>
    </w:rPr>
  </w:style>
  <w:style w:type="paragraph" w:styleId="4">
    <w:name w:val="Body Text"/>
    <w:basedOn w:val="1"/>
    <w:qFormat/>
    <w:uiPriority w:val="0"/>
    <w:pPr>
      <w:jc w:val="center"/>
    </w:pPr>
    <w:rPr>
      <w:rFonts w:eastAsia="方正美黑简体"/>
      <w:sz w:val="67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日期 Char"/>
    <w:basedOn w:val="10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4">
    <w:name w:val="页脚 Char"/>
    <w:link w:val="6"/>
    <w:qFormat/>
    <w:uiPriority w:val="0"/>
    <w:rPr>
      <w:rFonts w:ascii="Calibri" w:hAnsi="Calibri" w:eastAsia="仿宋_GB2312"/>
      <w:kern w:val="2"/>
      <w:sz w:val="18"/>
      <w:szCs w:val="18"/>
      <w:lang w:val="en-US" w:eastAsia="zh-CN" w:bidi="ar-SA"/>
    </w:rPr>
  </w:style>
  <w:style w:type="character" w:customStyle="1" w:styleId="15">
    <w:name w:val="页眉 Char"/>
    <w:link w:val="7"/>
    <w:qFormat/>
    <w:uiPriority w:val="0"/>
    <w:rPr>
      <w:rFonts w:ascii="Calibri" w:hAnsi="Calibri"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2297</Words>
  <Characters>2412</Characters>
  <Lines>30</Lines>
  <Paragraphs>8</Paragraphs>
  <TotalTime>0</TotalTime>
  <ScaleCrop>false</ScaleCrop>
  <LinksUpToDate>false</LinksUpToDate>
  <CharactersWithSpaces>2428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2020-03-26T00:54:00Z</dcterms:created>
  <dc:creator>松阳县府办文书（程淑玮）</dc:creator>
  <cp:lastModifiedBy>Administrator</cp:lastModifiedBy>
  <cp:lastPrinted>2020-03-25T07:21:00Z</cp:lastPrinted>
  <dcterms:modified xsi:type="dcterms:W3CDTF">2025-04-28T03:02:16Z</dcterms:modified>
  <dc:title>关于《关于建立健全违法建设防控治理长效机制的实施办法》（送审稿）的报请合法性审查报告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799F9E46104E480E8DA30608D064F289</vt:lpwstr>
  </property>
</Properties>
</file>