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rPr>
          <w:rFonts w:hint="default" w:ascii="Times New Roman" w:hAnsi="Times New Roman" w:cs="Times New Roman"/>
          <w:color w:val="auto"/>
        </w:rPr>
      </w:pPr>
    </w:p>
    <w:p>
      <w:pPr>
        <w:spacing w:line="659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《</w:t>
      </w:r>
      <w:r>
        <w:rPr>
          <w:rFonts w:hint="eastAsia" w:eastAsia="方正小标宋简体" w:cs="Times New Roman"/>
          <w:color w:val="auto"/>
          <w:sz w:val="44"/>
          <w:lang w:val="en-US" w:eastAsia="zh-CN"/>
        </w:rPr>
        <w:t>促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进服务消费高质量发展实施意见》</w:t>
      </w:r>
    </w:p>
    <w:p>
      <w:pPr>
        <w:spacing w:line="659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起草说明</w:t>
      </w:r>
    </w:p>
    <w:p>
      <w:pPr>
        <w:spacing w:beforeLines="50" w:afterLines="50" w:line="500" w:lineRule="exact"/>
        <w:jc w:val="center"/>
        <w:rPr>
          <w:rFonts w:hint="default" w:ascii="Times New Roman" w:hAnsi="Times New Roman" w:eastAsia="楷体_GB2312" w:cs="Times New Roman"/>
          <w:color w:val="auto"/>
          <w:spacing w:val="1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1"/>
          <w:sz w:val="32"/>
          <w:szCs w:val="32"/>
        </w:rPr>
        <w:t>区</w:t>
      </w:r>
      <w:r>
        <w:rPr>
          <w:rFonts w:hint="default" w:ascii="Times New Roman" w:hAnsi="Times New Roman" w:eastAsia="楷体_GB2312" w:cs="Times New Roman"/>
          <w:color w:val="auto"/>
          <w:spacing w:val="1"/>
          <w:sz w:val="32"/>
          <w:szCs w:val="32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4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4" w:firstLineChars="200"/>
        <w:jc w:val="left"/>
        <w:textAlignment w:val="auto"/>
        <w:rPr>
          <w:rStyle w:val="20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highlight w:val="none"/>
          <w:lang w:val="en-US" w:bidi="ar-SA"/>
        </w:rPr>
        <w:t>一、</w:t>
      </w:r>
      <w:r>
        <w:rPr>
          <w:rStyle w:val="20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政策出台理由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为贯彻落实中央、省、市决策部署，进一步促进服务消费高质量发展，现谋划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出台《促进服务消费高质量发展实施意见》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，以下简称“实施意见”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二、有关政策依据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促进服务消费高质量发展实施方案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4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highlight w:val="none"/>
          <w:lang w:val="en-US" w:bidi="ar-SA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条款组成情况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本实施意见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共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条，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分别为六大方面内容：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方面“稳步扩大基础型服务消费”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，包含推动餐饮住宿消费升级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、提升家政服务消费品质、助力养老托育消费扩容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auto"/>
          <w:highlight w:val="none"/>
          <w:lang w:val="en-US" w:eastAsia="zh-CN"/>
        </w:rPr>
        <w:t>第二方面“提质升级改善型服务消费”，包含增加文化娱乐消费供给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、推动旅游消费创新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、增强体育消费动能、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提升教育和培训消费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释放居住服务消费潜能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方面“打造服务消费新增长点”，包含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拓展数字消费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壮大绿色消费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扩大健康消费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第四方面“构建良好发展生态”，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包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含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开拓服务消费新场景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培育服务消费新品牌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推进服务业高水平对外开放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第五方面“营造放心消费环境”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包含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加强服务消费执法监管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推进经营主体信用合规建设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强化服务标准体系建设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六方面“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加强政策支撑保障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”，包含落实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财税金融配套政策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加强专业人才队伍建设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强化服务消费统计监测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3项。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814" w:right="1531" w:bottom="1814" w:left="1531" w:header="851" w:footer="1361" w:gutter="0"/>
      <w:pgNumType w:fmt="numberInDash" w:start="1"/>
      <w:cols w:space="0" w:num="1"/>
      <w:docGrid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19"/>
  <w:drawingGridHorizontalSpacing w:val="3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zE2NGY0MGQ5YzYwOTI0ZjA4ZjI5MmU1Y2NhMjIifQ=="/>
  </w:docVars>
  <w:rsids>
    <w:rsidRoot w:val="16A54EBE"/>
    <w:rsid w:val="000151C0"/>
    <w:rsid w:val="000262D8"/>
    <w:rsid w:val="000B7B21"/>
    <w:rsid w:val="00146100"/>
    <w:rsid w:val="001F458C"/>
    <w:rsid w:val="0034625A"/>
    <w:rsid w:val="00387C80"/>
    <w:rsid w:val="0041588A"/>
    <w:rsid w:val="00435765"/>
    <w:rsid w:val="00666E58"/>
    <w:rsid w:val="006A437C"/>
    <w:rsid w:val="00824284"/>
    <w:rsid w:val="00854E0C"/>
    <w:rsid w:val="00934B4A"/>
    <w:rsid w:val="00A12F83"/>
    <w:rsid w:val="00CA5429"/>
    <w:rsid w:val="00CF5804"/>
    <w:rsid w:val="00D9293E"/>
    <w:rsid w:val="00E22CBB"/>
    <w:rsid w:val="00FF5256"/>
    <w:rsid w:val="016F05E9"/>
    <w:rsid w:val="018D5C59"/>
    <w:rsid w:val="02E73EA3"/>
    <w:rsid w:val="03B74020"/>
    <w:rsid w:val="07F3615F"/>
    <w:rsid w:val="08584E04"/>
    <w:rsid w:val="0901343A"/>
    <w:rsid w:val="0BCC3873"/>
    <w:rsid w:val="108230A5"/>
    <w:rsid w:val="11106BDA"/>
    <w:rsid w:val="12954413"/>
    <w:rsid w:val="13511DA5"/>
    <w:rsid w:val="13D35FA0"/>
    <w:rsid w:val="15AB3CE7"/>
    <w:rsid w:val="165A7D1C"/>
    <w:rsid w:val="16A54EBE"/>
    <w:rsid w:val="16FFF4F9"/>
    <w:rsid w:val="17F70FF2"/>
    <w:rsid w:val="1876308A"/>
    <w:rsid w:val="1A9A8857"/>
    <w:rsid w:val="1ADA4D76"/>
    <w:rsid w:val="1C1362A1"/>
    <w:rsid w:val="1CC54B1D"/>
    <w:rsid w:val="1F25265D"/>
    <w:rsid w:val="1FC14E7D"/>
    <w:rsid w:val="21C422DC"/>
    <w:rsid w:val="2F0428A3"/>
    <w:rsid w:val="2FE3BABF"/>
    <w:rsid w:val="30257789"/>
    <w:rsid w:val="310A181A"/>
    <w:rsid w:val="32194CDD"/>
    <w:rsid w:val="33024A12"/>
    <w:rsid w:val="379E4A43"/>
    <w:rsid w:val="38DC6054"/>
    <w:rsid w:val="3B25439A"/>
    <w:rsid w:val="3BBE0162"/>
    <w:rsid w:val="3BE507F8"/>
    <w:rsid w:val="3C190E80"/>
    <w:rsid w:val="3C1C70CF"/>
    <w:rsid w:val="3CB7189A"/>
    <w:rsid w:val="3D4F70C5"/>
    <w:rsid w:val="3F351C0E"/>
    <w:rsid w:val="3F96225A"/>
    <w:rsid w:val="402F66CA"/>
    <w:rsid w:val="44722BFE"/>
    <w:rsid w:val="4585361F"/>
    <w:rsid w:val="46F72960"/>
    <w:rsid w:val="47105B31"/>
    <w:rsid w:val="49033566"/>
    <w:rsid w:val="493540C7"/>
    <w:rsid w:val="49CD334F"/>
    <w:rsid w:val="4B6601F1"/>
    <w:rsid w:val="4CB107E4"/>
    <w:rsid w:val="4D7FEC08"/>
    <w:rsid w:val="4DBFD27B"/>
    <w:rsid w:val="4E3D02CA"/>
    <w:rsid w:val="4EC70A70"/>
    <w:rsid w:val="51883018"/>
    <w:rsid w:val="52C51D71"/>
    <w:rsid w:val="543F0DAC"/>
    <w:rsid w:val="556D5974"/>
    <w:rsid w:val="55EA2461"/>
    <w:rsid w:val="575B6C65"/>
    <w:rsid w:val="582175CF"/>
    <w:rsid w:val="5BE611DF"/>
    <w:rsid w:val="5C774890"/>
    <w:rsid w:val="5DBF50AE"/>
    <w:rsid w:val="5E4B6AD2"/>
    <w:rsid w:val="5E9D3A56"/>
    <w:rsid w:val="624F4A4F"/>
    <w:rsid w:val="62880FFA"/>
    <w:rsid w:val="63057105"/>
    <w:rsid w:val="65A731F6"/>
    <w:rsid w:val="66397D30"/>
    <w:rsid w:val="66673495"/>
    <w:rsid w:val="67FDECFF"/>
    <w:rsid w:val="68476DDE"/>
    <w:rsid w:val="6B0912DA"/>
    <w:rsid w:val="6BC717E3"/>
    <w:rsid w:val="6DEF5BB5"/>
    <w:rsid w:val="6E492712"/>
    <w:rsid w:val="6EBF6A68"/>
    <w:rsid w:val="6FE75CF7"/>
    <w:rsid w:val="70205083"/>
    <w:rsid w:val="7134110D"/>
    <w:rsid w:val="71453E6C"/>
    <w:rsid w:val="72C873AF"/>
    <w:rsid w:val="75DF9249"/>
    <w:rsid w:val="7675F07B"/>
    <w:rsid w:val="77E9FC56"/>
    <w:rsid w:val="77EE34E2"/>
    <w:rsid w:val="79404457"/>
    <w:rsid w:val="79A61220"/>
    <w:rsid w:val="79B11F6D"/>
    <w:rsid w:val="7A601F07"/>
    <w:rsid w:val="7AC554CD"/>
    <w:rsid w:val="7B362568"/>
    <w:rsid w:val="7B9B1436"/>
    <w:rsid w:val="7CFBAAC7"/>
    <w:rsid w:val="7D07647A"/>
    <w:rsid w:val="7D5A266C"/>
    <w:rsid w:val="7D6F6555"/>
    <w:rsid w:val="7D7DD79C"/>
    <w:rsid w:val="7E6DB241"/>
    <w:rsid w:val="7EAFC770"/>
    <w:rsid w:val="7EBA06E7"/>
    <w:rsid w:val="7EDD7C08"/>
    <w:rsid w:val="7F2B605D"/>
    <w:rsid w:val="7F7F6EC3"/>
    <w:rsid w:val="7FAF17EA"/>
    <w:rsid w:val="7FC6022D"/>
    <w:rsid w:val="9F4741D2"/>
    <w:rsid w:val="AB907297"/>
    <w:rsid w:val="AFB9CDE1"/>
    <w:rsid w:val="B6EC1928"/>
    <w:rsid w:val="B7752E75"/>
    <w:rsid w:val="B7DF92F8"/>
    <w:rsid w:val="BACDF110"/>
    <w:rsid w:val="BFBA8C0A"/>
    <w:rsid w:val="BFCB9108"/>
    <w:rsid w:val="CFB69864"/>
    <w:rsid w:val="D6FF0ABA"/>
    <w:rsid w:val="D7A6C0DA"/>
    <w:rsid w:val="D7D51F29"/>
    <w:rsid w:val="DCB73B9C"/>
    <w:rsid w:val="DEDC3CD4"/>
    <w:rsid w:val="EDE5C9CA"/>
    <w:rsid w:val="EEFFBE2B"/>
    <w:rsid w:val="EF7D575D"/>
    <w:rsid w:val="F7A21BC3"/>
    <w:rsid w:val="FA7C6CF3"/>
    <w:rsid w:val="FDF3A11E"/>
    <w:rsid w:val="FEB77B87"/>
    <w:rsid w:val="FEFFC480"/>
    <w:rsid w:val="FFAFB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rPr>
      <w:sz w:val="18"/>
      <w:szCs w:val="18"/>
    </w:r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  <w:rPr>
      <w:rFonts w:eastAsia="仿宋"/>
    </w:rPr>
  </w:style>
  <w:style w:type="paragraph" w:styleId="5">
    <w:name w:val="toc 8"/>
    <w:basedOn w:val="1"/>
    <w:next w:val="1"/>
    <w:qFormat/>
    <w:uiPriority w:val="0"/>
    <w:pPr>
      <w:widowControl/>
      <w:wordWrap w:val="0"/>
      <w:ind w:left="1270"/>
    </w:pPr>
    <w:rPr>
      <w:rFonts w:ascii="Calibri" w:hAnsi="Calibri"/>
      <w:kern w:val="0"/>
      <w:sz w:val="20"/>
    </w:rPr>
  </w:style>
  <w:style w:type="paragraph" w:styleId="6">
    <w:name w:val="Body Text"/>
    <w:basedOn w:val="1"/>
    <w:next w:val="7"/>
    <w:qFormat/>
    <w:uiPriority w:val="0"/>
  </w:style>
  <w:style w:type="paragraph" w:styleId="7">
    <w:name w:val="Body Text First Indent"/>
    <w:basedOn w:val="6"/>
    <w:next w:val="1"/>
    <w:qFormat/>
    <w:uiPriority w:val="99"/>
    <w:pPr>
      <w:spacing w:line="500" w:lineRule="exact"/>
      <w:ind w:firstLine="420"/>
    </w:pPr>
    <w:rPr>
      <w:rFonts w:ascii="Calibri" w:hAnsi="Calibri" w:eastAsia="楷体_GB2312"/>
      <w:sz w:val="21"/>
      <w:szCs w:val="20"/>
    </w:rPr>
  </w:style>
  <w:style w:type="paragraph" w:styleId="8">
    <w:name w:val="Body Text Indent"/>
    <w:basedOn w:val="1"/>
    <w:next w:val="4"/>
    <w:qFormat/>
    <w:uiPriority w:val="0"/>
    <w:pPr>
      <w:ind w:firstLine="560" w:firstLineChars="200"/>
    </w:pPr>
    <w:rPr>
      <w:sz w:val="28"/>
      <w:szCs w:val="28"/>
    </w:rPr>
  </w:style>
  <w:style w:type="paragraph" w:styleId="9">
    <w:name w:val="Plain Text"/>
    <w:basedOn w:val="1"/>
    <w:link w:val="36"/>
    <w:qFormat/>
    <w:uiPriority w:val="0"/>
    <w:rPr>
      <w:rFonts w:ascii="宋体" w:hAnsi="Courier New"/>
      <w:szCs w:val="21"/>
    </w:rPr>
  </w:style>
  <w:style w:type="paragraph" w:styleId="10">
    <w:name w:val="Body Text Indent 2"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14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6">
    <w:name w:val="Body Text First Indent 2"/>
    <w:basedOn w:val="8"/>
    <w:next w:val="6"/>
    <w:qFormat/>
    <w:uiPriority w:val="0"/>
    <w:pPr>
      <w:ind w:firstLine="420"/>
    </w:pPr>
  </w:style>
  <w:style w:type="table" w:styleId="18">
    <w:name w:val="Table Grid"/>
    <w:basedOn w:val="1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paragraph" w:customStyle="1" w:styleId="22">
    <w:name w:val="Char"/>
    <w:basedOn w:val="1"/>
    <w:qFormat/>
    <w:uiPriority w:val="0"/>
  </w:style>
  <w:style w:type="paragraph" w:customStyle="1" w:styleId="23">
    <w:name w:val="工信院正文"/>
    <w:basedOn w:val="1"/>
    <w:qFormat/>
    <w:uiPriority w:val="0"/>
    <w:pPr>
      <w:spacing w:line="600" w:lineRule="exact"/>
      <w:ind w:firstLine="643" w:firstLineChars="200"/>
    </w:pPr>
  </w:style>
  <w:style w:type="character" w:customStyle="1" w:styleId="24">
    <w:name w:val="font41"/>
    <w:basedOn w:val="1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5">
    <w:name w:val="font11"/>
    <w:basedOn w:val="1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6">
    <w:name w:val="正文文本缩进1"/>
    <w:basedOn w:val="1"/>
    <w:qFormat/>
    <w:uiPriority w:val="0"/>
    <w:pPr>
      <w:spacing w:line="620" w:lineRule="exact"/>
      <w:ind w:firstLine="640" w:firstLineChars="200"/>
    </w:pPr>
    <w:rPr>
      <w:rFonts w:ascii="Calibri" w:hAnsi="Calibri"/>
      <w:szCs w:val="22"/>
    </w:rPr>
  </w:style>
  <w:style w:type="character" w:customStyle="1" w:styleId="27">
    <w:name w:val="15"/>
    <w:basedOn w:val="1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28">
    <w:name w:val="标题 1 Char"/>
    <w:basedOn w:val="19"/>
    <w:link w:val="3"/>
    <w:qFormat/>
    <w:uiPriority w:val="9"/>
    <w:rPr>
      <w:rFonts w:ascii="宋体" w:hAnsi="宋体"/>
      <w:b/>
      <w:kern w:val="44"/>
      <w:sz w:val="48"/>
      <w:szCs w:val="48"/>
    </w:rPr>
  </w:style>
  <w:style w:type="paragraph" w:customStyle="1" w:styleId="29">
    <w:name w:val="正文缩进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30">
    <w:name w:val="Default"/>
    <w:basedOn w:val="1"/>
    <w:next w:val="10"/>
    <w:qFormat/>
    <w:uiPriority w:val="0"/>
    <w:pPr>
      <w:autoSpaceDE w:val="0"/>
      <w:autoSpaceDN w:val="0"/>
      <w:adjustRightInd w:val="0"/>
      <w:jc w:val="left"/>
    </w:pPr>
    <w:rPr>
      <w:rFonts w:ascii="方正小标宋简体" w:eastAsia="方正小标宋简体" w:cs="宋体"/>
      <w:color w:val="000000"/>
      <w:kern w:val="0"/>
      <w:sz w:val="24"/>
      <w:szCs w:val="24"/>
    </w:rPr>
  </w:style>
  <w:style w:type="character" w:customStyle="1" w:styleId="31">
    <w:name w:val="10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32">
    <w:name w:val="16"/>
    <w:basedOn w:val="19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3">
    <w:name w:val="17"/>
    <w:basedOn w:val="19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34">
    <w:name w:val="18"/>
    <w:basedOn w:val="19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6">
    <w:name w:val="纯文本 Char"/>
    <w:link w:val="9"/>
    <w:qFormat/>
    <w:uiPriority w:val="0"/>
    <w:rPr>
      <w:rFonts w:ascii="宋体" w:hAnsi="Courier New"/>
      <w:szCs w:val="21"/>
    </w:rPr>
  </w:style>
  <w:style w:type="table" w:customStyle="1" w:styleId="37">
    <w:name w:val="网格型2"/>
    <w:basedOn w:val="17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764</Words>
  <Characters>796</Characters>
  <Lines>397</Lines>
  <Paragraphs>111</Paragraphs>
  <TotalTime>1</TotalTime>
  <ScaleCrop>false</ScaleCrop>
  <LinksUpToDate>false</LinksUpToDate>
  <CharactersWithSpaces>797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2023-01-08T07:21:00Z</dcterms:created>
  <dc:creator>Administrator</dc:creator>
  <cp:lastModifiedBy>斜阳寞树</cp:lastModifiedBy>
  <cp:lastPrinted>2023-01-16T10:25:00Z</cp:lastPrinted>
  <dcterms:modified xsi:type="dcterms:W3CDTF">2025-08-19T00:48:24Z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2D40DD0547D344D48BF0D9CBB85C8904_13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eyJoZGlkIjoiMTI2M2U3YjZiN2I1ZWEwMGViNjE5YTVlZWVhMjI1NjIiLCJ1c2VySWQiOiIxOTc0ODkwNSJ9</vt:lpwstr>
  </property>
</Properties>
</file>