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27FEF">
      <w:pPr>
        <w:spacing w:line="620" w:lineRule="exact"/>
        <w:rPr>
          <w:rFonts w:hint="default" w:ascii="Times New Roman" w:hAnsi="Times New Roman" w:eastAsia="方正小标宋简体" w:cs="Times New Roman"/>
          <w:sz w:val="44"/>
        </w:rPr>
      </w:pPr>
    </w:p>
    <w:p w14:paraId="216B55D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方正小标宋简体" w:cs="Times New Roman"/>
          <w:sz w:val="44"/>
          <w:szCs w:val="44"/>
        </w:rPr>
        <w:t>关于《菜园镇纳管渔船管理暂行办法》的起草说明</w:t>
      </w:r>
    </w:p>
    <w:bookmarkEnd w:id="0"/>
    <w:p w14:paraId="5C54E4E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rPr>
      </w:pPr>
      <w:r>
        <w:rPr>
          <w:rFonts w:hint="default" w:ascii="Times New Roman" w:hAnsi="Times New Roman" w:cs="Times New Roman"/>
          <w:lang w:val="en-US" w:eastAsia="zh-CN"/>
        </w:rPr>
        <w:t>嵊泗县</w:t>
      </w:r>
      <w:r>
        <w:rPr>
          <w:rFonts w:hint="eastAsia" w:cs="Times New Roman"/>
          <w:lang w:val="en-US" w:eastAsia="zh-CN"/>
        </w:rPr>
        <w:t>菜园镇人民政府</w:t>
      </w:r>
    </w:p>
    <w:p w14:paraId="48044E1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lang w:val="en-US" w:eastAsia="zh-CN"/>
        </w:rPr>
        <w:t>202</w:t>
      </w:r>
      <w:r>
        <w:rPr>
          <w:rFonts w:hint="eastAsia" w:cs="Times New Roman"/>
          <w:lang w:val="en-US" w:eastAsia="zh-CN"/>
        </w:rPr>
        <w:t>4</w:t>
      </w:r>
      <w:r>
        <w:rPr>
          <w:rFonts w:hint="default" w:ascii="Times New Roman" w:hAnsi="Times New Roman" w:cs="Times New Roman"/>
        </w:rPr>
        <w:t>年</w:t>
      </w:r>
      <w:r>
        <w:rPr>
          <w:rFonts w:hint="eastAsia" w:cs="Times New Roman"/>
          <w:lang w:val="en-US" w:eastAsia="zh-CN"/>
        </w:rPr>
        <w:t>8</w:t>
      </w:r>
      <w:r>
        <w:rPr>
          <w:rFonts w:hint="default" w:ascii="Times New Roman" w:hAnsi="Times New Roman" w:cs="Times New Roman"/>
        </w:rPr>
        <w:t>月</w:t>
      </w:r>
      <w:r>
        <w:rPr>
          <w:rFonts w:hint="eastAsia" w:cs="Times New Roman"/>
          <w:lang w:val="en-US" w:eastAsia="zh-CN"/>
        </w:rPr>
        <w:t>28</w:t>
      </w:r>
      <w:r>
        <w:rPr>
          <w:rFonts w:hint="default" w:ascii="Times New Roman" w:hAnsi="Times New Roman" w:cs="Times New Roman"/>
        </w:rPr>
        <w:t>日）</w:t>
      </w:r>
    </w:p>
    <w:p w14:paraId="6D0D1110">
      <w:pPr>
        <w:keepNext w:val="0"/>
        <w:keepLines w:val="0"/>
        <w:pageBreakBefore w:val="0"/>
        <w:widowControl w:val="0"/>
        <w:kinsoku/>
        <w:wordWrap/>
        <w:overflowPunct/>
        <w:topLinePunct w:val="0"/>
        <w:autoSpaceDE/>
        <w:autoSpaceDN/>
        <w:bidi w:val="0"/>
        <w:spacing w:line="240" w:lineRule="auto"/>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一、起草背景及过程</w:t>
      </w:r>
    </w:p>
    <w:p w14:paraId="71BB117A">
      <w:pPr>
        <w:keepNext w:val="0"/>
        <w:keepLines w:val="0"/>
        <w:pageBreakBefore w:val="0"/>
        <w:widowControl w:val="0"/>
        <w:kinsoku/>
        <w:wordWrap/>
        <w:overflowPunct/>
        <w:topLinePunct w:val="0"/>
        <w:autoSpaceDE/>
        <w:autoSpaceDN/>
        <w:bidi w:val="0"/>
        <w:spacing w:line="240" w:lineRule="auto"/>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为深入贯彻落实党的二十大关于“坚持全面依法治国，推进法治中国建设”精神，</w:t>
      </w:r>
      <w:r>
        <w:rPr>
          <w:rFonts w:hint="eastAsia" w:ascii="仿宋_GB2312" w:hAnsi="仿宋_GB2312" w:cs="仿宋_GB2312"/>
          <w:sz w:val="32"/>
          <w:szCs w:val="32"/>
          <w:lang w:eastAsia="zh-CN"/>
        </w:rPr>
        <w:t>结合我镇管理纳管渔船实际需求</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菜园镇渔农村渔农业办公室</w:t>
      </w:r>
      <w:r>
        <w:rPr>
          <w:rFonts w:hint="eastAsia" w:ascii="仿宋_GB2312" w:hAnsi="仿宋_GB2312" w:eastAsia="仿宋_GB2312" w:cs="仿宋_GB2312"/>
          <w:sz w:val="32"/>
          <w:szCs w:val="32"/>
        </w:rPr>
        <w:t>起草了《菜园镇纳管渔船管理暂行办法》并书面征求</w:t>
      </w:r>
      <w:r>
        <w:rPr>
          <w:rFonts w:hint="eastAsia" w:ascii="仿宋_GB2312" w:hAnsi="仿宋_GB2312" w:cs="仿宋_GB2312"/>
          <w:sz w:val="32"/>
          <w:szCs w:val="32"/>
          <w:lang w:eastAsia="zh-CN"/>
        </w:rPr>
        <w:t>相关人员</w:t>
      </w:r>
      <w:r>
        <w:rPr>
          <w:rFonts w:hint="eastAsia" w:ascii="仿宋_GB2312" w:hAnsi="仿宋_GB2312" w:eastAsia="仿宋_GB2312" w:cs="仿宋_GB2312"/>
          <w:sz w:val="32"/>
          <w:szCs w:val="32"/>
        </w:rPr>
        <w:t>意见，形成了今天的送审稿。</w:t>
      </w:r>
    </w:p>
    <w:p w14:paraId="3CEB58AA">
      <w:pPr>
        <w:keepNext w:val="0"/>
        <w:keepLines w:val="0"/>
        <w:pageBreakBefore w:val="0"/>
        <w:widowControl w:val="0"/>
        <w:kinsoku/>
        <w:wordWrap/>
        <w:overflowPunct/>
        <w:topLinePunct w:val="0"/>
        <w:autoSpaceDE/>
        <w:autoSpaceDN/>
        <w:bidi w:val="0"/>
        <w:spacing w:line="240" w:lineRule="auto"/>
        <w:ind w:right="0"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val="en-US" w:eastAsia="zh-CN"/>
        </w:rPr>
        <w:t>主要内容</w:t>
      </w:r>
    </w:p>
    <w:p w14:paraId="288EF6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color w:val="auto"/>
          <w:sz w:val="32"/>
          <w:szCs w:val="32"/>
          <w:lang w:val="en-US" w:eastAsia="zh-CN"/>
        </w:rPr>
      </w:pPr>
      <w:r>
        <w:rPr>
          <w:rFonts w:hint="eastAsia" w:ascii="Times New Roman" w:hAnsi="Times New Roman" w:eastAsia="黑体" w:cs="Times New Roman"/>
          <w:spacing w:val="0"/>
          <w:kern w:val="2"/>
          <w:sz w:val="32"/>
          <w:szCs w:val="32"/>
          <w:lang w:val="en-US" w:eastAsia="zh-CN" w:bidi="ar-SA"/>
        </w:rPr>
        <w:t>（一）</w:t>
      </w:r>
      <w:r>
        <w:rPr>
          <w:rFonts w:hint="eastAsia" w:eastAsia="黑体" w:cs="Times New Roman"/>
          <w:spacing w:val="0"/>
          <w:kern w:val="2"/>
          <w:sz w:val="32"/>
          <w:szCs w:val="32"/>
          <w:lang w:val="en-US" w:eastAsia="zh-CN" w:bidi="ar-SA"/>
        </w:rPr>
        <w:t>总则。</w:t>
      </w:r>
      <w:r>
        <w:rPr>
          <w:rFonts w:hint="eastAsia" w:ascii="Times New Roman" w:hAnsi="Times New Roman" w:eastAsia="仿宋" w:cs="Times New Roman"/>
          <w:b w:val="0"/>
          <w:bCs/>
          <w:color w:val="auto"/>
          <w:sz w:val="32"/>
          <w:szCs w:val="32"/>
          <w:lang w:val="en-US" w:eastAsia="zh-CN"/>
        </w:rPr>
        <w:t>明确了</w:t>
      </w:r>
      <w:r>
        <w:rPr>
          <w:rFonts w:hint="eastAsia" w:ascii="Times New Roman" w:hAnsi="Times New Roman" w:eastAsia="仿宋" w:cs="Times New Roman"/>
          <w:b w:val="0"/>
          <w:bCs/>
          <w:color w:val="auto"/>
          <w:sz w:val="32"/>
          <w:szCs w:val="32"/>
        </w:rPr>
        <w:t>本镇行政区域内</w:t>
      </w:r>
      <w:r>
        <w:rPr>
          <w:rFonts w:hint="eastAsia" w:ascii="Times New Roman" w:hAnsi="Times New Roman" w:eastAsia="仿宋" w:cs="Times New Roman"/>
          <w:b w:val="0"/>
          <w:bCs/>
          <w:color w:val="auto"/>
          <w:sz w:val="32"/>
          <w:szCs w:val="32"/>
          <w:lang w:eastAsia="zh-CN"/>
        </w:rPr>
        <w:t>纳管船</w:t>
      </w:r>
      <w:r>
        <w:rPr>
          <w:rFonts w:hint="eastAsia" w:ascii="Times New Roman" w:hAnsi="Times New Roman" w:eastAsia="仿宋" w:cs="Times New Roman"/>
          <w:b w:val="0"/>
          <w:bCs/>
          <w:color w:val="auto"/>
          <w:sz w:val="32"/>
          <w:szCs w:val="32"/>
        </w:rPr>
        <w:t>的核准、运行、监管适用本办法</w:t>
      </w:r>
      <w:r>
        <w:rPr>
          <w:rFonts w:hint="eastAsia" w:ascii="Times New Roman" w:hAnsi="Times New Roman" w:eastAsia="仿宋" w:cs="Times New Roman"/>
          <w:b w:val="0"/>
          <w:bCs/>
          <w:color w:val="auto"/>
          <w:sz w:val="32"/>
          <w:szCs w:val="32"/>
          <w:lang w:eastAsia="zh-CN"/>
        </w:rPr>
        <w:t>。本办法所称的纳管船，是指在本镇辖区内登记的生计渔船、养殖辅助船及类游艇。同时，三类纳管船舶应符合下列条件：</w:t>
      </w:r>
      <w:r>
        <w:rPr>
          <w:rFonts w:hint="eastAsia" w:ascii="Times New Roman" w:hAnsi="Times New Roman" w:eastAsia="仿宋" w:cs="Times New Roman"/>
          <w:b w:val="0"/>
          <w:bCs/>
          <w:color w:val="auto"/>
          <w:sz w:val="32"/>
          <w:szCs w:val="32"/>
          <w:lang w:val="en-US" w:eastAsia="zh-CN"/>
        </w:rPr>
        <w:t>生计船舶所有人必须具有本镇户籍或持有本镇村级股份经济合作社股民证，年龄不超过70周岁；养殖辅助船所有人(公司)必须为具有本县户籍或持有本县村级股份经济合作社股民证的养殖渔民，或注册地在本县的养殖公司；类游艇证书登记人和实际经营人必须一致且为菜园户籍或菜园常住人口。</w:t>
      </w:r>
    </w:p>
    <w:p w14:paraId="6FE192F1">
      <w:pPr>
        <w:pStyle w:val="2"/>
        <w:ind w:firstLine="640" w:firstLineChars="200"/>
        <w:rPr>
          <w:rFonts w:hint="eastAsia" w:ascii="Times New Roman" w:hAnsi="Times New Roman" w:eastAsia="仿宋" w:cs="Times New Roman"/>
          <w:b w:val="0"/>
          <w:bCs/>
          <w:color w:val="auto"/>
          <w:spacing w:val="0"/>
          <w:kern w:val="2"/>
          <w:sz w:val="32"/>
          <w:szCs w:val="32"/>
          <w:lang w:val="en-US" w:eastAsia="zh-CN" w:bidi="ar-SA"/>
        </w:rPr>
      </w:pPr>
      <w:r>
        <w:rPr>
          <w:rFonts w:hint="eastAsia" w:eastAsia="黑体" w:cs="Times New Roman"/>
          <w:spacing w:val="0"/>
          <w:kern w:val="2"/>
          <w:sz w:val="32"/>
          <w:szCs w:val="32"/>
          <w:lang w:val="en-US" w:eastAsia="zh-CN" w:bidi="ar-SA"/>
        </w:rPr>
        <w:t>(二）纳规审批条件。</w:t>
      </w:r>
      <w:r>
        <w:rPr>
          <w:rFonts w:hint="eastAsia" w:ascii="Times New Roman" w:hAnsi="Times New Roman" w:eastAsia="仿宋" w:cs="Times New Roman"/>
          <w:b w:val="0"/>
          <w:bCs/>
          <w:color w:val="auto"/>
          <w:spacing w:val="0"/>
          <w:kern w:val="2"/>
          <w:sz w:val="32"/>
          <w:szCs w:val="32"/>
          <w:lang w:val="en-US" w:eastAsia="zh-CN" w:bidi="ar-SA"/>
        </w:rPr>
        <w:t>全</w:t>
      </w:r>
      <w:r>
        <w:rPr>
          <w:rFonts w:hint="eastAsia" w:eastAsia="仿宋" w:cs="Times New Roman"/>
          <w:b w:val="0"/>
          <w:bCs/>
          <w:color w:val="auto"/>
          <w:spacing w:val="0"/>
          <w:kern w:val="2"/>
          <w:sz w:val="32"/>
          <w:szCs w:val="32"/>
          <w:lang w:val="en-US" w:eastAsia="zh-CN" w:bidi="ar-SA"/>
        </w:rPr>
        <w:t>镇</w:t>
      </w:r>
      <w:r>
        <w:rPr>
          <w:rFonts w:hint="eastAsia" w:ascii="Times New Roman" w:hAnsi="Times New Roman" w:eastAsia="仿宋" w:cs="Times New Roman"/>
          <w:b w:val="0"/>
          <w:bCs/>
          <w:color w:val="auto"/>
          <w:spacing w:val="0"/>
          <w:kern w:val="2"/>
          <w:sz w:val="32"/>
          <w:szCs w:val="32"/>
          <w:lang w:val="en-US" w:eastAsia="zh-CN" w:bidi="ar-SA"/>
        </w:rPr>
        <w:t>的纳管船舶实行总量控制、只减不增，只允许一户一船</w:t>
      </w:r>
      <w:r>
        <w:rPr>
          <w:rFonts w:hint="eastAsia" w:eastAsia="仿宋" w:cs="Times New Roman"/>
          <w:b w:val="0"/>
          <w:bCs/>
          <w:color w:val="auto"/>
          <w:spacing w:val="0"/>
          <w:kern w:val="2"/>
          <w:sz w:val="32"/>
          <w:szCs w:val="32"/>
          <w:lang w:val="en-US" w:eastAsia="zh-CN" w:bidi="ar-SA"/>
        </w:rPr>
        <w:t>，除养殖面积超过20亩的养殖户</w:t>
      </w:r>
      <w:r>
        <w:rPr>
          <w:rFonts w:hint="eastAsia" w:ascii="Times New Roman" w:hAnsi="Times New Roman" w:eastAsia="仿宋" w:cs="Times New Roman"/>
          <w:b w:val="0"/>
          <w:bCs/>
          <w:color w:val="auto"/>
          <w:spacing w:val="0"/>
          <w:kern w:val="2"/>
          <w:sz w:val="32"/>
          <w:szCs w:val="32"/>
          <w:lang w:val="en-US" w:eastAsia="zh-CN" w:bidi="ar-SA"/>
        </w:rPr>
        <w:t>。纳管船舶申请、更新、流转、退出必须经村审核，报</w:t>
      </w:r>
      <w:r>
        <w:rPr>
          <w:rFonts w:hint="eastAsia" w:eastAsia="仿宋" w:cs="Times New Roman"/>
          <w:b w:val="0"/>
          <w:bCs/>
          <w:color w:val="auto"/>
          <w:spacing w:val="0"/>
          <w:kern w:val="2"/>
          <w:sz w:val="32"/>
          <w:szCs w:val="32"/>
          <w:lang w:val="en-US" w:eastAsia="zh-CN" w:bidi="ar-SA"/>
        </w:rPr>
        <w:t>镇</w:t>
      </w:r>
      <w:r>
        <w:rPr>
          <w:rFonts w:hint="eastAsia" w:ascii="Times New Roman" w:hAnsi="Times New Roman" w:eastAsia="仿宋" w:cs="Times New Roman"/>
          <w:b w:val="0"/>
          <w:bCs/>
          <w:color w:val="auto"/>
          <w:spacing w:val="0"/>
          <w:kern w:val="2"/>
          <w:sz w:val="32"/>
          <w:szCs w:val="32"/>
          <w:lang w:val="en-US" w:eastAsia="zh-CN" w:bidi="ar-SA"/>
        </w:rPr>
        <w:t>政府审批同意。纳管船舶实行统一序列标号，船名号由</w:t>
      </w:r>
      <w:r>
        <w:rPr>
          <w:rFonts w:hint="eastAsia" w:eastAsia="仿宋" w:cs="Times New Roman"/>
          <w:b w:val="0"/>
          <w:bCs/>
          <w:color w:val="auto"/>
          <w:spacing w:val="0"/>
          <w:kern w:val="2"/>
          <w:sz w:val="32"/>
          <w:szCs w:val="32"/>
          <w:lang w:val="en-US" w:eastAsia="zh-CN" w:bidi="ar-SA"/>
        </w:rPr>
        <w:t>镇</w:t>
      </w:r>
      <w:r>
        <w:rPr>
          <w:rFonts w:hint="eastAsia" w:ascii="Times New Roman" w:hAnsi="Times New Roman" w:eastAsia="仿宋" w:cs="Times New Roman"/>
          <w:b w:val="0"/>
          <w:bCs/>
          <w:color w:val="auto"/>
          <w:spacing w:val="0"/>
          <w:kern w:val="2"/>
          <w:sz w:val="32"/>
          <w:szCs w:val="32"/>
          <w:lang w:val="en-US" w:eastAsia="zh-CN" w:bidi="ar-SA"/>
        </w:rPr>
        <w:t>渔办统一编制，生计钓鱼船命名规则为“</w:t>
      </w:r>
      <w:r>
        <w:rPr>
          <w:rFonts w:hint="eastAsia" w:eastAsia="仿宋" w:cs="Times New Roman"/>
          <w:b w:val="0"/>
          <w:bCs/>
          <w:color w:val="auto"/>
          <w:spacing w:val="0"/>
          <w:kern w:val="2"/>
          <w:sz w:val="32"/>
          <w:szCs w:val="32"/>
          <w:lang w:val="en-US" w:eastAsia="zh-CN" w:bidi="ar-SA"/>
        </w:rPr>
        <w:t>嵊菜</w:t>
      </w:r>
      <w:r>
        <w:rPr>
          <w:rFonts w:hint="eastAsia" w:ascii="Times New Roman" w:hAnsi="Times New Roman" w:eastAsia="仿宋" w:cs="Times New Roman"/>
          <w:b w:val="0"/>
          <w:bCs/>
          <w:color w:val="auto"/>
          <w:spacing w:val="0"/>
          <w:kern w:val="2"/>
          <w:sz w:val="32"/>
          <w:szCs w:val="32"/>
          <w:lang w:val="en-US" w:eastAsia="zh-CN" w:bidi="ar-SA"/>
        </w:rPr>
        <w:t>小临</w:t>
      </w:r>
      <w:r>
        <w:rPr>
          <w:rFonts w:hint="eastAsia" w:eastAsia="仿宋" w:cs="Times New Roman"/>
          <w:b w:val="0"/>
          <w:bCs/>
          <w:color w:val="auto"/>
          <w:spacing w:val="0"/>
          <w:kern w:val="2"/>
          <w:sz w:val="32"/>
          <w:szCs w:val="32"/>
          <w:lang w:val="en-US" w:eastAsia="zh-CN" w:bidi="ar-SA"/>
        </w:rPr>
        <w:t>X</w:t>
      </w:r>
      <w:r>
        <w:rPr>
          <w:rFonts w:hint="eastAsia" w:ascii="Times New Roman" w:hAnsi="Times New Roman" w:eastAsia="仿宋" w:cs="Times New Roman"/>
          <w:b w:val="0"/>
          <w:bCs/>
          <w:color w:val="auto"/>
          <w:spacing w:val="0"/>
          <w:kern w:val="2"/>
          <w:sz w:val="32"/>
          <w:szCs w:val="32"/>
          <w:lang w:val="en-US" w:eastAsia="zh-CN" w:bidi="ar-SA"/>
        </w:rPr>
        <w:t>XXX（数字序号）”，养殖服务船命名规则为“嵊渔养3XXXX（数字序号）”，</w:t>
      </w:r>
      <w:r>
        <w:rPr>
          <w:rFonts w:hint="eastAsia" w:eastAsia="仿宋" w:cs="Times New Roman"/>
          <w:b w:val="0"/>
          <w:bCs/>
          <w:color w:val="auto"/>
          <w:spacing w:val="0"/>
          <w:kern w:val="2"/>
          <w:sz w:val="32"/>
          <w:szCs w:val="32"/>
          <w:lang w:val="en-US" w:eastAsia="zh-CN" w:bidi="ar-SA"/>
        </w:rPr>
        <w:t>类游艇</w:t>
      </w:r>
      <w:r>
        <w:rPr>
          <w:rFonts w:hint="eastAsia" w:ascii="Times New Roman" w:hAnsi="Times New Roman" w:eastAsia="仿宋" w:cs="Times New Roman"/>
          <w:b w:val="0"/>
          <w:bCs/>
          <w:color w:val="auto"/>
          <w:spacing w:val="0"/>
          <w:kern w:val="2"/>
          <w:sz w:val="32"/>
          <w:szCs w:val="32"/>
          <w:lang w:val="en-US" w:eastAsia="zh-CN" w:bidi="ar-SA"/>
        </w:rPr>
        <w:t>船命名规则为“深海00XX（数字序号）”。</w:t>
      </w:r>
    </w:p>
    <w:p w14:paraId="29BC61B6">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trike w:val="0"/>
          <w:color w:val="000000"/>
          <w:spacing w:val="0"/>
          <w:kern w:val="2"/>
          <w:sz w:val="32"/>
          <w:szCs w:val="32"/>
          <w:lang w:val="en-US" w:eastAsia="zh-CN" w:bidi="ar-SA"/>
        </w:rPr>
      </w:pPr>
      <w:r>
        <w:rPr>
          <w:rFonts w:hint="eastAsia" w:ascii="Times New Roman" w:hAnsi="Times New Roman" w:eastAsia="黑体" w:cs="Times New Roman"/>
          <w:sz w:val="32"/>
          <w:szCs w:val="32"/>
          <w:lang w:val="en-US" w:eastAsia="zh-CN"/>
        </w:rPr>
        <w:t>（三）监督管理</w:t>
      </w:r>
      <w:r>
        <w:rPr>
          <w:rFonts w:hint="eastAsia" w:eastAsia="黑体" w:cs="Times New Roman"/>
          <w:sz w:val="32"/>
          <w:szCs w:val="32"/>
          <w:lang w:val="en-US" w:eastAsia="zh-CN"/>
        </w:rPr>
        <w:t>。</w:t>
      </w:r>
      <w:r>
        <w:rPr>
          <w:rFonts w:hint="eastAsia" w:ascii="Times New Roman" w:hAnsi="Times New Roman" w:eastAsia="仿宋" w:cs="Times New Roman"/>
          <w:b w:val="0"/>
          <w:bCs/>
          <w:color w:val="auto"/>
          <w:sz w:val="32"/>
          <w:szCs w:val="32"/>
          <w:lang w:val="en-US" w:eastAsia="zh-CN"/>
        </w:rPr>
        <w:t>纳管船舶的监督管理实行责任制，必须明确职责，规范行为，齐抓共管，责任到人。</w:t>
      </w:r>
      <w:r>
        <w:rPr>
          <w:rFonts w:hint="eastAsia" w:ascii="仿宋" w:hAnsi="仿宋" w:eastAsia="仿宋" w:cs="仿宋"/>
          <w:strike w:val="0"/>
          <w:color w:val="000000"/>
          <w:spacing w:val="0"/>
          <w:kern w:val="2"/>
          <w:sz w:val="32"/>
          <w:szCs w:val="32"/>
          <w:lang w:val="en-US" w:eastAsia="zh-CN" w:bidi="ar-SA"/>
        </w:rPr>
        <w:t>乡镇点验中心落实24小时值班值守机制，实施船舶动态监控，核查并记录养纳管船舶进出港报备制度，监管通讯、导航、救生设备是否配齐、有效，船员是否持证，超核载人数、超时间、超区域作业是否存在。落实每日两次动态点验制度，开展点验、干预，核实处理各类预警，落实应急救援联动。对于不遵守安全管理制度的船舶予以处理、取缔。</w:t>
      </w:r>
      <w:r>
        <w:rPr>
          <w:rFonts w:hint="eastAsia" w:ascii="仿宋_GB2312" w:hAnsi="仿宋_GB2312" w:eastAsia="仿宋_GB2312" w:cs="仿宋_GB2312"/>
          <w:strike w:val="0"/>
          <w:color w:val="000000"/>
          <w:spacing w:val="0"/>
          <w:kern w:val="2"/>
          <w:sz w:val="32"/>
          <w:szCs w:val="32"/>
          <w:lang w:val="en-US" w:eastAsia="zh-CN" w:bidi="ar-SA"/>
        </w:rPr>
        <w:t>各村、基层管理组织承担乡镇纳管船舶管理协管责任，组织港口巡查和隐患排查治理，</w:t>
      </w:r>
      <w:r>
        <w:rPr>
          <w:rFonts w:hint="eastAsia" w:ascii="仿宋" w:hAnsi="仿宋" w:eastAsia="仿宋" w:cs="仿宋"/>
          <w:strike w:val="0"/>
          <w:color w:val="000000"/>
          <w:spacing w:val="0"/>
          <w:kern w:val="2"/>
          <w:sz w:val="32"/>
          <w:szCs w:val="32"/>
          <w:lang w:val="en-US" w:eastAsia="zh-CN" w:bidi="ar-SA"/>
        </w:rPr>
        <w:t>各村每年至少开展一次船东、船员应急演练和两次安全宣传教育，建立并更新“一船一档”及各类台账。摸排本村纳管船舶数量，实时掌握并记录纳管船舶动态和人员底数、船员身份信息、持证情况。</w:t>
      </w:r>
    </w:p>
    <w:p w14:paraId="3E4C538E">
      <w:pPr>
        <w:keepNext w:val="0"/>
        <w:keepLines w:val="0"/>
        <w:pageBreakBefore w:val="0"/>
        <w:widowControl w:val="0"/>
        <w:kinsoku/>
        <w:wordWrap/>
        <w:overflowPunct/>
        <w:topLinePunct w:val="0"/>
        <w:autoSpaceDE/>
        <w:autoSpaceDN/>
        <w:bidi w:val="0"/>
        <w:spacing w:line="240" w:lineRule="auto"/>
        <w:ind w:right="0" w:firstLine="640" w:firstLineChars="200"/>
        <w:textAlignment w:val="auto"/>
        <w:rPr>
          <w:rFonts w:hint="eastAsia" w:ascii="仿宋_GB2312" w:hAnsi="仿宋_GB2312" w:cs="仿宋_GB2312"/>
          <w:strike w:val="0"/>
          <w:color w:val="000000"/>
          <w:spacing w:val="0"/>
          <w:kern w:val="2"/>
          <w:sz w:val="32"/>
          <w:szCs w:val="32"/>
          <w:lang w:val="en-US" w:eastAsia="zh-CN" w:bidi="ar-SA"/>
        </w:rPr>
      </w:pPr>
      <w:r>
        <w:rPr>
          <w:rFonts w:hint="eastAsia" w:ascii="Times New Roman" w:hAnsi="Times New Roman" w:eastAsia="黑体" w:cs="Times New Roman"/>
          <w:sz w:val="32"/>
          <w:szCs w:val="32"/>
          <w:lang w:val="en-US" w:eastAsia="zh-CN"/>
        </w:rPr>
        <w:t>（四）惩罚机制</w:t>
      </w:r>
      <w:r>
        <w:rPr>
          <w:rFonts w:hint="eastAsia" w:eastAsia="黑体" w:cs="Times New Roman"/>
          <w:sz w:val="32"/>
          <w:szCs w:val="32"/>
          <w:lang w:val="en-US" w:eastAsia="zh-CN"/>
        </w:rPr>
        <w:t>。</w:t>
      </w:r>
      <w:r>
        <w:rPr>
          <w:rFonts w:hint="eastAsia" w:ascii="仿宋_GB2312" w:hAnsi="仿宋_GB2312" w:eastAsia="仿宋_GB2312" w:cs="仿宋_GB2312"/>
          <w:strike w:val="0"/>
          <w:color w:val="000000"/>
          <w:spacing w:val="0"/>
          <w:kern w:val="2"/>
          <w:sz w:val="32"/>
          <w:szCs w:val="32"/>
          <w:lang w:val="en-US" w:eastAsia="zh-CN" w:bidi="ar-SA"/>
        </w:rPr>
        <w:t>对违反规定的纳管渔船</w:t>
      </w:r>
      <w:r>
        <w:rPr>
          <w:rFonts w:hint="eastAsia" w:ascii="仿宋_GB2312" w:hAnsi="仿宋_GB2312" w:cs="仿宋_GB2312"/>
          <w:strike w:val="0"/>
          <w:color w:val="000000"/>
          <w:spacing w:val="0"/>
          <w:kern w:val="2"/>
          <w:sz w:val="32"/>
          <w:szCs w:val="32"/>
          <w:lang w:val="en-US" w:eastAsia="zh-CN" w:bidi="ar-SA"/>
        </w:rPr>
        <w:t>依照不同的违规行为进行不同的处罚。</w:t>
      </w:r>
    </w:p>
    <w:p w14:paraId="4DFD4C6F">
      <w:pPr>
        <w:keepNext w:val="0"/>
        <w:keepLines w:val="0"/>
        <w:pageBreakBefore w:val="0"/>
        <w:widowControl w:val="0"/>
        <w:kinsoku/>
        <w:wordWrap/>
        <w:overflowPunct/>
        <w:topLinePunct w:val="0"/>
        <w:autoSpaceDE/>
        <w:autoSpaceDN/>
        <w:bidi w:val="0"/>
        <w:spacing w:line="240" w:lineRule="auto"/>
        <w:ind w:right="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lang w:val="en-US" w:eastAsia="zh-CN"/>
        </w:rPr>
        <w:t>制定必要性</w:t>
      </w:r>
    </w:p>
    <w:p w14:paraId="052F3408">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cs="仿宋_GB2312"/>
          <w:spacing w:val="0"/>
          <w:kern w:val="2"/>
          <w:sz w:val="32"/>
          <w:szCs w:val="32"/>
          <w:lang w:val="en-US" w:eastAsia="zh-CN" w:bidi="ar-SA"/>
        </w:rPr>
        <w:t>出台行政</w:t>
      </w:r>
      <w:r>
        <w:rPr>
          <w:rFonts w:hint="eastAsia" w:ascii="仿宋_GB2312" w:hAnsi="仿宋_GB2312" w:eastAsia="仿宋_GB2312" w:cs="仿宋_GB2312"/>
          <w:spacing w:val="0"/>
          <w:kern w:val="2"/>
          <w:sz w:val="32"/>
          <w:szCs w:val="32"/>
          <w:lang w:val="en-US" w:eastAsia="zh-CN" w:bidi="ar-SA"/>
        </w:rPr>
        <w:t>规范性文件，是推进依法行政、建设法治政府，从源头上解决执法依据合法、合理和有效的办法。</w:t>
      </w:r>
    </w:p>
    <w:p w14:paraId="6ECD181F">
      <w:pPr>
        <w:keepNext w:val="0"/>
        <w:keepLines w:val="0"/>
        <w:pageBreakBefore w:val="0"/>
        <w:widowControl w:val="0"/>
        <w:kinsoku/>
        <w:wordWrap/>
        <w:overflowPunct/>
        <w:topLinePunct w:val="0"/>
        <w:autoSpaceDE/>
        <w:autoSpaceDN/>
        <w:bidi w:val="0"/>
        <w:spacing w:line="240" w:lineRule="auto"/>
        <w:ind w:right="0" w:firstLine="640" w:firstLineChars="200"/>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四、因未设置30天日期的</w:t>
      </w:r>
      <w:r>
        <w:rPr>
          <w:rFonts w:hint="eastAsia" w:ascii="Times New Roman" w:hAnsi="Times New Roman" w:eastAsia="黑体" w:cs="Times New Roman"/>
          <w:sz w:val="32"/>
          <w:szCs w:val="32"/>
          <w:lang w:val="en-US" w:eastAsia="zh-CN"/>
        </w:rPr>
        <w:t>特殊情况</w:t>
      </w:r>
    </w:p>
    <w:p w14:paraId="0C062B6B">
      <w:pPr>
        <w:pStyle w:val="3"/>
        <w:numPr>
          <w:numId w:val="0"/>
        </w:numPr>
        <w:ind w:firstLine="640" w:firstLineChars="200"/>
        <w:rPr>
          <w:rFonts w:hint="eastAsia" w:ascii="仿宋_GB2312" w:hAnsi="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因为本乡镇</w:t>
      </w:r>
      <w:r>
        <w:rPr>
          <w:rFonts w:hint="eastAsia" w:ascii="仿宋_GB2312" w:hAnsi="仿宋_GB2312" w:cs="仿宋_GB2312"/>
          <w:spacing w:val="0"/>
          <w:kern w:val="2"/>
          <w:sz w:val="32"/>
          <w:szCs w:val="32"/>
          <w:lang w:val="en-US" w:eastAsia="zh-CN" w:bidi="ar-SA"/>
        </w:rPr>
        <w:t>现无管理纳管渔船的管理办法，对纳管渔船缺少有效的管理手段，缺乏惩罚机制。</w:t>
      </w:r>
    </w:p>
    <w:p w14:paraId="70CB1111">
      <w:pPr>
        <w:keepNext w:val="0"/>
        <w:keepLines w:val="0"/>
        <w:pageBreakBefore w:val="0"/>
        <w:widowControl w:val="0"/>
        <w:numPr>
          <w:numId w:val="0"/>
        </w:numPr>
        <w:kinsoku/>
        <w:wordWrap/>
        <w:overflowPunct/>
        <w:topLinePunct w:val="0"/>
        <w:autoSpaceDE/>
        <w:autoSpaceDN/>
        <w:bidi w:val="0"/>
        <w:spacing w:line="240" w:lineRule="auto"/>
        <w:ind w:right="0" w:rightChars="0" w:firstLine="640" w:firstLineChars="200"/>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五、</w:t>
      </w:r>
      <w:r>
        <w:rPr>
          <w:rFonts w:hint="eastAsia" w:ascii="Times New Roman" w:hAnsi="Times New Roman" w:eastAsia="黑体" w:cs="Times New Roman"/>
          <w:sz w:val="32"/>
          <w:szCs w:val="32"/>
          <w:lang w:val="en-US" w:eastAsia="zh-CN"/>
        </w:rPr>
        <w:t>提请政府研究事项</w:t>
      </w:r>
    </w:p>
    <w:p w14:paraId="5AF0C4EA">
      <w:pPr>
        <w:pStyle w:val="2"/>
        <w:ind w:firstLine="640" w:firstLineChars="200"/>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提请</w:t>
      </w:r>
      <w:r>
        <w:rPr>
          <w:rFonts w:hint="eastAsia" w:ascii="仿宋_GB2312" w:hAnsi="仿宋_GB2312" w:cs="仿宋_GB2312"/>
          <w:spacing w:val="0"/>
          <w:kern w:val="2"/>
          <w:sz w:val="32"/>
          <w:szCs w:val="32"/>
          <w:lang w:val="en-US" w:eastAsia="zh-CN" w:bidi="ar-SA"/>
        </w:rPr>
        <w:t>镇党委</w:t>
      </w:r>
      <w:r>
        <w:rPr>
          <w:rFonts w:hint="eastAsia" w:ascii="仿宋_GB2312" w:hAnsi="仿宋_GB2312" w:eastAsia="仿宋_GB2312" w:cs="仿宋_GB2312"/>
          <w:spacing w:val="0"/>
          <w:kern w:val="2"/>
          <w:sz w:val="32"/>
          <w:szCs w:val="32"/>
          <w:lang w:val="en-US" w:eastAsia="zh-CN" w:bidi="ar-SA"/>
        </w:rPr>
        <w:t>常务会议讨论通过，并按照有关规定及时向</w:t>
      </w:r>
      <w:r>
        <w:rPr>
          <w:rFonts w:hint="eastAsia" w:ascii="仿宋_GB2312" w:hAnsi="仿宋_GB2312" w:cs="仿宋_GB2312"/>
          <w:spacing w:val="0"/>
          <w:kern w:val="2"/>
          <w:sz w:val="32"/>
          <w:szCs w:val="32"/>
          <w:lang w:val="en-US" w:eastAsia="zh-CN" w:bidi="ar-SA"/>
        </w:rPr>
        <w:t>县海洋经济发展局</w:t>
      </w:r>
      <w:r>
        <w:rPr>
          <w:rFonts w:hint="eastAsia" w:ascii="仿宋_GB2312" w:hAnsi="仿宋_GB2312" w:eastAsia="仿宋_GB2312" w:cs="仿宋_GB2312"/>
          <w:spacing w:val="0"/>
          <w:kern w:val="2"/>
          <w:sz w:val="32"/>
          <w:szCs w:val="32"/>
          <w:lang w:val="en-US" w:eastAsia="zh-CN" w:bidi="ar-SA"/>
        </w:rPr>
        <w:t>进行报告。</w:t>
      </w:r>
    </w:p>
    <w:p w14:paraId="3601DBBC">
      <w:pPr>
        <w:rPr>
          <w:rFonts w:hint="default"/>
          <w:lang w:val="en-US" w:eastAsia="zh-CN"/>
        </w:rPr>
      </w:pPr>
    </w:p>
    <w:p w14:paraId="2C513EFA">
      <w:pPr>
        <w:keepNext w:val="0"/>
        <w:keepLines w:val="0"/>
        <w:pageBreakBefore w:val="0"/>
        <w:widowControl w:val="0"/>
        <w:kinsoku/>
        <w:wordWrap/>
        <w:overflowPunct/>
        <w:topLinePunct w:val="0"/>
        <w:autoSpaceDE/>
        <w:autoSpaceDN/>
        <w:bidi w:val="0"/>
        <w:spacing w:line="240" w:lineRule="auto"/>
        <w:ind w:right="0" w:firstLine="640" w:firstLineChars="200"/>
        <w:textAlignment w:val="auto"/>
        <w:rPr>
          <w:rFonts w:hint="eastAsia" w:ascii="仿宋_GB2312" w:hAnsi="仿宋_GB2312" w:cs="仿宋_GB2312"/>
          <w:strike w:val="0"/>
          <w:color w:val="000000"/>
          <w:spacing w:val="0"/>
          <w:kern w:val="2"/>
          <w:sz w:val="32"/>
          <w:szCs w:val="32"/>
          <w:lang w:val="en-US" w:eastAsia="zh-CN" w:bidi="ar-SA"/>
        </w:rPr>
      </w:pPr>
    </w:p>
    <w:p w14:paraId="6AA5DF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color w:val="auto"/>
          <w:sz w:val="32"/>
          <w:szCs w:val="32"/>
          <w:lang w:val="en-US" w:eastAsia="zh-CN"/>
        </w:rPr>
      </w:pPr>
    </w:p>
    <w:p w14:paraId="49A8ED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color w:val="auto"/>
          <w:sz w:val="32"/>
          <w:szCs w:val="32"/>
          <w:lang w:val="en-US" w:eastAsia="zh-CN"/>
        </w:rPr>
      </w:pPr>
    </w:p>
    <w:p w14:paraId="48BC9DD3">
      <w:pPr>
        <w:keepNext w:val="0"/>
        <w:keepLines w:val="0"/>
        <w:pageBreakBefore w:val="0"/>
        <w:widowControl w:val="0"/>
        <w:kinsoku/>
        <w:wordWrap/>
        <w:overflowPunct/>
        <w:topLinePunct w:val="0"/>
        <w:autoSpaceDE/>
        <w:autoSpaceDN/>
        <w:bidi w:val="0"/>
        <w:spacing w:line="240" w:lineRule="auto"/>
        <w:ind w:right="0" w:firstLine="640" w:firstLineChars="200"/>
        <w:textAlignment w:val="auto"/>
        <w:rPr>
          <w:rFonts w:hint="eastAsia" w:ascii="Times New Roman" w:hAnsi="Times New Roman" w:eastAsia="黑体" w:cs="Times New Roman"/>
          <w:sz w:val="32"/>
          <w:szCs w:val="32"/>
          <w:lang w:val="en-US" w:eastAsia="zh-CN"/>
        </w:rPr>
      </w:pPr>
    </w:p>
    <w:p w14:paraId="70B45D61">
      <w:pPr>
        <w:keepNext w:val="0"/>
        <w:keepLines w:val="0"/>
        <w:pageBreakBefore w:val="0"/>
        <w:widowControl w:val="0"/>
        <w:kinsoku/>
        <w:wordWrap/>
        <w:overflowPunct/>
        <w:topLinePunct w:val="0"/>
        <w:autoSpaceDE/>
        <w:autoSpaceDN/>
        <w:bidi w:val="0"/>
        <w:spacing w:line="240" w:lineRule="auto"/>
        <w:ind w:right="0" w:firstLine="640" w:firstLineChars="200"/>
        <w:textAlignment w:val="auto"/>
        <w:rPr>
          <w:rFonts w:hint="eastAsia" w:ascii="Times New Roman" w:hAnsi="Times New Roman" w:eastAsia="黑体"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NjQwYjlmMzc0M2JkODIzODQ5MjM0MGQxNmU0NDQifQ=="/>
  </w:docVars>
  <w:rsids>
    <w:rsidRoot w:val="5E780114"/>
    <w:rsid w:val="5E78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pacing w:val="16"/>
      <w:sz w:val="32"/>
    </w:rPr>
  </w:style>
  <w:style w:type="paragraph" w:styleId="3">
    <w:name w:val="Body Text First Indent"/>
    <w:basedOn w:val="2"/>
    <w:next w:val="1"/>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2024-08-28T01:32:00Z</dcterms:created>
  <dc:creator>曾经决定不了未来</dc:creator>
  <cp:lastModifiedBy>曾经决定不了未来</cp:lastModifiedBy>
  <dcterms:modified xsi:type="dcterms:W3CDTF">2024-08-28T02:11:36Z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ED9870AD94B44515B85095CB82C6BC2D_11</vt:lpwstr>
  </property>
</Properties>
</file>