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00D8D2">
      <w:pPr>
        <w:jc w:val="center"/>
        <w:rPr>
          <w:rFonts w:hint="eastAsia"/>
          <w:b/>
          <w:bCs/>
          <w:sz w:val="32"/>
          <w:szCs w:val="32"/>
          <w:lang w:eastAsia="zh-CN"/>
        </w:rPr>
      </w:pPr>
      <w:r>
        <w:rPr>
          <w:rFonts w:hint="eastAsia"/>
          <w:b/>
          <w:bCs/>
          <w:sz w:val="32"/>
          <w:szCs w:val="32"/>
          <w:lang w:val="en-US" w:eastAsia="zh-CN"/>
        </w:rPr>
        <w:t>关于依法规制“恶意”投诉举报行为 维护良好营商环境的实施意见</w:t>
      </w:r>
      <w:bookmarkStart w:id="0" w:name="_GoBack"/>
      <w:bookmarkEnd w:id="0"/>
    </w:p>
    <w:p w14:paraId="5C18D9F3">
      <w:pPr>
        <w:jc w:val="center"/>
        <w:rPr>
          <w:rFonts w:hint="eastAsia" w:eastAsia="宋体"/>
          <w:b/>
          <w:bCs/>
          <w:sz w:val="32"/>
          <w:szCs w:val="32"/>
          <w:lang w:eastAsia="zh-CN"/>
        </w:rPr>
      </w:pPr>
      <w:r>
        <w:rPr>
          <w:rFonts w:hint="eastAsia"/>
          <w:b/>
          <w:bCs/>
          <w:sz w:val="32"/>
          <w:szCs w:val="32"/>
          <w:lang w:eastAsia="zh-CN"/>
        </w:rPr>
        <w:t>（</w:t>
      </w:r>
      <w:r>
        <w:rPr>
          <w:rFonts w:hint="eastAsia"/>
          <w:b/>
          <w:bCs/>
          <w:sz w:val="32"/>
          <w:szCs w:val="32"/>
          <w:lang w:val="en-US" w:eastAsia="zh-CN"/>
        </w:rPr>
        <w:t>征求意见稿</w:t>
      </w:r>
      <w:r>
        <w:rPr>
          <w:rFonts w:hint="eastAsia"/>
          <w:b/>
          <w:bCs/>
          <w:sz w:val="32"/>
          <w:szCs w:val="32"/>
          <w:lang w:eastAsia="zh-CN"/>
        </w:rPr>
        <w:t>）</w:t>
      </w:r>
    </w:p>
    <w:p w14:paraId="3B27A722">
      <w:pPr>
        <w:ind w:firstLine="560" w:firstLineChars="200"/>
        <w:rPr>
          <w:rFonts w:hint="eastAsia"/>
          <w:sz w:val="28"/>
          <w:szCs w:val="28"/>
        </w:rPr>
      </w:pPr>
      <w:r>
        <w:rPr>
          <w:rFonts w:hint="eastAsia"/>
          <w:sz w:val="28"/>
          <w:szCs w:val="28"/>
        </w:rPr>
        <w:t>为维护良好的营商环境和消费环境，促进社会诚信建设，</w:t>
      </w:r>
      <w:r>
        <w:rPr>
          <w:color w:val="auto"/>
          <w:sz w:val="28"/>
          <w:szCs w:val="28"/>
        </w:rPr>
        <w:t>保障公平竞争的消费市场秩序，</w:t>
      </w:r>
      <w:r>
        <w:rPr>
          <w:rFonts w:hint="eastAsia"/>
          <w:sz w:val="28"/>
          <w:szCs w:val="28"/>
        </w:rPr>
        <w:t>防范以牟利为目的的恶意“维权”</w:t>
      </w:r>
      <w:r>
        <w:rPr>
          <w:sz w:val="28"/>
          <w:szCs w:val="28"/>
        </w:rPr>
        <w:t>行为</w:t>
      </w:r>
      <w:r>
        <w:rPr>
          <w:rFonts w:hint="eastAsia"/>
          <w:sz w:val="28"/>
          <w:szCs w:val="28"/>
        </w:rPr>
        <w:t>占用有限的行政资源、司法资源，扰乱市场竞争秩序，根据《中华人民共和国消费者权益保护法》《浙江省实施&lt;中华人民共和国消费者权益保护法&gt;办法》《市场监督管理投诉举报处理暂行办法》等法律法规规章，以及《国务院关于加强和规范事中事后监管的指导意见》《国务院办公厅关于促进平台经济规范健康发展的指导意见》《最高人民法院关于引导和规范职业打假人的建议的答复》《最高人民法院关于优化法治环境 促进民营经济发展壮大的指导意见》等文件精神，结合本县实际，提出以下意见:</w:t>
      </w:r>
    </w:p>
    <w:p w14:paraId="2F03B0A8">
      <w:pPr>
        <w:ind w:firstLine="562" w:firstLineChars="200"/>
        <w:rPr>
          <w:rFonts w:hint="eastAsia"/>
          <w:b/>
          <w:bCs/>
          <w:sz w:val="28"/>
          <w:szCs w:val="28"/>
        </w:rPr>
      </w:pPr>
      <w:r>
        <w:rPr>
          <w:rFonts w:hint="eastAsia"/>
          <w:b/>
          <w:bCs/>
          <w:sz w:val="28"/>
          <w:szCs w:val="28"/>
        </w:rPr>
        <w:t>一、总体原则</w:t>
      </w:r>
    </w:p>
    <w:p w14:paraId="734973E3">
      <w:pPr>
        <w:ind w:firstLine="560" w:firstLineChars="200"/>
        <w:rPr>
          <w:rFonts w:hint="eastAsia"/>
          <w:sz w:val="28"/>
          <w:szCs w:val="28"/>
        </w:rPr>
      </w:pPr>
      <w:r>
        <w:rPr>
          <w:rFonts w:hint="eastAsia"/>
          <w:sz w:val="28"/>
          <w:szCs w:val="28"/>
        </w:rPr>
        <w:t>(一) 坚持依法行政。坚持以习近平法治思想为指导</w:t>
      </w:r>
      <w:r>
        <w:rPr>
          <w:sz w:val="28"/>
          <w:szCs w:val="28"/>
        </w:rPr>
        <w:t>，</w:t>
      </w:r>
      <w:r>
        <w:rPr>
          <w:rFonts w:hint="eastAsia"/>
          <w:sz w:val="28"/>
          <w:szCs w:val="28"/>
        </w:rPr>
        <w:t>在应对恶意“维权”行为工作中，要始终坚守依法行政的底线，确保依法履职、规范答复，做到程序适当、证据充足</w:t>
      </w:r>
      <w:r>
        <w:rPr>
          <w:sz w:val="28"/>
          <w:szCs w:val="28"/>
        </w:rPr>
        <w:t>、</w:t>
      </w:r>
      <w:r>
        <w:rPr>
          <w:rFonts w:hint="eastAsia"/>
          <w:sz w:val="28"/>
          <w:szCs w:val="28"/>
        </w:rPr>
        <w:t>定性准确、裁量合理</w:t>
      </w:r>
      <w:r>
        <w:rPr>
          <w:sz w:val="28"/>
          <w:szCs w:val="28"/>
        </w:rPr>
        <w:t>。</w:t>
      </w:r>
    </w:p>
    <w:p w14:paraId="4158CB70">
      <w:pPr>
        <w:ind w:firstLine="560" w:firstLineChars="200"/>
        <w:rPr>
          <w:rFonts w:hint="eastAsia"/>
          <w:sz w:val="28"/>
          <w:szCs w:val="28"/>
        </w:rPr>
      </w:pPr>
      <w:r>
        <w:rPr>
          <w:rFonts w:hint="eastAsia"/>
          <w:sz w:val="28"/>
          <w:szCs w:val="28"/>
        </w:rPr>
        <w:t>(二) 实施分类管理。全面维护真正消费者的权益,鼓励和引导公益性职业举报行为，规范和治理影响营商环境的恶意“维权”行为，打击涉嫌敲诈勒索、诈骗等违法犯罪行为。在投诉处理、行政处罚、行政复议、行政诉讼等环节，落实对恶意“维权”行为的分类管理</w:t>
      </w:r>
      <w:r>
        <w:rPr>
          <w:sz w:val="28"/>
          <w:szCs w:val="28"/>
        </w:rPr>
        <w:t>。</w:t>
      </w:r>
    </w:p>
    <w:p w14:paraId="4CD4A7BF">
      <w:pPr>
        <w:ind w:firstLine="560" w:firstLineChars="200"/>
        <w:rPr>
          <w:rFonts w:hint="eastAsia"/>
          <w:sz w:val="28"/>
          <w:szCs w:val="28"/>
        </w:rPr>
      </w:pPr>
      <w:r>
        <w:rPr>
          <w:rFonts w:hint="eastAsia"/>
          <w:sz w:val="28"/>
          <w:szCs w:val="28"/>
        </w:rPr>
        <w:t>(三) 倡导诚实守信。通过宣传培训、指导约谈、行政处罚等多种方式，着力督促经营者落实主体责任，推动企业知法守法、诚信自律。倡导诚信消费、理性消费、依法维权</w:t>
      </w:r>
      <w:r>
        <w:rPr>
          <w:sz w:val="28"/>
          <w:szCs w:val="28"/>
        </w:rPr>
        <w:t>，</w:t>
      </w:r>
      <w:r>
        <w:rPr>
          <w:rFonts w:hint="eastAsia"/>
          <w:sz w:val="28"/>
          <w:szCs w:val="28"/>
        </w:rPr>
        <w:t>营造诚实守信的市场环境和放心消费环境。</w:t>
      </w:r>
    </w:p>
    <w:p w14:paraId="636811DF">
      <w:pPr>
        <w:ind w:firstLine="560" w:firstLineChars="200"/>
        <w:rPr>
          <w:rFonts w:hint="eastAsia"/>
          <w:sz w:val="28"/>
          <w:szCs w:val="28"/>
        </w:rPr>
      </w:pPr>
      <w:r>
        <w:rPr>
          <w:rFonts w:hint="eastAsia"/>
          <w:sz w:val="28"/>
          <w:szCs w:val="28"/>
        </w:rPr>
        <w:t>(四) 强化综合治理。针对恶意“维权”行为明显泛滥领域、数量急剧增长的情况，深入分析原因，从制度供给</w:t>
      </w:r>
      <w:r>
        <w:rPr>
          <w:sz w:val="28"/>
          <w:szCs w:val="28"/>
        </w:rPr>
        <w:t>、</w:t>
      </w:r>
      <w:r>
        <w:rPr>
          <w:rFonts w:hint="eastAsia"/>
          <w:sz w:val="28"/>
          <w:szCs w:val="28"/>
        </w:rPr>
        <w:t>行政执法、行刑衔接、司法保障、工作考核等方面加以遏制，形成齐抓共管、综合治理的工作格局。</w:t>
      </w:r>
    </w:p>
    <w:p w14:paraId="17FC2BDA">
      <w:pPr>
        <w:ind w:firstLine="562" w:firstLineChars="200"/>
        <w:rPr>
          <w:rFonts w:hint="eastAsia"/>
          <w:b/>
          <w:bCs/>
          <w:sz w:val="28"/>
          <w:szCs w:val="28"/>
        </w:rPr>
      </w:pPr>
      <w:r>
        <w:rPr>
          <w:rFonts w:hint="eastAsia"/>
          <w:b/>
          <w:bCs/>
          <w:sz w:val="28"/>
          <w:szCs w:val="28"/>
        </w:rPr>
        <w:t>二、恶意“维权”行为的界定</w:t>
      </w:r>
    </w:p>
    <w:p w14:paraId="24A408D1">
      <w:pPr>
        <w:ind w:firstLine="560" w:firstLineChars="200"/>
        <w:rPr>
          <w:rFonts w:hint="eastAsia"/>
          <w:sz w:val="28"/>
          <w:szCs w:val="28"/>
        </w:rPr>
      </w:pPr>
      <w:r>
        <w:rPr>
          <w:rFonts w:hint="eastAsia"/>
          <w:sz w:val="28"/>
          <w:szCs w:val="28"/>
        </w:rPr>
        <w:t>根据《中华人民共和国消费者权益保护法》的相关规定</w:t>
      </w:r>
      <w:r>
        <w:rPr>
          <w:sz w:val="28"/>
          <w:szCs w:val="28"/>
        </w:rPr>
        <w:t>，</w:t>
      </w:r>
      <w:r>
        <w:rPr>
          <w:rFonts w:hint="eastAsia"/>
          <w:sz w:val="28"/>
          <w:szCs w:val="28"/>
        </w:rPr>
        <w:t>消费者是指为生活消费需要购买、使用商品或接受服务者。下列为了牟利而不是为了生活消费需要而购买、使用商品或接受服务的情形，一般不应被界定为消费者:</w:t>
      </w:r>
    </w:p>
    <w:p w14:paraId="374C677F">
      <w:pPr>
        <w:tabs>
          <w:tab w:val="left" w:pos="3360"/>
        </w:tabs>
        <w:ind w:left="0" w:firstLine="560" w:firstLineChars="200"/>
        <w:rPr>
          <w:rFonts w:hint="eastAsia"/>
          <w:sz w:val="28"/>
          <w:szCs w:val="28"/>
        </w:rPr>
      </w:pPr>
      <w:r>
        <w:rPr>
          <w:rFonts w:hint="eastAsia"/>
          <w:sz w:val="28"/>
          <w:szCs w:val="28"/>
        </w:rPr>
        <w:t>(一) 未因购买商品或接受服务对其人身财产合法权益造成损害，仅以商品或者服务的广告宣传标识，标签说明等违反一般规定为由，要求经营者赔偿进行投诉举报</w:t>
      </w:r>
      <w:r>
        <w:rPr>
          <w:sz w:val="28"/>
          <w:szCs w:val="28"/>
        </w:rPr>
        <w:t>；</w:t>
      </w:r>
    </w:p>
    <w:p w14:paraId="79110604">
      <w:pPr>
        <w:ind w:firstLine="560" w:firstLineChars="200"/>
        <w:rPr>
          <w:rFonts w:hint="eastAsia"/>
          <w:sz w:val="28"/>
          <w:szCs w:val="28"/>
        </w:rPr>
      </w:pPr>
      <w:r>
        <w:rPr>
          <w:rFonts w:hint="eastAsia"/>
          <w:sz w:val="28"/>
          <w:szCs w:val="28"/>
        </w:rPr>
        <w:t>(二) 不配合执法单位核实验证身份信息以及无法提供消费关系证明和其他相关证据材料</w:t>
      </w:r>
      <w:r>
        <w:rPr>
          <w:sz w:val="28"/>
          <w:szCs w:val="28"/>
        </w:rPr>
        <w:t>；</w:t>
      </w:r>
    </w:p>
    <w:p w14:paraId="0DCD1A82">
      <w:pPr>
        <w:ind w:firstLine="560" w:firstLineChars="200"/>
        <w:rPr>
          <w:rFonts w:hint="eastAsia"/>
          <w:sz w:val="28"/>
          <w:szCs w:val="28"/>
        </w:rPr>
      </w:pPr>
      <w:r>
        <w:rPr>
          <w:rFonts w:hint="eastAsia"/>
          <w:sz w:val="28"/>
          <w:szCs w:val="28"/>
        </w:rPr>
        <w:t>(三) 提供虚假的投诉人</w:t>
      </w:r>
      <w:r>
        <w:rPr>
          <w:sz w:val="28"/>
          <w:szCs w:val="28"/>
        </w:rPr>
        <w:t>信息，或</w:t>
      </w:r>
      <w:r>
        <w:rPr>
          <w:rFonts w:hint="eastAsia"/>
          <w:sz w:val="28"/>
          <w:szCs w:val="28"/>
        </w:rPr>
        <w:t>不同投诉人使用同一投诉人信息、同一手机号码、同一地址等有明显组织策划的行为</w:t>
      </w:r>
      <w:r>
        <w:rPr>
          <w:sz w:val="28"/>
          <w:szCs w:val="28"/>
        </w:rPr>
        <w:t>；</w:t>
      </w:r>
    </w:p>
    <w:p w14:paraId="01D2E28E">
      <w:pPr>
        <w:ind w:firstLine="560" w:firstLineChars="200"/>
        <w:rPr>
          <w:rFonts w:hint="eastAsia"/>
          <w:sz w:val="28"/>
          <w:szCs w:val="28"/>
        </w:rPr>
      </w:pPr>
      <w:r>
        <w:rPr>
          <w:rFonts w:hint="eastAsia"/>
          <w:sz w:val="28"/>
          <w:szCs w:val="28"/>
        </w:rPr>
        <w:t>(四) 隐瞒或捏造事实进行投诉举报</w:t>
      </w:r>
      <w:r>
        <w:rPr>
          <w:sz w:val="28"/>
          <w:szCs w:val="28"/>
        </w:rPr>
        <w:t>；</w:t>
      </w:r>
    </w:p>
    <w:p w14:paraId="15DB189F">
      <w:pPr>
        <w:ind w:firstLine="560" w:firstLineChars="200"/>
        <w:rPr>
          <w:rFonts w:hint="eastAsia"/>
          <w:sz w:val="28"/>
          <w:szCs w:val="28"/>
        </w:rPr>
      </w:pPr>
      <w:r>
        <w:rPr>
          <w:rFonts w:hint="eastAsia"/>
          <w:sz w:val="28"/>
          <w:szCs w:val="28"/>
        </w:rPr>
        <w:t>(五) 明知或应知商品或服务存在质量问题，仍然购买商品或接受服务，再以提起投诉举报、向媒体曝光等方式要挟生产经营者索要赔偿金</w:t>
      </w:r>
      <w:r>
        <w:rPr>
          <w:sz w:val="28"/>
          <w:szCs w:val="28"/>
        </w:rPr>
        <w:t>；</w:t>
      </w:r>
    </w:p>
    <w:p w14:paraId="11B0941B">
      <w:pPr>
        <w:ind w:firstLine="560" w:firstLineChars="200"/>
        <w:rPr>
          <w:rFonts w:hint="eastAsia"/>
          <w:sz w:val="28"/>
          <w:szCs w:val="28"/>
        </w:rPr>
      </w:pPr>
      <w:r>
        <w:rPr>
          <w:rFonts w:hint="eastAsia"/>
          <w:sz w:val="28"/>
          <w:szCs w:val="28"/>
        </w:rPr>
        <w:t>(六) 因购买商品或服务获得惩罚性赔偿后继续购买相同商品或接受相同服务</w:t>
      </w:r>
      <w:r>
        <w:rPr>
          <w:sz w:val="28"/>
          <w:szCs w:val="28"/>
        </w:rPr>
        <w:t>；</w:t>
      </w:r>
    </w:p>
    <w:p w14:paraId="115CDFF6">
      <w:pPr>
        <w:ind w:firstLine="560" w:firstLineChars="200"/>
        <w:rPr>
          <w:rFonts w:hint="eastAsia"/>
          <w:sz w:val="28"/>
          <w:szCs w:val="28"/>
        </w:rPr>
      </w:pPr>
      <w:r>
        <w:rPr>
          <w:rFonts w:hint="eastAsia"/>
          <w:sz w:val="28"/>
          <w:szCs w:val="28"/>
        </w:rPr>
        <w:t>(七) 短期内向同一经营者或同行业经营者反复购买相同或相似的商品，并以相同或相似商品为标的物，分别提起投诉举报</w:t>
      </w:r>
      <w:r>
        <w:rPr>
          <w:sz w:val="28"/>
          <w:szCs w:val="28"/>
        </w:rPr>
        <w:t>；</w:t>
      </w:r>
    </w:p>
    <w:p w14:paraId="44BF957B">
      <w:pPr>
        <w:ind w:firstLine="560" w:firstLineChars="200"/>
        <w:rPr>
          <w:rFonts w:hint="eastAsia"/>
          <w:sz w:val="28"/>
          <w:szCs w:val="28"/>
        </w:rPr>
      </w:pPr>
      <w:r>
        <w:rPr>
          <w:rFonts w:hint="eastAsia"/>
          <w:sz w:val="28"/>
          <w:szCs w:val="28"/>
        </w:rPr>
        <w:t>(八) 购买使用商品的数量或者接受服务的次数明显超出合理生活消费数量或次数</w:t>
      </w:r>
      <w:r>
        <w:rPr>
          <w:sz w:val="28"/>
          <w:szCs w:val="28"/>
        </w:rPr>
        <w:t>；</w:t>
      </w:r>
    </w:p>
    <w:p w14:paraId="4511BE99">
      <w:pPr>
        <w:ind w:firstLine="560" w:firstLineChars="200"/>
        <w:rPr>
          <w:rFonts w:hint="eastAsia"/>
          <w:sz w:val="28"/>
          <w:szCs w:val="28"/>
        </w:rPr>
      </w:pPr>
      <w:r>
        <w:rPr>
          <w:rFonts w:hint="eastAsia"/>
          <w:sz w:val="28"/>
          <w:szCs w:val="28"/>
        </w:rPr>
        <w:t>(九) 多人对同类事项进行大量投诉举报，投诉举报内容请求呈现格式化特点</w:t>
      </w:r>
      <w:r>
        <w:rPr>
          <w:sz w:val="28"/>
          <w:szCs w:val="28"/>
        </w:rPr>
        <w:t>；</w:t>
      </w:r>
    </w:p>
    <w:p w14:paraId="77E83693">
      <w:pPr>
        <w:ind w:firstLine="560" w:firstLineChars="200"/>
        <w:rPr>
          <w:sz w:val="28"/>
          <w:szCs w:val="28"/>
        </w:rPr>
      </w:pPr>
      <w:r>
        <w:rPr>
          <w:rFonts w:hint="eastAsia"/>
          <w:sz w:val="28"/>
          <w:szCs w:val="28"/>
        </w:rPr>
        <w:t>(十) 通过“</w:t>
      </w:r>
      <w:r>
        <w:rPr>
          <w:sz w:val="28"/>
          <w:szCs w:val="28"/>
        </w:rPr>
        <w:t>夹</w:t>
      </w:r>
      <w:r>
        <w:rPr>
          <w:rFonts w:hint="eastAsia"/>
          <w:sz w:val="28"/>
          <w:szCs w:val="28"/>
        </w:rPr>
        <w:t>带”“调包”“造假”等手段进行欺诈式投诉</w:t>
      </w:r>
      <w:r>
        <w:rPr>
          <w:sz w:val="28"/>
          <w:szCs w:val="28"/>
        </w:rPr>
        <w:t>，</w:t>
      </w:r>
      <w:r>
        <w:rPr>
          <w:rFonts w:hint="eastAsia"/>
          <w:sz w:val="28"/>
          <w:szCs w:val="28"/>
        </w:rPr>
        <w:t>索赔和不实举报的</w:t>
      </w:r>
      <w:r>
        <w:rPr>
          <w:sz w:val="28"/>
          <w:szCs w:val="28"/>
        </w:rPr>
        <w:t>；</w:t>
      </w:r>
    </w:p>
    <w:p w14:paraId="67C6FADB">
      <w:pPr>
        <w:ind w:firstLine="560" w:firstLineChars="200"/>
        <w:rPr>
          <w:sz w:val="28"/>
          <w:szCs w:val="28"/>
        </w:rPr>
      </w:pPr>
      <w:r>
        <w:rPr>
          <w:rFonts w:hint="eastAsia"/>
          <w:sz w:val="28"/>
          <w:szCs w:val="28"/>
        </w:rPr>
        <w:t>(十一) 投诉举报人的投诉举报、信访、信息公开、提出的行政复议、诉讼等各类数量，远超正常范畴</w:t>
      </w:r>
      <w:r>
        <w:rPr>
          <w:sz w:val="28"/>
          <w:szCs w:val="28"/>
        </w:rPr>
        <w:t>；</w:t>
      </w:r>
    </w:p>
    <w:p w14:paraId="14186FBD">
      <w:pPr>
        <w:pStyle w:val="7"/>
        <w:shd w:val="clear" w:color="auto" w:fill="FFFFFF"/>
        <w:spacing w:before="0" w:beforeAutospacing="0" w:after="0" w:afterAutospacing="0" w:line="560" w:lineRule="atLeast"/>
        <w:ind w:firstLine="560" w:firstLineChars="200"/>
        <w:rPr>
          <w:rFonts w:ascii="Arial" w:hAnsi="Arial"/>
          <w:color w:val="auto"/>
          <w:sz w:val="21"/>
        </w:rPr>
      </w:pPr>
      <w:r>
        <w:rPr>
          <w:rFonts w:hint="eastAsia" w:ascii="Calibri" w:hAnsi="Calibri"/>
          <w:color w:val="auto"/>
          <w:kern w:val="2"/>
          <w:sz w:val="28"/>
          <w:szCs w:val="28"/>
        </w:rPr>
        <w:t>(十二)向行政部门投诉举报后又申请撤回次数较多的；</w:t>
      </w:r>
    </w:p>
    <w:p w14:paraId="690FFD3E">
      <w:pPr>
        <w:ind w:firstLine="560" w:firstLineChars="200"/>
        <w:rPr>
          <w:rFonts w:hint="eastAsia"/>
          <w:sz w:val="28"/>
          <w:szCs w:val="28"/>
        </w:rPr>
      </w:pPr>
      <w:r>
        <w:rPr>
          <w:rFonts w:hint="eastAsia"/>
          <w:sz w:val="28"/>
          <w:szCs w:val="28"/>
        </w:rPr>
        <w:t>(十</w:t>
      </w:r>
      <w:r>
        <w:rPr>
          <w:sz w:val="28"/>
          <w:szCs w:val="28"/>
        </w:rPr>
        <w:t>三</w:t>
      </w:r>
      <w:r>
        <w:rPr>
          <w:rFonts w:hint="eastAsia"/>
          <w:sz w:val="28"/>
          <w:szCs w:val="28"/>
        </w:rPr>
        <w:t>) 其它以牟利为目的，不属于为生活消费需要购买、使用商品或接受服务的情形。</w:t>
      </w:r>
    </w:p>
    <w:p w14:paraId="1F969B2F">
      <w:pPr>
        <w:keepNext w:val="0"/>
        <w:keepLines w:val="0"/>
        <w:widowControl/>
        <w:suppressLineNumbers w:val="0"/>
        <w:ind w:firstLine="560" w:firstLineChars="200"/>
        <w:jc w:val="left"/>
        <w:rPr>
          <w:rFonts w:hint="eastAsia"/>
          <w:sz w:val="28"/>
          <w:szCs w:val="28"/>
        </w:rPr>
      </w:pPr>
      <w:r>
        <w:rPr>
          <w:rFonts w:hint="eastAsia"/>
          <w:sz w:val="28"/>
          <w:szCs w:val="28"/>
        </w:rPr>
        <w:t>市场监管部门应建立牟利性恶意“维权”行为界定审查程序，对符合上述情形，结合投诉的频次及专业化、格式化投诉书面材料，以及提起复议、诉讼和信访数量等方面进行判断、甄别，属于恶意“维权”行为的，依法不予受理或已受理的终止调解</w:t>
      </w:r>
      <w:r>
        <w:rPr>
          <w:rFonts w:hint="eastAsia"/>
          <w:sz w:val="28"/>
          <w:szCs w:val="28"/>
          <w:lang w:eastAsia="zh-CN"/>
        </w:rPr>
        <w:t>。</w:t>
      </w:r>
      <w:r>
        <w:rPr>
          <w:rFonts w:hint="eastAsia"/>
          <w:sz w:val="28"/>
          <w:szCs w:val="28"/>
          <w:lang w:val="en-US" w:eastAsia="zh-CN"/>
        </w:rPr>
        <w:t>属于恶意举报行为的，坚持慎重处置原则，对涉嫌违反市场监督管理法律、法规、规章行为的，要认真核查处置；并切实履行各类告知答复等义务。</w:t>
      </w:r>
    </w:p>
    <w:p w14:paraId="2159F05F">
      <w:pPr>
        <w:ind w:firstLine="562" w:firstLineChars="200"/>
        <w:rPr>
          <w:b/>
          <w:bCs/>
          <w:sz w:val="28"/>
          <w:szCs w:val="28"/>
        </w:rPr>
      </w:pPr>
      <w:r>
        <w:rPr>
          <w:rFonts w:hint="eastAsia"/>
          <w:b/>
          <w:bCs/>
          <w:sz w:val="28"/>
          <w:szCs w:val="28"/>
        </w:rPr>
        <w:t>三、强化跨部门信息共享与协作机制</w:t>
      </w:r>
    </w:p>
    <w:p w14:paraId="23BB3AFE">
      <w:pPr>
        <w:ind w:firstLine="562" w:firstLineChars="200"/>
        <w:rPr>
          <w:rFonts w:hint="eastAsia"/>
          <w:sz w:val="28"/>
          <w:szCs w:val="28"/>
        </w:rPr>
      </w:pPr>
      <w:r>
        <w:rPr>
          <w:rFonts w:hint="eastAsia"/>
          <w:b/>
          <w:bCs/>
          <w:sz w:val="28"/>
          <w:szCs w:val="28"/>
        </w:rPr>
        <w:t>县市场监管局</w:t>
      </w:r>
      <w:r>
        <w:rPr>
          <w:rFonts w:hint="eastAsia"/>
          <w:sz w:val="28"/>
          <w:szCs w:val="28"/>
        </w:rPr>
        <w:t>要审慎判断、及时梳理恶意“维权”案件</w:t>
      </w:r>
      <w:r>
        <w:rPr>
          <w:sz w:val="28"/>
          <w:szCs w:val="28"/>
        </w:rPr>
        <w:t>，</w:t>
      </w:r>
      <w:r>
        <w:rPr>
          <w:rFonts w:hint="eastAsia"/>
          <w:sz w:val="28"/>
          <w:szCs w:val="28"/>
        </w:rPr>
        <w:t>并适时召开联席会议，就辖区恶意“维权”动态进行信息互通、态势研判，形成工作预案和应对策略</w:t>
      </w:r>
      <w:r>
        <w:rPr>
          <w:sz w:val="28"/>
          <w:szCs w:val="28"/>
        </w:rPr>
        <w:t>；</w:t>
      </w:r>
      <w:r>
        <w:rPr>
          <w:rFonts w:hint="eastAsia"/>
          <w:sz w:val="28"/>
          <w:szCs w:val="28"/>
        </w:rPr>
        <w:t>要进一步完善和落实行政执法和刑事司法工作衔接机制，利用信息化手段，强化部门协作和信息共享; 注重对投诉举报的大数据分析，发现和搜集涉嫌违法犯罪线索，按照有关规定及时移送公安机关处理</w:t>
      </w:r>
      <w:r>
        <w:rPr>
          <w:sz w:val="28"/>
          <w:szCs w:val="28"/>
        </w:rPr>
        <w:t>。</w:t>
      </w:r>
    </w:p>
    <w:p w14:paraId="458A846B">
      <w:pPr>
        <w:ind w:firstLine="562" w:firstLineChars="200"/>
        <w:rPr>
          <w:rFonts w:hint="eastAsia"/>
          <w:sz w:val="28"/>
          <w:szCs w:val="28"/>
        </w:rPr>
      </w:pPr>
      <w:r>
        <w:rPr>
          <w:rFonts w:hint="eastAsia"/>
          <w:b/>
          <w:bCs/>
          <w:sz w:val="28"/>
          <w:szCs w:val="28"/>
        </w:rPr>
        <w:t>县司法局</w:t>
      </w:r>
      <w:r>
        <w:rPr>
          <w:rFonts w:hint="eastAsia"/>
          <w:sz w:val="28"/>
          <w:szCs w:val="28"/>
        </w:rPr>
        <w:t>要根据</w:t>
      </w:r>
      <w:r>
        <w:rPr>
          <w:rFonts w:hint="eastAsia"/>
          <w:sz w:val="28"/>
          <w:szCs w:val="28"/>
          <w:lang w:eastAsia="zh-CN"/>
        </w:rPr>
        <w:t>《中华人民共和国行政复议法》</w:t>
      </w:r>
      <w:r>
        <w:rPr>
          <w:rFonts w:hint="eastAsia"/>
          <w:sz w:val="28"/>
          <w:szCs w:val="28"/>
        </w:rPr>
        <w:t>及其实施条例的规定</w:t>
      </w:r>
      <w:r>
        <w:rPr>
          <w:sz w:val="28"/>
          <w:szCs w:val="28"/>
        </w:rPr>
        <w:t>，</w:t>
      </w:r>
      <w:r>
        <w:rPr>
          <w:rFonts w:hint="eastAsia"/>
          <w:sz w:val="28"/>
          <w:szCs w:val="28"/>
        </w:rPr>
        <w:t>严格把握行政复议申请人的主体资格，防止冒名或不实复议行为; 严格审查申请人与具体行政行为的利害关系，不具备利害关系的，依法不予受理或驳回申请</w:t>
      </w:r>
      <w:r>
        <w:rPr>
          <w:rFonts w:hint="eastAsia"/>
          <w:sz w:val="28"/>
          <w:szCs w:val="28"/>
          <w:lang w:eastAsia="zh-CN"/>
        </w:rPr>
        <w:t>；</w:t>
      </w:r>
      <w:r>
        <w:rPr>
          <w:rFonts w:hint="eastAsia"/>
          <w:sz w:val="28"/>
          <w:szCs w:val="28"/>
        </w:rPr>
        <w:t>对于确属“恶意“维权的复议申请，以滥用复议权予以驳回申请</w:t>
      </w:r>
      <w:r>
        <w:rPr>
          <w:rFonts w:hint="eastAsia"/>
          <w:sz w:val="28"/>
          <w:szCs w:val="28"/>
          <w:lang w:eastAsia="zh-CN"/>
        </w:rPr>
        <w:t>；</w:t>
      </w:r>
      <w:r>
        <w:rPr>
          <w:rFonts w:hint="eastAsia"/>
          <w:sz w:val="28"/>
          <w:szCs w:val="28"/>
        </w:rPr>
        <w:t>对申请人不服行政机关民事纠纷调解或就民事权益问题的其他代理行为而申请行政复议的，依法告知申请仲裁或者向人民法院提起诉讼。</w:t>
      </w:r>
    </w:p>
    <w:p w14:paraId="0E95500B">
      <w:pPr>
        <w:ind w:firstLine="562" w:firstLineChars="200"/>
        <w:rPr>
          <w:sz w:val="28"/>
          <w:szCs w:val="28"/>
          <w:lang w:val="en-US" w:eastAsia="zh-CN"/>
        </w:rPr>
      </w:pPr>
      <w:r>
        <w:rPr>
          <w:rFonts w:hint="eastAsia"/>
          <w:b/>
          <w:bCs/>
          <w:sz w:val="28"/>
          <w:szCs w:val="28"/>
        </w:rPr>
        <w:t>县人民法院</w:t>
      </w:r>
      <w:r>
        <w:rPr>
          <w:rFonts w:hint="eastAsia"/>
          <w:sz w:val="28"/>
          <w:szCs w:val="28"/>
        </w:rPr>
        <w:t>要充分发挥司法职能，严格把握原告主体资格，经审查缺乏正当诉的利益的，依法不予支持</w:t>
      </w:r>
      <w:r>
        <w:rPr>
          <w:rFonts w:hint="eastAsia"/>
          <w:sz w:val="28"/>
          <w:szCs w:val="28"/>
          <w:lang w:eastAsia="zh-CN"/>
        </w:rPr>
        <w:t>；</w:t>
      </w:r>
      <w:r>
        <w:rPr>
          <w:rFonts w:hint="eastAsia"/>
          <w:sz w:val="28"/>
          <w:szCs w:val="28"/>
        </w:rPr>
        <w:t>对</w:t>
      </w:r>
      <w:r>
        <w:rPr>
          <w:rFonts w:hint="eastAsia"/>
          <w:sz w:val="28"/>
          <w:szCs w:val="28"/>
          <w:lang w:val="en-US" w:eastAsia="zh-CN"/>
        </w:rPr>
        <w:t>于确属</w:t>
      </w:r>
      <w:r>
        <w:rPr>
          <w:rFonts w:hint="eastAsia"/>
          <w:sz w:val="28"/>
          <w:szCs w:val="28"/>
        </w:rPr>
        <w:t>恶意“维权”</w:t>
      </w:r>
      <w:r>
        <w:rPr>
          <w:rFonts w:hint="eastAsia"/>
          <w:sz w:val="28"/>
          <w:szCs w:val="28"/>
          <w:lang w:val="en-US" w:eastAsia="zh-CN"/>
        </w:rPr>
        <w:t>的，以“滥用职权”，裁定驳回。</w:t>
      </w:r>
    </w:p>
    <w:p w14:paraId="131C079A">
      <w:pPr>
        <w:ind w:firstLine="562" w:firstLineChars="200"/>
        <w:rPr>
          <w:rFonts w:hint="eastAsia"/>
          <w:sz w:val="28"/>
          <w:szCs w:val="28"/>
        </w:rPr>
      </w:pPr>
      <w:r>
        <w:rPr>
          <w:rFonts w:hint="eastAsia"/>
          <w:b/>
          <w:bCs/>
          <w:sz w:val="28"/>
          <w:szCs w:val="28"/>
        </w:rPr>
        <w:t>县人民检察院</w:t>
      </w:r>
      <w:r>
        <w:rPr>
          <w:rFonts w:hint="eastAsia"/>
          <w:sz w:val="28"/>
          <w:szCs w:val="28"/>
        </w:rPr>
        <w:t>对经认定为恶意“维权”行为，投诉举报人不服市场监管部门相关的具体行政行为，或者不服复议机关依法不予受理或驳回复议申请的决定，以及不服人民法院依法驳回起诉的决定而申请监督的，不符合监督条件的</w:t>
      </w:r>
      <w:r>
        <w:rPr>
          <w:sz w:val="28"/>
          <w:szCs w:val="28"/>
        </w:rPr>
        <w:t>，</w:t>
      </w:r>
      <w:r>
        <w:rPr>
          <w:rFonts w:hint="eastAsia"/>
          <w:sz w:val="28"/>
          <w:szCs w:val="28"/>
        </w:rPr>
        <w:t>应依法不予支持。</w:t>
      </w:r>
    </w:p>
    <w:p w14:paraId="5120D25B">
      <w:pPr>
        <w:ind w:firstLine="562" w:firstLineChars="200"/>
        <w:rPr>
          <w:rFonts w:hint="eastAsia"/>
          <w:sz w:val="28"/>
          <w:szCs w:val="28"/>
        </w:rPr>
      </w:pPr>
      <w:r>
        <w:rPr>
          <w:rFonts w:hint="eastAsia"/>
          <w:b/>
          <w:bCs/>
          <w:sz w:val="28"/>
          <w:szCs w:val="28"/>
        </w:rPr>
        <w:t>县公安局</w:t>
      </w:r>
      <w:r>
        <w:rPr>
          <w:rFonts w:hint="eastAsia"/>
          <w:sz w:val="28"/>
          <w:szCs w:val="28"/>
        </w:rPr>
        <w:t>要依法严厉惩处涉嫌敲诈勒索、诈骗等行为针对“夹带”“调包”“造假”问题食品并通过要挟、欺诈等方式索赔以及长期进行不实举报，以不再骚扰企业正常经营为要挟，要求企业支付一定“好处费”等涉嫌构成敲诈勒索、诈骗的行为，依法追究刑事责任，对不构成犯罪但违反</w:t>
      </w:r>
      <w:r>
        <w:rPr>
          <w:rFonts w:hint="eastAsia"/>
          <w:sz w:val="28"/>
          <w:szCs w:val="28"/>
          <w:lang w:eastAsia="zh-CN"/>
        </w:rPr>
        <w:t>《中华人民共和国治安管理处罚法》</w:t>
      </w:r>
      <w:r>
        <w:rPr>
          <w:rFonts w:hint="eastAsia"/>
          <w:sz w:val="28"/>
          <w:szCs w:val="28"/>
        </w:rPr>
        <w:t>规定的，依法加大惩处力度。</w:t>
      </w:r>
    </w:p>
    <w:p w14:paraId="6F38C08D">
      <w:pPr>
        <w:ind w:firstLine="562" w:firstLineChars="200"/>
        <w:rPr>
          <w:rFonts w:hint="eastAsia"/>
          <w:sz w:val="28"/>
          <w:szCs w:val="28"/>
        </w:rPr>
      </w:pPr>
      <w:r>
        <w:rPr>
          <w:rFonts w:hint="eastAsia"/>
          <w:b/>
          <w:bCs/>
          <w:sz w:val="28"/>
          <w:szCs w:val="28"/>
        </w:rPr>
        <w:t>县信访局</w:t>
      </w:r>
      <w:r>
        <w:rPr>
          <w:rFonts w:hint="eastAsia"/>
          <w:sz w:val="28"/>
          <w:szCs w:val="28"/>
        </w:rPr>
        <w:t>在处理群众的各类投诉及诉求请求过程中，对涉及恶意“维权”的诉求，要支持行政机关不予受理投诉的立场。</w:t>
      </w:r>
    </w:p>
    <w:p w14:paraId="1DE64432">
      <w:pPr>
        <w:ind w:firstLine="562" w:firstLineChars="200"/>
        <w:rPr>
          <w:rFonts w:hint="eastAsia"/>
          <w:b/>
          <w:bCs/>
          <w:sz w:val="28"/>
          <w:szCs w:val="28"/>
        </w:rPr>
      </w:pPr>
      <w:r>
        <w:rPr>
          <w:rFonts w:hint="eastAsia"/>
          <w:b/>
          <w:bCs/>
          <w:sz w:val="28"/>
          <w:szCs w:val="28"/>
        </w:rPr>
        <w:t>四、完善投诉调解机制</w:t>
      </w:r>
    </w:p>
    <w:p w14:paraId="0A9D127D">
      <w:pPr>
        <w:ind w:firstLine="560" w:firstLineChars="200"/>
        <w:rPr>
          <w:rFonts w:hint="eastAsia"/>
          <w:sz w:val="28"/>
          <w:szCs w:val="28"/>
        </w:rPr>
      </w:pPr>
      <w:r>
        <w:rPr>
          <w:rFonts w:hint="eastAsia"/>
          <w:sz w:val="28"/>
          <w:szCs w:val="28"/>
        </w:rPr>
        <w:t>(一) 明确行政调解工作依据。依据法律法规规章和国家市场监管总局的相关规定，参照《最高人民法院关于审理食品药品纠纷案件适用法律若干问题的规定》《最高人民法院办公厅对十二届全国人大五次会议第 5990 号建议的答复意见》的精神，调解恶意投诉。</w:t>
      </w:r>
    </w:p>
    <w:p w14:paraId="0C2421BE">
      <w:pPr>
        <w:ind w:firstLine="560" w:firstLineChars="200"/>
        <w:rPr>
          <w:rFonts w:hint="eastAsia"/>
          <w:sz w:val="28"/>
          <w:szCs w:val="28"/>
        </w:rPr>
      </w:pPr>
      <w:r>
        <w:rPr>
          <w:rFonts w:hint="eastAsia"/>
          <w:sz w:val="28"/>
          <w:szCs w:val="28"/>
        </w:rPr>
        <w:t>(二) 明确行政调解程序要求。严格按照《市场监督管理投诉举报处理暂行办法》关于投诉受理要件、终止处理</w:t>
      </w:r>
      <w:r>
        <w:rPr>
          <w:sz w:val="28"/>
          <w:szCs w:val="28"/>
        </w:rPr>
        <w:t>、</w:t>
      </w:r>
      <w:r>
        <w:rPr>
          <w:rFonts w:hint="eastAsia"/>
          <w:sz w:val="28"/>
          <w:szCs w:val="28"/>
        </w:rPr>
        <w:t>现场调解、终止调解等相关规定，对恶意“维权”类依法把好受理关口，强化程序意识，避免因程序瑕疵而引起不必要的行政复议和行政诉讼.</w:t>
      </w:r>
    </w:p>
    <w:p w14:paraId="344AC95D">
      <w:pPr>
        <w:ind w:firstLine="560" w:firstLineChars="200"/>
        <w:rPr>
          <w:rFonts w:hint="eastAsia"/>
          <w:sz w:val="28"/>
          <w:szCs w:val="28"/>
        </w:rPr>
      </w:pPr>
      <w:r>
        <w:rPr>
          <w:rFonts w:hint="eastAsia"/>
          <w:sz w:val="28"/>
          <w:szCs w:val="28"/>
        </w:rPr>
        <w:t>(三)准确理解和适用惩罚性赔偿责任。对恶意“维权”中反映网页介绍、产品标识、广告、宣传、价格标识中存在“虚假或者引人误解的宣传”并要求认定消费欺诈行为的，依法适用</w:t>
      </w:r>
      <w:r>
        <w:rPr>
          <w:rFonts w:hint="eastAsia"/>
          <w:sz w:val="28"/>
          <w:szCs w:val="28"/>
          <w:lang w:eastAsia="zh-CN"/>
        </w:rPr>
        <w:t>《中华人民共和国食品安全法》《中华人民共和国广告法》《中华人民共和国反不正当竞争法》《中华人民共和国价格法》</w:t>
      </w:r>
      <w:r>
        <w:rPr>
          <w:rFonts w:hint="eastAsia"/>
          <w:sz w:val="28"/>
          <w:szCs w:val="28"/>
        </w:rPr>
        <w:t>等相关规定，不宜轻易认定构成欺诈。</w:t>
      </w:r>
    </w:p>
    <w:p w14:paraId="28E72785">
      <w:pPr>
        <w:ind w:firstLine="562" w:firstLineChars="200"/>
        <w:rPr>
          <w:rFonts w:hint="eastAsia"/>
          <w:b/>
          <w:bCs/>
          <w:sz w:val="28"/>
          <w:szCs w:val="28"/>
        </w:rPr>
      </w:pPr>
      <w:r>
        <w:rPr>
          <w:rFonts w:hint="eastAsia"/>
          <w:b/>
          <w:bCs/>
          <w:sz w:val="28"/>
          <w:szCs w:val="28"/>
        </w:rPr>
        <w:t>五、引导市场主体合法经营</w:t>
      </w:r>
    </w:p>
    <w:p w14:paraId="5B91CCF4">
      <w:pPr>
        <w:ind w:firstLine="560" w:firstLineChars="200"/>
        <w:rPr>
          <w:rFonts w:hint="eastAsia"/>
          <w:sz w:val="28"/>
          <w:szCs w:val="28"/>
        </w:rPr>
      </w:pPr>
      <w:r>
        <w:rPr>
          <w:rFonts w:hint="eastAsia"/>
          <w:sz w:val="28"/>
          <w:szCs w:val="28"/>
        </w:rPr>
        <w:t>针对投诉举报集中的重点企业以及部分初创企业、小微企业，要加强对其进行相关法律法规的培训，相关职能部门要积极开展约谈，督促经营者加强内部管理，提升知法守法的意识和水平，避免在标识标签、广告宣传、明码标价等领域出现常见易发的违法行为。</w:t>
      </w:r>
    </w:p>
    <w:p w14:paraId="779020D2">
      <w:pPr>
        <w:ind w:firstLine="560" w:firstLineChars="200"/>
        <w:rPr>
          <w:rFonts w:hint="eastAsia"/>
          <w:sz w:val="28"/>
          <w:szCs w:val="28"/>
        </w:rPr>
      </w:pPr>
      <w:r>
        <w:rPr>
          <w:rFonts w:hint="eastAsia"/>
          <w:sz w:val="28"/>
          <w:szCs w:val="28"/>
        </w:rPr>
        <w:t>引导经营者加强技术防范，强化经营场所、重点区域的“无死角”监控，并在处理相关“维权”过程中同步予以录音录像，及时有效固定涉嫌敲诈勒索、诈骗的证据材料，积极向公安部门举报。</w:t>
      </w:r>
    </w:p>
    <w:p w14:paraId="163AFAA6">
      <w:pPr>
        <w:ind w:firstLine="562" w:firstLineChars="200"/>
        <w:rPr>
          <w:b/>
          <w:bCs/>
          <w:sz w:val="28"/>
          <w:szCs w:val="28"/>
        </w:rPr>
      </w:pPr>
      <w:r>
        <w:rPr>
          <w:rFonts w:hint="eastAsia"/>
          <w:b/>
          <w:bCs/>
          <w:sz w:val="28"/>
          <w:szCs w:val="28"/>
        </w:rPr>
        <w:t>六、完善考核监督机制</w:t>
      </w:r>
    </w:p>
    <w:p w14:paraId="2FF4A1FD">
      <w:pPr>
        <w:ind w:firstLine="560" w:firstLineChars="200"/>
        <w:rPr>
          <w:rFonts w:hint="eastAsia"/>
          <w:sz w:val="28"/>
          <w:szCs w:val="28"/>
        </w:rPr>
      </w:pPr>
      <w:r>
        <w:rPr>
          <w:rFonts w:hint="eastAsia"/>
          <w:sz w:val="28"/>
          <w:szCs w:val="28"/>
        </w:rPr>
        <w:t>构建和完善处理投诉举报行为的容错机制，对涉及恶意“维权”的案件，原则上不纳入纠错考核机制和投诉举报异常处理或满意度测评考核等，以鼓励政府有关部门积极履职，勇于担当作为，纪检监察、信访等部门应给予理解和支持。</w:t>
      </w:r>
    </w:p>
    <w:p w14:paraId="659E49CC">
      <w:pPr>
        <w:ind w:firstLine="560" w:firstLineChars="200"/>
        <w:rPr>
          <w:rFonts w:eastAsia="宋体"/>
          <w:b/>
          <w:bCs/>
          <w:sz w:val="28"/>
          <w:szCs w:val="28"/>
          <w:lang w:val="en-US" w:eastAsia="zh-CN"/>
        </w:rPr>
      </w:pPr>
      <w:r>
        <w:rPr>
          <w:rFonts w:hint="eastAsia"/>
          <w:sz w:val="28"/>
          <w:szCs w:val="28"/>
        </w:rPr>
        <w:t>各部门要加大执法监督工作力度，对真正消费者投诉举报行为要积极履职全面保障其调解诉求及合法权益，对恶意“维权”所涉及的违法行为要认真审查，预防因不予受理而忽视证据收集和对线索的核查，造成覆职缺位行为。同时要避免在处置恶意“维权”行为中出现与投诉举报人合谋</w:t>
      </w:r>
      <w:r>
        <w:rPr>
          <w:sz w:val="28"/>
          <w:szCs w:val="28"/>
        </w:rPr>
        <w:t>、</w:t>
      </w:r>
      <w:r>
        <w:rPr>
          <w:rFonts w:hint="eastAsia"/>
          <w:sz w:val="28"/>
          <w:szCs w:val="28"/>
        </w:rPr>
        <w:t>被投诉举报人裹挟、借机打击报复等问题，不得滥用行政处罚、行政调解中的特殊地位，加强执法监督及廉政防范，有效控制执法风险</w:t>
      </w:r>
      <w:r>
        <w:rPr>
          <w:sz w:val="28"/>
          <w:szCs w:val="28"/>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noLineBreaksAfter w:lang="zh-CN" w:val="$([{£¥·‘“〈《「『【〔〖〝﹙﹛﹝＄（．［｛￡￥"/>
  <w:noLineBreaksBefore w:lang="zh-CN" w:val="!%),.:;&gt;?]}¢¨°·ˇˉ―‖’”…‰′″›℃∶、。〃〉》」』】〕〗〞︶︺︾﹀﹄﹚﹜﹞！＂％＇），．：；？］｀｜｝～￠"/>
  <w:compat>
    <w:spaceForUL/>
    <w:balanceSingleByteDoubleByteWidth/>
    <w:ulTrailSpace/>
    <w:doNotExpandShiftReturn/>
    <w:adjustLineHeightInTable/>
    <w:useFELayout/>
    <w:doNotUseIndentAsNumberingTabStop/>
    <w:compatSetting w:name="compatibilityMode" w:uri="http://schemas.microsoft.com/office/word" w:val="15"/>
  </w:compat>
  <w:docVars>
    <w:docVar w:name="commondata" w:val="eyJoZGlkIjoiNTFmODllMmVjNzJjZmQwNWVkOTE2YjQxYTc2YWYxNWQifQ=="/>
  </w:docVars>
  <w:rsids>
    <w:rsidRoot w:val="00000000"/>
    <w:rsid w:val="496424FD"/>
    <w:rsid w:val="6C7146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0">
    <w:name w:val="Default Paragraph Font"/>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index 5"/>
    <w:basedOn w:val="1"/>
    <w:next w:val="1"/>
    <w:qFormat/>
    <w:uiPriority w:val="0"/>
    <w:pPr>
      <w:ind w:left="1680"/>
    </w:pPr>
  </w:style>
  <w:style w:type="paragraph" w:styleId="6">
    <w:name w:val="Body Text"/>
    <w:basedOn w:val="1"/>
    <w:qFormat/>
    <w:uiPriority w:val="0"/>
    <w:pPr>
      <w:spacing w:after="120"/>
    </w:pPr>
  </w:style>
  <w:style w:type="paragraph" w:styleId="7">
    <w:name w:val="Normal (Web)"/>
    <w:basedOn w:val="1"/>
    <w:next w:val="5"/>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hAnsi="Times New Roman" w:eastAsia="宋体" w:cs="Arial"/>
      <w:snapToGrid/>
      <w:color w:val="auto"/>
      <w:spacing w:val="0"/>
      <w:w w:val="100"/>
      <w:kern w:val="0"/>
      <w:position w:val="0"/>
      <w:sz w:val="24"/>
      <w:szCs w:val="21"/>
      <w:u w:val="none" w:color="auto"/>
      <w:vertAlign w:val="baseline"/>
      <w:lang w:val="en-US" w:eastAsia="zh-CN" w:bidi="ar-SA"/>
    </w:rPr>
  </w:style>
  <w:style w:type="paragraph" w:styleId="8">
    <w:name w:val="Body Text First Indent"/>
    <w:basedOn w:val="6"/>
    <w:next w:val="1"/>
    <w:qFormat/>
    <w:uiPriority w:val="0"/>
    <w:pPr>
      <w:ind w:firstLine="100" w:firstLineChars="100"/>
    </w:pPr>
    <w:rPr>
      <w:rFonts w:ascii="Times New Roman" w:hAnsi="Times New Roman" w:eastAsia="宋体" w:cs="Times New Roman"/>
      <w:sz w:val="32"/>
      <w:szCs w:val="24"/>
    </w:rPr>
  </w:style>
  <w:style w:type="character" w:styleId="11">
    <w:name w:val="FollowedHyperlink"/>
    <w:basedOn w:val="10"/>
    <w:qFormat/>
    <w:uiPriority w:val="0"/>
    <w:rPr>
      <w:color w:val="576B95"/>
      <w:u w:val="none"/>
    </w:rPr>
  </w:style>
  <w:style w:type="character" w:styleId="12">
    <w:name w:val="Hyperlink"/>
    <w:basedOn w:val="10"/>
    <w:qFormat/>
    <w:uiPriority w:val="0"/>
    <w:rPr>
      <w:color w:val="576B95"/>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FA46C183-52BA-46CC-A92C-D7C23D17174B}">
  <ds:schemaRefs/>
</ds:datastoreItem>
</file>

<file path=docProps/app.xml><?xml version="1.0" encoding="utf-8"?>
<Properties xmlns="http://schemas.openxmlformats.org/officeDocument/2006/extended-properties" xmlns:vt="http://schemas.openxmlformats.org/officeDocument/2006/docPropsVTypes">
  <Template>Normal.eit</Template>
  <Company>Yozosoft</Company>
  <Pages>6</Pages>
  <Words>3170</Words>
  <Characters>3173</Characters>
  <Lines>0</Lines>
  <Paragraphs>42</Paragraphs>
  <TotalTime>12</TotalTime>
  <ScaleCrop>false</ScaleCrop>
  <LinksUpToDate>false</LinksUpToDate>
  <CharactersWithSpaces>3197</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2021-05-08T07:28:00Z</dcterms:created>
  <dc:creator>User274</dc:creator>
  <cp:lastModifiedBy>WPS_1690526826</cp:lastModifiedBy>
  <cp:lastPrinted>2024-03-20T07:24:00Z</cp:lastPrinted>
  <dcterms:modified xsi:type="dcterms:W3CDTF">2025-04-30T08:15:04Z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1761024EB3FD4197B3437E54CF86CC78_12</vt:lpwstr>
  </property>
  <property fmtid="{D5CDD505-2E9C-101B-9397-08002B2CF9AE}" pid="4" name="KSOTemplateDocerSaveRecord">
    <vt:lpwstr>eyJoZGlkIjoiOWU5NmVlNGM1NWM3ODI3YWQyMDRmYTdmMWIyOGZlZWMiLCJ1c2VySWQiOiIxNTE2OTcyOTEyIn0=</vt:lpwstr>
  </property>
</Properties>
</file>