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79" w:lineRule="exact"/>
        <w:jc w:val="center"/>
        <w:rPr>
          <w:rFonts w:hint="eastAsia" w:ascii="方正小标宋简体" w:hAnsi="方正小标宋_GBK" w:eastAsia="方正小标宋简体" w:cs="方正小标宋_GBK"/>
          <w:color w:val="000000" w:themeColor="text1"/>
          <w:spacing w:val="8"/>
          <w:kern w:val="0"/>
          <w:sz w:val="44"/>
          <w:szCs w:val="44"/>
        </w:rPr>
      </w:pPr>
      <w:r>
        <w:rPr>
          <w:rFonts w:hint="eastAsia" w:ascii="方正小标宋简体" w:hAnsi="方正小标宋_GBK" w:eastAsia="方正小标宋简体" w:cs="方正小标宋_GBK"/>
          <w:color w:val="000000" w:themeColor="text1"/>
          <w:spacing w:val="8"/>
          <w:kern w:val="0"/>
          <w:sz w:val="44"/>
          <w:szCs w:val="44"/>
        </w:rPr>
        <w:t>滨江区退役军人事务局等6部门关于加强困难退役军人帮扶援助工作的实施细则</w:t>
      </w:r>
    </w:p>
    <w:p>
      <w:pPr>
        <w:pStyle w:val="2"/>
        <w:jc w:val="center"/>
        <w:rPr>
          <w:rFonts w:hint="eastAsia" w:eastAsia="方正小标宋简体"/>
          <w:lang w:eastAsia="zh-CN"/>
        </w:rPr>
      </w:pPr>
      <w:r>
        <w:rPr>
          <w:rFonts w:hint="eastAsia" w:ascii="方正小标宋简体" w:hAnsi="方正小标宋_GBK" w:eastAsia="方正小标宋简体" w:cs="方正小标宋_GBK"/>
          <w:color w:val="000000" w:themeColor="text1"/>
          <w:spacing w:val="8"/>
          <w:kern w:val="0"/>
          <w:sz w:val="44"/>
          <w:szCs w:val="44"/>
          <w:lang w:eastAsia="zh-CN"/>
        </w:rPr>
        <w:t>（</w:t>
      </w:r>
      <w:r>
        <w:rPr>
          <w:rFonts w:hint="eastAsia" w:ascii="方正小标宋简体" w:hAnsi="方正小标宋_GBK" w:eastAsia="方正小标宋简体" w:cs="方正小标宋_GBK"/>
          <w:color w:val="000000" w:themeColor="text1"/>
          <w:spacing w:val="8"/>
          <w:kern w:val="0"/>
          <w:sz w:val="44"/>
          <w:szCs w:val="44"/>
          <w:lang w:val="en-US" w:eastAsia="zh-CN"/>
        </w:rPr>
        <w:t>征求意见稿</w:t>
      </w:r>
      <w:r>
        <w:rPr>
          <w:rFonts w:hint="eastAsia" w:ascii="方正小标宋简体" w:hAnsi="方正小标宋_GBK" w:eastAsia="方正小标宋简体" w:cs="方正小标宋_GBK"/>
          <w:color w:val="000000" w:themeColor="text1"/>
          <w:spacing w:val="8"/>
          <w:kern w:val="0"/>
          <w:sz w:val="44"/>
          <w:szCs w:val="44"/>
          <w:lang w:eastAsia="zh-CN"/>
        </w:rPr>
        <w:t>）</w:t>
      </w:r>
    </w:p>
    <w:p>
      <w:pPr>
        <w:autoSpaceDE w:val="0"/>
        <w:autoSpaceDN w:val="0"/>
        <w:adjustRightInd w:val="0"/>
        <w:spacing w:line="560" w:lineRule="exact"/>
        <w:ind w:firstLine="640" w:firstLineChars="200"/>
        <w:rPr>
          <w:rFonts w:ascii="仿宋_GB2312" w:hAnsi="仿宋" w:eastAsia="仿宋_GB2312"/>
          <w:color w:val="000000" w:themeColor="text1"/>
          <w:sz w:val="32"/>
          <w:szCs w:val="32"/>
        </w:rPr>
      </w:pPr>
    </w:p>
    <w:p>
      <w:pPr>
        <w:autoSpaceDE w:val="0"/>
        <w:autoSpaceDN w:val="0"/>
        <w:adjustRightInd w:val="0"/>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为认真贯彻习近平总书记关于退役军人工作的重要指示批示精神，进一步加强困难退役军人帮扶援助工作，切实保障困难退役军人基本生活，根据《</w:t>
      </w:r>
      <w:r>
        <w:rPr>
          <w:rFonts w:ascii="仿宋_GB2312" w:hAnsi="仿宋" w:eastAsia="仿宋_GB2312"/>
          <w:color w:val="000000" w:themeColor="text1"/>
          <w:sz w:val="32"/>
          <w:szCs w:val="32"/>
        </w:rPr>
        <w:t>退役军人事务部等5部门关于加强困难退役军人帮扶援助工作的意见》</w:t>
      </w:r>
      <w:r>
        <w:rPr>
          <w:rFonts w:hint="eastAsia" w:ascii="仿宋_GB2312" w:hAnsi="仿宋" w:eastAsia="仿宋_GB2312"/>
          <w:color w:val="000000" w:themeColor="text1"/>
          <w:sz w:val="32"/>
          <w:szCs w:val="32"/>
        </w:rPr>
        <w:t>（退役军人部发</w:t>
      </w:r>
      <w:r>
        <w:rPr>
          <w:rFonts w:ascii="仿宋_GB2312" w:hAnsi="仿宋" w:eastAsia="仿宋_GB2312"/>
          <w:color w:val="000000" w:themeColor="text1"/>
          <w:sz w:val="32"/>
          <w:szCs w:val="32"/>
        </w:rPr>
        <w:t>〔</w:t>
      </w:r>
      <w:r>
        <w:rPr>
          <w:rFonts w:hint="eastAsia" w:ascii="仿宋_GB2312" w:hAnsi="仿宋" w:eastAsia="仿宋_GB2312"/>
          <w:color w:val="000000" w:themeColor="text1"/>
          <w:sz w:val="32"/>
          <w:szCs w:val="32"/>
        </w:rPr>
        <w:t>2019</w:t>
      </w:r>
      <w:r>
        <w:rPr>
          <w:rFonts w:ascii="仿宋_GB2312" w:hAnsi="仿宋" w:eastAsia="仿宋_GB2312"/>
          <w:color w:val="000000" w:themeColor="text1"/>
          <w:sz w:val="32"/>
          <w:szCs w:val="32"/>
        </w:rPr>
        <w:t>〕</w:t>
      </w:r>
      <w:r>
        <w:rPr>
          <w:rFonts w:hint="eastAsia" w:ascii="仿宋_GB2312" w:hAnsi="仿宋" w:eastAsia="仿宋_GB2312"/>
          <w:color w:val="000000" w:themeColor="text1"/>
          <w:sz w:val="32"/>
          <w:szCs w:val="32"/>
        </w:rPr>
        <w:t>62号）、《浙江省退役军人事务厅等7部门关于加强困难退役军人帮扶援助工作的实施意见》（浙退役军人厅发〔2020〕42号）及《杭州市退役军人事务局等８部门关于加强困难退役军人帮扶援助工作的实施办法》（杭退役军人局发〔2021〕108号），结合我区实际，</w:t>
      </w:r>
      <w:r>
        <w:rPr>
          <w:rFonts w:ascii="仿宋_GB2312" w:hAnsi="仿宋" w:eastAsia="仿宋_GB2312"/>
          <w:color w:val="000000" w:themeColor="text1"/>
          <w:sz w:val="32"/>
          <w:szCs w:val="32"/>
        </w:rPr>
        <w:t>现就做好困难退役军人帮扶援助工作</w:t>
      </w:r>
      <w:r>
        <w:rPr>
          <w:rFonts w:hint="eastAsia" w:ascii="仿宋_GB2312" w:hAnsi="仿宋" w:eastAsia="仿宋_GB2312"/>
          <w:color w:val="000000" w:themeColor="text1"/>
          <w:sz w:val="32"/>
          <w:szCs w:val="32"/>
        </w:rPr>
        <w:t>制定</w:t>
      </w:r>
      <w:r>
        <w:rPr>
          <w:rFonts w:ascii="仿宋_GB2312" w:hAnsi="仿宋" w:eastAsia="仿宋_GB2312"/>
          <w:color w:val="000000" w:themeColor="text1"/>
          <w:sz w:val="32"/>
          <w:szCs w:val="32"/>
        </w:rPr>
        <w:t>如下</w:t>
      </w:r>
      <w:r>
        <w:rPr>
          <w:rFonts w:hint="eastAsia" w:ascii="仿宋_GB2312" w:hAnsi="仿宋" w:eastAsia="仿宋_GB2312"/>
          <w:color w:val="000000" w:themeColor="text1"/>
          <w:sz w:val="32"/>
          <w:szCs w:val="32"/>
        </w:rPr>
        <w:t>实施方案</w:t>
      </w:r>
      <w:r>
        <w:rPr>
          <w:rFonts w:ascii="仿宋_GB2312" w:hAnsi="仿宋" w:eastAsia="仿宋_GB2312"/>
          <w:color w:val="000000" w:themeColor="text1"/>
          <w:sz w:val="32"/>
          <w:szCs w:val="32"/>
        </w:rPr>
        <w:t>。</w:t>
      </w:r>
    </w:p>
    <w:p>
      <w:pPr>
        <w:numPr>
          <w:ilvl w:val="0"/>
          <w:numId w:val="1"/>
        </w:numPr>
        <w:spacing w:line="560" w:lineRule="exact"/>
        <w:ind w:firstLine="640"/>
        <w:rPr>
          <w:rFonts w:ascii="黑体" w:hAnsi="黑体" w:eastAsia="黑体" w:cs="黑体"/>
          <w:bCs/>
          <w:color w:val="000000" w:themeColor="text1"/>
          <w:kern w:val="0"/>
          <w:sz w:val="32"/>
          <w:szCs w:val="32"/>
        </w:rPr>
      </w:pPr>
      <w:r>
        <w:rPr>
          <w:rFonts w:hint="eastAsia" w:ascii="黑体" w:hAnsi="黑体" w:eastAsia="黑体" w:cs="黑体"/>
          <w:bCs/>
          <w:color w:val="000000" w:themeColor="text1"/>
          <w:kern w:val="0"/>
          <w:sz w:val="32"/>
          <w:szCs w:val="32"/>
        </w:rPr>
        <w:t>指导思想</w:t>
      </w:r>
    </w:p>
    <w:p>
      <w:pPr>
        <w:pStyle w:val="7"/>
        <w:spacing w:before="0" w:beforeAutospacing="0" w:after="0" w:afterAutospacing="0" w:line="560" w:lineRule="exact"/>
        <w:ind w:firstLine="640" w:firstLineChars="200"/>
        <w:jc w:val="both"/>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坚持以习近平新时代中国特色社会主义思想为指导，认真贯彻以退役军人为中心的工作理念，紧紧围绕</w:t>
      </w:r>
      <w:r>
        <w:rPr>
          <w:rFonts w:ascii="Times New Roman" w:hAnsi="Times New Roman" w:eastAsia="仿宋_GB2312" w:cs="Times New Roman"/>
          <w:color w:val="000000" w:themeColor="text1"/>
          <w:kern w:val="2"/>
          <w:sz w:val="32"/>
          <w:szCs w:val="32"/>
        </w:rPr>
        <w:t>服务军地改革发展、促进社会和谐稳定、体现社会尊崇优待的</w:t>
      </w:r>
      <w:r>
        <w:rPr>
          <w:rFonts w:hint="eastAsia" w:ascii="Times New Roman" w:hAnsi="Times New Roman" w:eastAsia="仿宋_GB2312" w:cs="Times New Roman"/>
          <w:color w:val="000000" w:themeColor="text1"/>
          <w:kern w:val="2"/>
          <w:sz w:val="32"/>
          <w:szCs w:val="32"/>
        </w:rPr>
        <w:t>工作目标</w:t>
      </w:r>
      <w:r>
        <w:rPr>
          <w:rFonts w:ascii="Times New Roman" w:hAnsi="Times New Roman" w:eastAsia="仿宋_GB2312" w:cs="Times New Roman"/>
          <w:color w:val="000000" w:themeColor="text1"/>
          <w:kern w:val="2"/>
          <w:sz w:val="32"/>
          <w:szCs w:val="32"/>
        </w:rPr>
        <w:t>，</w:t>
      </w:r>
      <w:r>
        <w:rPr>
          <w:rFonts w:hint="eastAsia" w:ascii="仿宋_GB2312" w:hAnsi="仿宋" w:eastAsia="仿宋_GB2312"/>
          <w:color w:val="000000" w:themeColor="text1"/>
          <w:sz w:val="32"/>
          <w:szCs w:val="32"/>
        </w:rPr>
        <w:t>建立政府主导、部门协作、社会参与、整体联动的困难退役军人帮扶援助机制，推动形成对象明确、保障适度、规范高效的工作新格局，有效提升困难退役军人的获得感、归属感和幸福感，</w:t>
      </w:r>
      <w:r>
        <w:rPr>
          <w:rFonts w:hint="eastAsia" w:ascii="Times New Roman" w:hAnsi="仿宋_GB2312" w:eastAsia="仿宋_GB2312"/>
          <w:color w:val="000000" w:themeColor="text1"/>
          <w:sz w:val="32"/>
          <w:szCs w:val="32"/>
        </w:rPr>
        <w:t>为</w:t>
      </w:r>
      <w:r>
        <w:rPr>
          <w:rFonts w:hint="eastAsia" w:ascii="仿宋_GB2312" w:hAnsi="Times New Roman" w:eastAsia="仿宋_GB2312" w:cs="Times New Roman"/>
          <w:sz w:val="32"/>
          <w:szCs w:val="32"/>
        </w:rPr>
        <w:t>打造</w:t>
      </w:r>
      <w:r>
        <w:rPr>
          <w:rFonts w:hint="eastAsia" w:ascii="Times New Roman" w:hAnsi="仿宋_GB2312" w:eastAsia="仿宋_GB2312"/>
          <w:color w:val="000000" w:themeColor="text1"/>
          <w:sz w:val="32"/>
          <w:szCs w:val="32"/>
        </w:rPr>
        <w:t>共同富裕示范区滨江样本贡献力量</w:t>
      </w:r>
      <w:r>
        <w:rPr>
          <w:rFonts w:hint="eastAsia" w:ascii="仿宋_GB2312" w:hAnsi="仿宋" w:eastAsia="仿宋_GB2312"/>
          <w:color w:val="000000" w:themeColor="text1"/>
          <w:sz w:val="32"/>
          <w:szCs w:val="32"/>
        </w:rPr>
        <w:t>。</w:t>
      </w:r>
    </w:p>
    <w:p>
      <w:pPr>
        <w:pStyle w:val="7"/>
        <w:spacing w:before="0" w:beforeAutospacing="0" w:after="0" w:afterAutospacing="0" w:line="560" w:lineRule="exact"/>
        <w:ind w:firstLine="640" w:firstLineChars="200"/>
        <w:jc w:val="both"/>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二、基本原则</w:t>
      </w:r>
    </w:p>
    <w:p>
      <w:pPr>
        <w:pStyle w:val="7"/>
        <w:spacing w:before="0" w:beforeAutospacing="0" w:after="0" w:afterAutospacing="0" w:line="560" w:lineRule="exact"/>
        <w:ind w:firstLine="640" w:firstLineChars="200"/>
        <w:jc w:val="both"/>
        <w:rPr>
          <w:rFonts w:ascii="仿宋_GB2312" w:hAnsi="仿宋" w:eastAsia="仿宋_GB2312"/>
          <w:color w:val="000000" w:themeColor="text1"/>
          <w:sz w:val="32"/>
          <w:szCs w:val="32"/>
        </w:rPr>
      </w:pPr>
      <w:r>
        <w:rPr>
          <w:rFonts w:hint="eastAsia" w:ascii="楷体_GB2312" w:hAnsi="楷体_GB2312" w:eastAsia="楷体_GB2312" w:cs="楷体_GB2312"/>
          <w:color w:val="000000" w:themeColor="text1"/>
          <w:sz w:val="32"/>
          <w:szCs w:val="32"/>
        </w:rPr>
        <w:t>（一）坚持尊崇优待。</w:t>
      </w:r>
      <w:r>
        <w:rPr>
          <w:rFonts w:ascii="仿宋_GB2312" w:hAnsi="仿宋" w:eastAsia="仿宋_GB2312"/>
          <w:color w:val="000000" w:themeColor="text1"/>
          <w:sz w:val="32"/>
          <w:szCs w:val="32"/>
        </w:rPr>
        <w:t>充分体现退役军人为国防和军队建设作出的牺牲</w:t>
      </w:r>
      <w:r>
        <w:rPr>
          <w:rFonts w:hint="eastAsia" w:ascii="仿宋_GB2312" w:hAnsi="仿宋" w:eastAsia="仿宋_GB2312"/>
          <w:color w:val="000000" w:themeColor="text1"/>
          <w:sz w:val="32"/>
          <w:szCs w:val="32"/>
        </w:rPr>
        <w:t>、</w:t>
      </w:r>
      <w:r>
        <w:rPr>
          <w:rFonts w:ascii="仿宋_GB2312" w:hAnsi="仿宋" w:eastAsia="仿宋_GB2312"/>
          <w:color w:val="000000" w:themeColor="text1"/>
          <w:sz w:val="32"/>
          <w:szCs w:val="32"/>
        </w:rPr>
        <w:t>贡献，对其面临的工作生活等方面的实际困难，在保障其享有公民普惠待遇基础上，给予临时性、过渡性的帮扶援助，</w:t>
      </w:r>
      <w:r>
        <w:rPr>
          <w:rFonts w:hint="eastAsia" w:ascii="仿宋_GB2312" w:hAnsi="仿宋" w:eastAsia="仿宋_GB2312"/>
          <w:color w:val="000000" w:themeColor="text1"/>
          <w:sz w:val="32"/>
          <w:szCs w:val="32"/>
        </w:rPr>
        <w:t>真正</w:t>
      </w:r>
      <w:r>
        <w:rPr>
          <w:rFonts w:ascii="仿宋_GB2312" w:hAnsi="仿宋" w:eastAsia="仿宋_GB2312"/>
          <w:color w:val="000000" w:themeColor="text1"/>
          <w:sz w:val="32"/>
          <w:szCs w:val="32"/>
        </w:rPr>
        <w:t>把党和国家对困难退役军人的关心关爱落到实处。</w:t>
      </w:r>
    </w:p>
    <w:p>
      <w:pPr>
        <w:pStyle w:val="7"/>
        <w:spacing w:before="0" w:beforeAutospacing="0" w:after="0" w:afterAutospacing="0" w:line="560" w:lineRule="exact"/>
        <w:ind w:firstLine="640" w:firstLineChars="200"/>
        <w:jc w:val="both"/>
        <w:rPr>
          <w:rFonts w:ascii="仿宋_GB2312" w:hAnsi="仿宋_GB2312" w:eastAsia="仿宋_GB2312" w:cs="仿宋_GB2312"/>
          <w:color w:val="000000" w:themeColor="text1"/>
          <w:sz w:val="32"/>
          <w:szCs w:val="32"/>
        </w:rPr>
      </w:pPr>
      <w:r>
        <w:rPr>
          <w:rFonts w:hint="eastAsia" w:ascii="楷体_GB2312" w:hAnsi="楷体_GB2312" w:eastAsia="楷体_GB2312" w:cs="楷体_GB2312"/>
          <w:color w:val="000000" w:themeColor="text1"/>
          <w:sz w:val="32"/>
          <w:szCs w:val="32"/>
        </w:rPr>
        <w:t>（二）坚持常态联系。</w:t>
      </w:r>
      <w:r>
        <w:rPr>
          <w:rFonts w:hint="eastAsia" w:ascii="仿宋_GB2312" w:hAnsi="仿宋" w:eastAsia="仿宋_GB2312"/>
          <w:color w:val="000000" w:themeColor="text1"/>
          <w:sz w:val="32"/>
          <w:szCs w:val="32"/>
        </w:rPr>
        <w:t>建立常态化走访联系工作机制，充分依托退役军人服务中心（站），全面掌</w:t>
      </w:r>
      <w:r>
        <w:rPr>
          <w:rFonts w:hint="eastAsia" w:ascii="仿宋_GB2312" w:hAnsi="仿宋_GB2312" w:eastAsia="仿宋_GB2312" w:cs="仿宋_GB2312"/>
          <w:color w:val="000000" w:themeColor="text1"/>
          <w:sz w:val="32"/>
          <w:szCs w:val="32"/>
        </w:rPr>
        <w:t>握辖区内生活、就业等陷入困境的退役军人情况，积极帮助落实社会保障措施，分类分层实施帮扶援助，合理确定援助标准，定期做好成效评估。</w:t>
      </w:r>
    </w:p>
    <w:p>
      <w:pPr>
        <w:shd w:val="clear" w:color="auto" w:fill="FFFFFF"/>
        <w:adjustRightInd w:val="0"/>
        <w:snapToGrid w:val="0"/>
        <w:spacing w:line="560" w:lineRule="exact"/>
        <w:ind w:firstLine="640" w:firstLineChars="200"/>
        <w:rPr>
          <w:rFonts w:ascii="黑体" w:hAnsi="黑体" w:eastAsia="黑体" w:cs="宋体"/>
          <w:bCs/>
          <w:color w:val="000000" w:themeColor="text1"/>
          <w:spacing w:val="8"/>
          <w:kern w:val="0"/>
          <w:sz w:val="32"/>
          <w:szCs w:val="32"/>
        </w:rPr>
      </w:pPr>
      <w:r>
        <w:rPr>
          <w:rFonts w:hint="eastAsia" w:eastAsia="楷体_GB2312"/>
          <w:color w:val="000000" w:themeColor="text1"/>
          <w:sz w:val="32"/>
          <w:szCs w:val="32"/>
        </w:rPr>
        <w:t>（三）坚持多元统筹。</w:t>
      </w:r>
      <w:r>
        <w:rPr>
          <w:rFonts w:hint="eastAsia" w:ascii="仿宋_GB2312" w:hAnsi="仿宋_GB2312" w:eastAsia="仿宋_GB2312" w:cs="仿宋_GB2312"/>
          <w:color w:val="000000" w:themeColor="text1"/>
          <w:sz w:val="32"/>
          <w:szCs w:val="32"/>
        </w:rPr>
        <w:t>协调匹配各类社会帮扶资源，鼓励和引导社会力量参与帮扶援助工作，通过社会募捐、志愿服务、慈善服务等方式，提供针对性专业性帮扶援助。</w:t>
      </w:r>
      <w:r>
        <w:rPr>
          <w:rFonts w:hint="eastAsia" w:ascii="仿宋_GB2312" w:hAnsi="仿宋_GB2312" w:eastAsia="仿宋_GB2312" w:cs="仿宋_GB2312"/>
          <w:color w:val="000000" w:themeColor="text1"/>
          <w:sz w:val="32"/>
          <w:szCs w:val="32"/>
        </w:rPr>
        <w:br w:type="textWrapping"/>
      </w:r>
      <w:r>
        <w:rPr>
          <w:rFonts w:hint="eastAsia" w:ascii="仿宋_GB2312" w:hAnsi="仿宋_GB2312" w:eastAsia="仿宋_GB2312" w:cs="仿宋_GB2312"/>
          <w:color w:val="000000" w:themeColor="text1"/>
          <w:sz w:val="32"/>
          <w:szCs w:val="32"/>
        </w:rPr>
        <w:t xml:space="preserve">    </w:t>
      </w:r>
      <w:r>
        <w:rPr>
          <w:rFonts w:hint="eastAsia" w:eastAsia="楷体_GB2312"/>
          <w:color w:val="000000" w:themeColor="text1"/>
          <w:sz w:val="32"/>
          <w:szCs w:val="32"/>
        </w:rPr>
        <w:t>（四）坚持造血帮扶。</w:t>
      </w:r>
      <w:r>
        <w:rPr>
          <w:rFonts w:hint="eastAsia" w:ascii="仿宋_GB2312" w:hAnsi="仿宋_GB2312" w:eastAsia="仿宋_GB2312" w:cs="仿宋_GB2312"/>
          <w:color w:val="000000" w:themeColor="text1"/>
          <w:sz w:val="32"/>
          <w:szCs w:val="32"/>
        </w:rPr>
        <w:t>在向帮扶援助对象实施政策信息、资金补助等援助的同时，根据困难家庭和对象实际情况强化造血功能，提供赋能服务，帮助其走出生活困境、走向自主发展的道路。</w:t>
      </w:r>
    </w:p>
    <w:p>
      <w:pPr>
        <w:shd w:val="clear" w:color="auto" w:fill="FFFFFF"/>
        <w:adjustRightInd w:val="0"/>
        <w:snapToGrid w:val="0"/>
        <w:spacing w:line="560" w:lineRule="exact"/>
        <w:ind w:firstLine="672" w:firstLineChars="200"/>
        <w:rPr>
          <w:rFonts w:ascii="黑体" w:hAnsi="黑体" w:eastAsia="黑体" w:cs="宋体"/>
          <w:bCs/>
          <w:color w:val="000000" w:themeColor="text1"/>
          <w:spacing w:val="8"/>
          <w:kern w:val="0"/>
          <w:sz w:val="32"/>
          <w:szCs w:val="32"/>
        </w:rPr>
      </w:pPr>
      <w:r>
        <w:rPr>
          <w:rFonts w:hint="eastAsia" w:ascii="黑体" w:hAnsi="黑体" w:eastAsia="黑体" w:cs="宋体"/>
          <w:bCs/>
          <w:color w:val="000000" w:themeColor="text1"/>
          <w:spacing w:val="8"/>
          <w:kern w:val="0"/>
          <w:sz w:val="32"/>
          <w:szCs w:val="32"/>
        </w:rPr>
        <w:t>三、帮扶援助对象</w:t>
      </w:r>
    </w:p>
    <w:p>
      <w:pPr>
        <w:shd w:val="clear" w:color="auto" w:fill="FFFFFF"/>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具有杭州市滨江区户籍的退役军人、领取定期抚恤补助的“三属”（烈士遗属、因公牺牲军人遗属、病故军人遗属）以及现役军人的父母、配偶、未成年子女。</w:t>
      </w:r>
    </w:p>
    <w:p>
      <w:pPr>
        <w:numPr>
          <w:ilvl w:val="0"/>
          <w:numId w:val="2"/>
        </w:numPr>
        <w:shd w:val="clear" w:color="auto" w:fill="FFFFFF"/>
        <w:adjustRightInd w:val="0"/>
        <w:snapToGrid w:val="0"/>
        <w:spacing w:line="560" w:lineRule="exact"/>
        <w:ind w:firstLine="672" w:firstLineChars="200"/>
        <w:rPr>
          <w:rFonts w:ascii="黑体" w:hAnsi="黑体" w:eastAsia="黑体" w:cs="宋体"/>
          <w:bCs/>
          <w:color w:val="000000" w:themeColor="text1"/>
          <w:spacing w:val="8"/>
          <w:kern w:val="0"/>
          <w:sz w:val="32"/>
          <w:szCs w:val="32"/>
        </w:rPr>
      </w:pPr>
      <w:r>
        <w:rPr>
          <w:rFonts w:hint="eastAsia" w:ascii="黑体" w:hAnsi="黑体" w:eastAsia="黑体" w:cs="宋体"/>
          <w:bCs/>
          <w:color w:val="000000" w:themeColor="text1"/>
          <w:spacing w:val="8"/>
          <w:kern w:val="0"/>
          <w:sz w:val="32"/>
          <w:szCs w:val="32"/>
        </w:rPr>
        <w:t>帮扶援助情形</w:t>
      </w:r>
    </w:p>
    <w:p>
      <w:pPr>
        <w:shd w:val="clear" w:color="auto" w:fill="FFFFFF"/>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按照“普惠加优待”的原则，因以下五种情形导致生活陷入困境的援助对象，可以按规定申请帮扶援助。</w:t>
      </w:r>
    </w:p>
    <w:p>
      <w:pPr>
        <w:shd w:val="clear" w:color="auto" w:fill="FFFFFF"/>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（一）退役军人因服役期间致残或因患有严重疾病等原因造成退役后本人就业困难，医疗和康复等必需支出突然增加超出家庭承受能力，导致生活出现严重困难的；</w:t>
      </w:r>
    </w:p>
    <w:p>
      <w:pPr>
        <w:shd w:val="clear" w:color="auto" w:fill="FFFFFF"/>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（二）退役军人因服役时间长、市场就业能力弱等原因造成长期失业或突然下岗，导致生活出现严重困难的；</w:t>
      </w:r>
    </w:p>
    <w:p>
      <w:pPr>
        <w:shd w:val="clear" w:color="auto" w:fill="FFFFFF"/>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（三）退役军人因旧伤复发、残情病情加重等原因，导致生活出现严重困难的；</w:t>
      </w:r>
    </w:p>
    <w:p>
      <w:pPr>
        <w:shd w:val="clear" w:color="auto" w:fill="FFFFFF"/>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（四）退役军人、“三属”因遭遇自然灾害、火灾事故、交通事故、重大疾病、人身伤害和参与突发公共事件应急处置工作殉职等原因，以及现役军人因战、因公牺牲，导致生活出现严重困难的；</w:t>
      </w:r>
    </w:p>
    <w:p>
      <w:pPr>
        <w:shd w:val="clear" w:color="auto" w:fill="FFFFFF"/>
        <w:adjustRightInd w:val="0"/>
        <w:snapToGrid w:val="0"/>
        <w:spacing w:line="560" w:lineRule="exact"/>
        <w:ind w:firstLine="480" w:firstLineChars="15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（五）遭遇其他特殊情况，导致生活出现严重困难的。</w:t>
      </w:r>
    </w:p>
    <w:p>
      <w:pPr>
        <w:shd w:val="clear" w:color="auto" w:fill="FFFFFF"/>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有下列情形之一的，不予帮扶援助：</w:t>
      </w:r>
    </w:p>
    <w:p>
      <w:pPr>
        <w:shd w:val="clear" w:color="auto" w:fill="FFFFFF"/>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1.因犯罪被刑事处罚的；</w:t>
      </w:r>
    </w:p>
    <w:p>
      <w:pPr>
        <w:shd w:val="clear" w:color="auto" w:fill="FFFFFF"/>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2.被纳入失信联合惩戒对象名单的；</w:t>
      </w:r>
    </w:p>
    <w:p>
      <w:pPr>
        <w:shd w:val="clear" w:color="auto" w:fill="FFFFFF"/>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3.组织煽动、串联聚集、缠访闹访、滞留滋事、网上恶意炒作或造谣、参加聚集上访的，不支持不配合管理服务工作造成恶劣影响的；</w:t>
      </w:r>
    </w:p>
    <w:p>
      <w:pPr>
        <w:shd w:val="clear" w:color="auto" w:fill="FFFFFF"/>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4.其他法律法规规定不予帮扶援助的。</w:t>
      </w:r>
    </w:p>
    <w:p>
      <w:pPr>
        <w:shd w:val="clear" w:color="auto" w:fill="FFFFFF"/>
        <w:adjustRightInd w:val="0"/>
        <w:snapToGrid w:val="0"/>
        <w:spacing w:line="560" w:lineRule="exact"/>
        <w:ind w:firstLine="640" w:firstLineChars="200"/>
        <w:rPr>
          <w:rFonts w:ascii="黑体" w:hAnsi="黑体" w:eastAsia="黑体" w:cs="Times New Roman"/>
          <w:color w:val="000000" w:themeColor="text1"/>
          <w:sz w:val="32"/>
          <w:szCs w:val="32"/>
        </w:rPr>
      </w:pPr>
      <w:r>
        <w:rPr>
          <w:rFonts w:hint="eastAsia" w:ascii="黑体" w:hAnsi="黑体" w:eastAsia="黑体" w:cs="Times New Roman"/>
          <w:color w:val="000000" w:themeColor="text1"/>
          <w:sz w:val="32"/>
          <w:szCs w:val="32"/>
        </w:rPr>
        <w:t>五、帮扶援助措施</w:t>
      </w:r>
    </w:p>
    <w:p>
      <w:pPr>
        <w:shd w:val="clear" w:color="auto" w:fill="FFFFFF"/>
        <w:adjustRightInd w:val="0"/>
        <w:snapToGrid w:val="0"/>
        <w:spacing w:line="560" w:lineRule="exact"/>
        <w:ind w:firstLine="640" w:firstLineChars="200"/>
        <w:rPr>
          <w:rFonts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（一）生活援助</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按照“普惠加优待”原则，对最低生活保障家庭中的退役军人，</w:t>
      </w:r>
      <w:r>
        <w:rPr>
          <w:rFonts w:hint="eastAsia" w:ascii="仿宋_GB2312" w:hAnsi="仿宋_GB2312" w:eastAsia="仿宋_GB2312" w:cs="仿宋_GB2312"/>
          <w:color w:val="000000" w:themeColor="text1"/>
          <w:sz w:val="32"/>
          <w:szCs w:val="32"/>
        </w:rPr>
        <w:t>给予</w:t>
      </w:r>
      <w:r>
        <w:rPr>
          <w:rFonts w:ascii="仿宋_GB2312" w:hAnsi="仿宋_GB2312" w:eastAsia="仿宋_GB2312" w:cs="仿宋_GB2312"/>
          <w:color w:val="000000" w:themeColor="text1"/>
          <w:sz w:val="32"/>
          <w:szCs w:val="32"/>
        </w:rPr>
        <w:t>其本人每月增发</w:t>
      </w:r>
      <w:r>
        <w:rPr>
          <w:rFonts w:hint="eastAsia" w:ascii="仿宋_GB2312" w:hAnsi="仿宋_GB2312" w:eastAsia="仿宋_GB2312" w:cs="仿宋_GB2312"/>
          <w:color w:val="000000" w:themeColor="text1"/>
          <w:sz w:val="32"/>
          <w:szCs w:val="32"/>
        </w:rPr>
        <w:t>不低于本区</w:t>
      </w:r>
      <w:r>
        <w:rPr>
          <w:rFonts w:ascii="仿宋_GB2312" w:hAnsi="仿宋_GB2312" w:eastAsia="仿宋_GB2312" w:cs="仿宋_GB2312"/>
          <w:color w:val="000000" w:themeColor="text1"/>
          <w:sz w:val="32"/>
          <w:szCs w:val="32"/>
        </w:rPr>
        <w:t>最低生活保障标准10%的生活补助（列“其他优抚支出”科目），体现优待性。</w:t>
      </w:r>
      <w:r>
        <w:rPr>
          <w:rFonts w:hint="eastAsia" w:ascii="仿宋_GB2312" w:hAnsi="仿宋_GB2312" w:eastAsia="仿宋_GB2312" w:cs="仿宋_GB2312"/>
          <w:color w:val="000000" w:themeColor="text1"/>
          <w:sz w:val="32"/>
          <w:szCs w:val="32"/>
        </w:rPr>
        <w:t>对最低生活保障边缘家庭中的退役军人，参照执行。</w:t>
      </w:r>
    </w:p>
    <w:p>
      <w:pPr>
        <w:shd w:val="clear" w:color="auto" w:fill="FFFFFF"/>
        <w:adjustRightInd w:val="0"/>
        <w:snapToGrid w:val="0"/>
        <w:spacing w:line="560" w:lineRule="exact"/>
        <w:ind w:firstLine="640" w:firstLineChars="200"/>
        <w:rPr>
          <w:rFonts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（二）医疗援助</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滨江区范围内的</w:t>
      </w:r>
      <w:r>
        <w:rPr>
          <w:rFonts w:ascii="仿宋_GB2312" w:hAnsi="仿宋_GB2312" w:eastAsia="仿宋_GB2312" w:cs="仿宋_GB2312"/>
          <w:color w:val="000000" w:themeColor="text1"/>
          <w:sz w:val="32"/>
          <w:szCs w:val="32"/>
        </w:rPr>
        <w:t>最低生活保障家庭、最低生活保障边缘家庭中的退役军人，在定点</w:t>
      </w:r>
      <w:r>
        <w:rPr>
          <w:rFonts w:hint="eastAsia" w:ascii="仿宋_GB2312" w:hAnsi="仿宋_GB2312" w:eastAsia="仿宋_GB2312" w:cs="仿宋_GB2312"/>
          <w:color w:val="000000" w:themeColor="text1"/>
          <w:sz w:val="32"/>
          <w:szCs w:val="32"/>
        </w:rPr>
        <w:t>医疗</w:t>
      </w:r>
      <w:r>
        <w:rPr>
          <w:rFonts w:ascii="仿宋_GB2312" w:hAnsi="仿宋_GB2312" w:eastAsia="仿宋_GB2312" w:cs="仿宋_GB2312"/>
          <w:color w:val="000000" w:themeColor="text1"/>
          <w:sz w:val="32"/>
          <w:szCs w:val="32"/>
        </w:rPr>
        <w:t>机构发生的</w:t>
      </w:r>
      <w:r>
        <w:rPr>
          <w:rFonts w:hint="eastAsia" w:ascii="仿宋_GB2312" w:hAnsi="仿宋_GB2312" w:eastAsia="仿宋_GB2312" w:cs="仿宋_GB2312"/>
          <w:color w:val="000000" w:themeColor="text1"/>
          <w:sz w:val="32"/>
          <w:szCs w:val="32"/>
        </w:rPr>
        <w:t>符合医保开支</w:t>
      </w:r>
      <w:r>
        <w:rPr>
          <w:rFonts w:ascii="仿宋_GB2312" w:hAnsi="仿宋_GB2312" w:eastAsia="仿宋_GB2312" w:cs="仿宋_GB2312"/>
          <w:color w:val="000000" w:themeColor="text1"/>
          <w:sz w:val="32"/>
          <w:szCs w:val="32"/>
        </w:rPr>
        <w:t>范围内的</w:t>
      </w:r>
      <w:r>
        <w:rPr>
          <w:rFonts w:hint="eastAsia" w:ascii="仿宋_GB2312" w:hAnsi="仿宋_GB2312" w:eastAsia="仿宋_GB2312" w:cs="仿宋_GB2312"/>
          <w:color w:val="000000" w:themeColor="text1"/>
          <w:sz w:val="32"/>
          <w:szCs w:val="32"/>
        </w:rPr>
        <w:t>住院和规定病种门诊医疗</w:t>
      </w:r>
      <w:r>
        <w:rPr>
          <w:rFonts w:ascii="仿宋_GB2312" w:hAnsi="仿宋_GB2312" w:eastAsia="仿宋_GB2312" w:cs="仿宋_GB2312"/>
          <w:color w:val="000000" w:themeColor="text1"/>
          <w:sz w:val="32"/>
          <w:szCs w:val="32"/>
        </w:rPr>
        <w:t>费用</w:t>
      </w:r>
      <w:r>
        <w:rPr>
          <w:rFonts w:hint="eastAsia" w:ascii="仿宋_GB2312" w:hAnsi="仿宋_GB2312" w:eastAsia="仿宋_GB2312" w:cs="仿宋_GB2312"/>
          <w:color w:val="000000" w:themeColor="text1"/>
          <w:sz w:val="32"/>
          <w:szCs w:val="32"/>
        </w:rPr>
        <w:t>，</w:t>
      </w:r>
      <w:r>
        <w:rPr>
          <w:rFonts w:ascii="仿宋_GB2312" w:hAnsi="仿宋_GB2312" w:eastAsia="仿宋_GB2312" w:cs="仿宋_GB2312"/>
          <w:color w:val="000000" w:themeColor="text1"/>
          <w:sz w:val="32"/>
          <w:szCs w:val="32"/>
        </w:rPr>
        <w:t>扣除基本医保、大病保险和</w:t>
      </w:r>
      <w:r>
        <w:rPr>
          <w:rFonts w:hint="eastAsia" w:ascii="仿宋_GB2312" w:hAnsi="仿宋_GB2312" w:eastAsia="仿宋_GB2312" w:cs="仿宋_GB2312"/>
          <w:color w:val="000000" w:themeColor="text1"/>
          <w:sz w:val="32"/>
          <w:szCs w:val="32"/>
        </w:rPr>
        <w:t>医疗救助、</w:t>
      </w:r>
      <w:r>
        <w:rPr>
          <w:rFonts w:ascii="仿宋_GB2312" w:hAnsi="仿宋_GB2312" w:eastAsia="仿宋_GB2312" w:cs="仿宋_GB2312"/>
          <w:color w:val="000000" w:themeColor="text1"/>
          <w:sz w:val="32"/>
          <w:szCs w:val="32"/>
        </w:rPr>
        <w:t>其他补充医疗保险</w:t>
      </w:r>
      <w:r>
        <w:rPr>
          <w:rFonts w:hint="eastAsia" w:ascii="仿宋_GB2312" w:hAnsi="仿宋_GB2312" w:eastAsia="仿宋_GB2312" w:cs="仿宋_GB2312"/>
          <w:color w:val="000000" w:themeColor="text1"/>
          <w:sz w:val="32"/>
          <w:szCs w:val="32"/>
        </w:rPr>
        <w:t>、临时救助</w:t>
      </w:r>
      <w:r>
        <w:rPr>
          <w:rFonts w:ascii="仿宋_GB2312" w:hAnsi="仿宋_GB2312" w:eastAsia="仿宋_GB2312" w:cs="仿宋_GB2312"/>
          <w:color w:val="000000" w:themeColor="text1"/>
          <w:sz w:val="32"/>
          <w:szCs w:val="32"/>
        </w:rPr>
        <w:t>等各类报销、补助后，</w:t>
      </w:r>
      <w:r>
        <w:rPr>
          <w:rFonts w:hint="eastAsia" w:ascii="仿宋_GB2312" w:hAnsi="仿宋_GB2312" w:eastAsia="仿宋_GB2312" w:cs="仿宋_GB2312"/>
          <w:color w:val="000000" w:themeColor="text1"/>
          <w:sz w:val="32"/>
          <w:szCs w:val="32"/>
        </w:rPr>
        <w:t>对</w:t>
      </w:r>
      <w:r>
        <w:rPr>
          <w:rFonts w:ascii="仿宋_GB2312" w:hAnsi="仿宋_GB2312" w:eastAsia="仿宋_GB2312" w:cs="仿宋_GB2312"/>
          <w:color w:val="000000" w:themeColor="text1"/>
          <w:sz w:val="32"/>
          <w:szCs w:val="32"/>
        </w:rPr>
        <w:t>最低生活保障家庭中的退役军人</w:t>
      </w:r>
      <w:r>
        <w:rPr>
          <w:rFonts w:hint="eastAsia" w:ascii="仿宋_GB2312" w:hAnsi="仿宋_GB2312" w:eastAsia="仿宋_GB2312" w:cs="仿宋_GB2312"/>
          <w:color w:val="000000" w:themeColor="text1"/>
          <w:sz w:val="32"/>
          <w:szCs w:val="32"/>
        </w:rPr>
        <w:t>按</w:t>
      </w:r>
      <w:r>
        <w:rPr>
          <w:rFonts w:ascii="仿宋_GB2312" w:hAnsi="仿宋_GB2312" w:eastAsia="仿宋_GB2312" w:cs="仿宋_GB2312"/>
          <w:color w:val="000000" w:themeColor="text1"/>
          <w:sz w:val="32"/>
          <w:szCs w:val="32"/>
        </w:rPr>
        <w:t>剩余自</w:t>
      </w:r>
      <w:r>
        <w:rPr>
          <w:rFonts w:hint="eastAsia" w:ascii="仿宋_GB2312" w:hAnsi="仿宋_GB2312" w:eastAsia="仿宋_GB2312" w:cs="仿宋_GB2312"/>
          <w:color w:val="000000" w:themeColor="text1"/>
          <w:sz w:val="32"/>
          <w:szCs w:val="32"/>
        </w:rPr>
        <w:t>付</w:t>
      </w:r>
      <w:r>
        <w:rPr>
          <w:rFonts w:ascii="仿宋_GB2312" w:hAnsi="仿宋_GB2312" w:eastAsia="仿宋_GB2312" w:cs="仿宋_GB2312"/>
          <w:color w:val="000000" w:themeColor="text1"/>
          <w:sz w:val="32"/>
          <w:szCs w:val="32"/>
        </w:rPr>
        <w:t>合规医疗费用</w:t>
      </w:r>
      <w:r>
        <w:rPr>
          <w:rFonts w:hint="eastAsia" w:ascii="仿宋_GB2312" w:hAnsi="仿宋_GB2312" w:eastAsia="仿宋_GB2312" w:cs="仿宋_GB2312"/>
          <w:color w:val="000000" w:themeColor="text1"/>
          <w:sz w:val="32"/>
          <w:szCs w:val="32"/>
        </w:rPr>
        <w:t>的50</w:t>
      </w:r>
      <w:r>
        <w:rPr>
          <w:rFonts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给予医疗援助，对</w:t>
      </w:r>
      <w:r>
        <w:rPr>
          <w:rFonts w:ascii="仿宋_GB2312" w:hAnsi="仿宋_GB2312" w:eastAsia="仿宋_GB2312" w:cs="仿宋_GB2312"/>
          <w:color w:val="000000" w:themeColor="text1"/>
          <w:sz w:val="32"/>
          <w:szCs w:val="32"/>
        </w:rPr>
        <w:t>最低生活保障边缘家庭</w:t>
      </w:r>
      <w:r>
        <w:rPr>
          <w:rFonts w:hint="eastAsia" w:ascii="仿宋_GB2312" w:hAnsi="仿宋_GB2312" w:eastAsia="仿宋_GB2312" w:cs="仿宋_GB2312"/>
          <w:color w:val="000000" w:themeColor="text1"/>
          <w:sz w:val="32"/>
          <w:szCs w:val="32"/>
        </w:rPr>
        <w:t>中的退役军人按</w:t>
      </w:r>
      <w:r>
        <w:rPr>
          <w:rFonts w:ascii="仿宋_GB2312" w:hAnsi="仿宋_GB2312" w:eastAsia="仿宋_GB2312" w:cs="仿宋_GB2312"/>
          <w:color w:val="000000" w:themeColor="text1"/>
          <w:sz w:val="32"/>
          <w:szCs w:val="32"/>
        </w:rPr>
        <w:t>剩余自</w:t>
      </w:r>
      <w:r>
        <w:rPr>
          <w:rFonts w:hint="eastAsia" w:ascii="仿宋_GB2312" w:hAnsi="仿宋_GB2312" w:eastAsia="仿宋_GB2312" w:cs="仿宋_GB2312"/>
          <w:color w:val="000000" w:themeColor="text1"/>
          <w:sz w:val="32"/>
          <w:szCs w:val="32"/>
        </w:rPr>
        <w:t>付</w:t>
      </w:r>
      <w:r>
        <w:rPr>
          <w:rFonts w:ascii="仿宋_GB2312" w:hAnsi="仿宋_GB2312" w:eastAsia="仿宋_GB2312" w:cs="仿宋_GB2312"/>
          <w:color w:val="000000" w:themeColor="text1"/>
          <w:sz w:val="32"/>
          <w:szCs w:val="32"/>
        </w:rPr>
        <w:t>合规医疗费用</w:t>
      </w:r>
      <w:r>
        <w:rPr>
          <w:rFonts w:hint="eastAsia" w:ascii="仿宋_GB2312" w:hAnsi="仿宋_GB2312" w:eastAsia="仿宋_GB2312" w:cs="仿宋_GB2312"/>
          <w:color w:val="000000" w:themeColor="text1"/>
          <w:sz w:val="32"/>
          <w:szCs w:val="32"/>
        </w:rPr>
        <w:t>的40</w:t>
      </w:r>
      <w:r>
        <w:rPr>
          <w:rFonts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给予医疗援助</w:t>
      </w:r>
      <w:r>
        <w:rPr>
          <w:rFonts w:ascii="仿宋_GB2312" w:hAnsi="仿宋_GB2312" w:eastAsia="仿宋_GB2312" w:cs="仿宋_GB2312"/>
          <w:color w:val="000000" w:themeColor="text1"/>
          <w:sz w:val="32"/>
          <w:szCs w:val="32"/>
        </w:rPr>
        <w:t>。医疗援助不设起</w:t>
      </w:r>
      <w:r>
        <w:rPr>
          <w:rFonts w:hint="eastAsia" w:ascii="仿宋_GB2312" w:hAnsi="仿宋_GB2312" w:eastAsia="仿宋_GB2312" w:cs="仿宋_GB2312"/>
          <w:color w:val="000000" w:themeColor="text1"/>
          <w:sz w:val="32"/>
          <w:szCs w:val="32"/>
        </w:rPr>
        <w:t>付线，最高援助额为2万元。条件成熟时可参照医疗救助模式，将医疗援助纳入“一站式”结报。</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参加商业保险的</w:t>
      </w:r>
      <w:r>
        <w:rPr>
          <w:rFonts w:hint="eastAsia" w:ascii="仿宋_GB2312" w:hAnsi="仿宋_GB2312" w:eastAsia="仿宋_GB2312" w:cs="仿宋_GB2312"/>
          <w:color w:val="000000" w:themeColor="text1"/>
          <w:sz w:val="32"/>
          <w:szCs w:val="32"/>
        </w:rPr>
        <w:t>最低生活保障家庭、最低生活保障边缘家庭中的退役军人</w:t>
      </w:r>
      <w:r>
        <w:rPr>
          <w:rFonts w:ascii="仿宋_GB2312" w:hAnsi="仿宋_GB2312" w:eastAsia="仿宋_GB2312" w:cs="仿宋_GB2312"/>
          <w:color w:val="000000" w:themeColor="text1"/>
          <w:sz w:val="32"/>
          <w:szCs w:val="32"/>
        </w:rPr>
        <w:t>可按规定享受缴费补助</w:t>
      </w:r>
      <w:r>
        <w:rPr>
          <w:rFonts w:hint="eastAsia" w:ascii="仿宋_GB2312" w:hAnsi="仿宋_GB2312" w:eastAsia="仿宋_GB2312" w:cs="仿宋_GB2312"/>
          <w:color w:val="000000" w:themeColor="text1"/>
          <w:sz w:val="32"/>
          <w:szCs w:val="32"/>
        </w:rPr>
        <w:t>。</w:t>
      </w:r>
    </w:p>
    <w:p>
      <w:pPr>
        <w:adjustRightInd w:val="0"/>
        <w:snapToGrid w:val="0"/>
        <w:spacing w:line="560" w:lineRule="exact"/>
        <w:ind w:firstLine="640" w:firstLineChars="200"/>
        <w:rPr>
          <w:rFonts w:ascii="楷体_GB2312" w:hAnsi="楷体_GB2312" w:eastAsia="楷体_GB2312" w:cs="楷体_GB2312"/>
          <w:color w:val="000000" w:themeColor="text1"/>
          <w:sz w:val="32"/>
          <w:szCs w:val="32"/>
        </w:rPr>
      </w:pPr>
      <w:r>
        <w:rPr>
          <w:rFonts w:ascii="楷体_GB2312" w:hAnsi="楷体_GB2312" w:eastAsia="楷体_GB2312" w:cs="楷体_GB2312"/>
          <w:color w:val="000000" w:themeColor="text1"/>
          <w:sz w:val="32"/>
          <w:szCs w:val="32"/>
        </w:rPr>
        <w:t>（三）住房援助</w:t>
      </w:r>
    </w:p>
    <w:p>
      <w:pPr>
        <w:shd w:val="clear" w:color="auto" w:fill="FFFFFF"/>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低保户、分散供养特困人员、困难残疾户、低保边缘户，其现唯一住房经鉴定为危房的，列入</w:t>
      </w:r>
      <w:r>
        <w:rPr>
          <w:rFonts w:hint="eastAsia" w:ascii="仿宋_GB2312" w:hAnsi="仿宋_GB2312" w:eastAsia="仿宋_GB2312" w:cs="仿宋_GB2312"/>
          <w:color w:val="000000" w:themeColor="text1"/>
          <w:sz w:val="32"/>
          <w:szCs w:val="32"/>
        </w:rPr>
        <w:t>区</w:t>
      </w:r>
      <w:r>
        <w:rPr>
          <w:rFonts w:ascii="仿宋_GB2312" w:hAnsi="仿宋_GB2312" w:eastAsia="仿宋_GB2312" w:cs="仿宋_GB2312"/>
          <w:color w:val="000000" w:themeColor="text1"/>
          <w:sz w:val="32"/>
          <w:szCs w:val="32"/>
        </w:rPr>
        <w:t>住建部门危房改造计划或按规定实施农村困难家庭危房改造即时救助，应切实按照农村困难家庭危房改造政策给予补助，确保危房及时解危。</w:t>
      </w:r>
    </w:p>
    <w:p>
      <w:pPr>
        <w:shd w:val="clear" w:color="auto" w:fill="FFFFFF"/>
        <w:adjustRightInd w:val="0"/>
        <w:snapToGrid w:val="0"/>
        <w:spacing w:line="560" w:lineRule="exact"/>
        <w:ind w:firstLine="640" w:firstLineChars="200"/>
        <w:rPr>
          <w:rFonts w:ascii="仿宋_GB2312" w:eastAsia="仿宋_GB2312"/>
          <w:bCs/>
          <w:sz w:val="32"/>
          <w:szCs w:val="32"/>
        </w:rPr>
      </w:pPr>
      <w:r>
        <w:rPr>
          <w:rFonts w:hint="eastAsia" w:ascii="仿宋_GB2312" w:eastAsia="仿宋_GB2312"/>
          <w:bCs/>
          <w:sz w:val="32"/>
          <w:szCs w:val="32"/>
        </w:rPr>
        <w:t>符合公租房保障条件的帮扶援助对象，应给予公租房实物配租或货币补贴保障，符合公租房优先保障条件的应予以优先保障。公租房实物配租和货币补贴发放具体标准按照杭州市住保房管部门有关规定执行。</w:t>
      </w:r>
    </w:p>
    <w:p>
      <w:pPr>
        <w:shd w:val="clear" w:color="auto" w:fill="FFFFFF"/>
        <w:adjustRightInd w:val="0"/>
        <w:snapToGrid w:val="0"/>
        <w:spacing w:line="560" w:lineRule="exact"/>
        <w:ind w:firstLine="640" w:firstLineChars="200"/>
        <w:rPr>
          <w:rFonts w:ascii="楷体_GB2312" w:hAnsi="楷体_GB2312" w:eastAsia="楷体_GB2312" w:cs="楷体_GB2312"/>
          <w:color w:val="000000" w:themeColor="text1"/>
          <w:sz w:val="32"/>
          <w:szCs w:val="32"/>
        </w:rPr>
      </w:pPr>
      <w:r>
        <w:rPr>
          <w:rFonts w:ascii="楷体_GB2312" w:hAnsi="楷体_GB2312" w:eastAsia="楷体_GB2312" w:cs="楷体_GB2312"/>
          <w:color w:val="000000" w:themeColor="text1"/>
          <w:sz w:val="32"/>
          <w:szCs w:val="32"/>
        </w:rPr>
        <w:t>（四）教育援助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接受学前教育、义务教育、高中教育（含中等职业教育）、普通高等教育的困难家庭成员，符合教育救助条件的按区教育部门现行政策申请，经教育救助和社会帮扶后，家庭负担仍然较重的，视情给予一定补助，其中学前和义务教育阶段不超过2000元/学年/生，普通高中和中等职业教育阶段不超过4000元/学年/生，大学阶段不超过6000元/学年/生。</w:t>
      </w:r>
    </w:p>
    <w:p>
      <w:pPr>
        <w:adjustRightInd w:val="0"/>
        <w:snapToGrid w:val="0"/>
        <w:spacing w:line="560" w:lineRule="exact"/>
        <w:ind w:firstLine="640" w:firstLineChars="200"/>
        <w:rPr>
          <w:rFonts w:ascii="楷体_GB2312" w:hAnsi="楷体_GB2312" w:eastAsia="楷体_GB2312" w:cs="楷体_GB2312"/>
          <w:color w:val="000000" w:themeColor="text1"/>
          <w:sz w:val="32"/>
          <w:szCs w:val="32"/>
        </w:rPr>
      </w:pPr>
      <w:r>
        <w:rPr>
          <w:rFonts w:ascii="楷体_GB2312" w:hAnsi="楷体_GB2312" w:eastAsia="楷体_GB2312" w:cs="楷体_GB2312"/>
          <w:color w:val="000000" w:themeColor="text1"/>
          <w:sz w:val="32"/>
          <w:szCs w:val="32"/>
        </w:rPr>
        <w:t>（五）就业援助</w:t>
      </w:r>
    </w:p>
    <w:p>
      <w:pPr>
        <w:shd w:val="clear" w:color="auto" w:fill="FFFFFF"/>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申请认定为就业困难人员的退役军人</w:t>
      </w:r>
      <w:r>
        <w:rPr>
          <w:rFonts w:ascii="仿宋_GB2312" w:hAnsi="仿宋_GB2312" w:eastAsia="仿宋_GB2312" w:cs="仿宋_GB2312"/>
          <w:color w:val="000000" w:themeColor="text1"/>
          <w:sz w:val="32"/>
          <w:szCs w:val="32"/>
        </w:rPr>
        <w:t>，实现灵活就业</w:t>
      </w:r>
      <w:r>
        <w:rPr>
          <w:rFonts w:hint="eastAsia" w:ascii="仿宋_GB2312" w:hAnsi="仿宋_GB2312" w:eastAsia="仿宋_GB2312" w:cs="仿宋_GB2312"/>
          <w:color w:val="000000" w:themeColor="text1"/>
          <w:sz w:val="32"/>
          <w:szCs w:val="32"/>
        </w:rPr>
        <w:t>或自主创业、依法缴纳</w:t>
      </w:r>
      <w:r>
        <w:rPr>
          <w:rFonts w:ascii="仿宋_GB2312" w:hAnsi="仿宋_GB2312" w:eastAsia="仿宋_GB2312" w:cs="仿宋_GB2312"/>
          <w:color w:val="000000" w:themeColor="text1"/>
          <w:sz w:val="32"/>
          <w:szCs w:val="32"/>
        </w:rPr>
        <w:t>社会保险费</w:t>
      </w:r>
      <w:r>
        <w:rPr>
          <w:rFonts w:hint="eastAsia" w:ascii="仿宋_GB2312" w:hAnsi="仿宋_GB2312" w:eastAsia="仿宋_GB2312" w:cs="仿宋_GB2312"/>
          <w:color w:val="000000" w:themeColor="text1"/>
          <w:sz w:val="32"/>
          <w:szCs w:val="32"/>
        </w:rPr>
        <w:t>并符合相关条件的，按规定</w:t>
      </w:r>
      <w:r>
        <w:rPr>
          <w:rFonts w:ascii="仿宋_GB2312" w:hAnsi="仿宋_GB2312" w:eastAsia="仿宋_GB2312" w:cs="仿宋_GB2312"/>
          <w:color w:val="000000" w:themeColor="text1"/>
          <w:sz w:val="32"/>
          <w:szCs w:val="32"/>
        </w:rPr>
        <w:t>给予</w:t>
      </w:r>
      <w:r>
        <w:rPr>
          <w:rFonts w:hint="eastAsia" w:ascii="仿宋_GB2312" w:hAnsi="仿宋_GB2312" w:eastAsia="仿宋_GB2312" w:cs="仿宋_GB2312"/>
          <w:color w:val="000000" w:themeColor="text1"/>
          <w:sz w:val="32"/>
          <w:szCs w:val="32"/>
        </w:rPr>
        <w:t>个人</w:t>
      </w:r>
      <w:r>
        <w:rPr>
          <w:rFonts w:ascii="仿宋_GB2312" w:hAnsi="仿宋_GB2312" w:eastAsia="仿宋_GB2312" w:cs="仿宋_GB2312"/>
          <w:color w:val="000000" w:themeColor="text1"/>
          <w:sz w:val="32"/>
          <w:szCs w:val="32"/>
        </w:rPr>
        <w:t>社保补贴；</w:t>
      </w:r>
      <w:r>
        <w:rPr>
          <w:rFonts w:hint="eastAsia" w:ascii="仿宋_GB2312" w:hAnsi="仿宋_GB2312" w:eastAsia="仿宋_GB2312" w:cs="仿宋_GB2312"/>
          <w:color w:val="000000" w:themeColor="text1"/>
          <w:sz w:val="32"/>
          <w:szCs w:val="32"/>
        </w:rPr>
        <w:t>被</w:t>
      </w:r>
      <w:r>
        <w:rPr>
          <w:rFonts w:ascii="仿宋_GB2312" w:hAnsi="仿宋_GB2312" w:eastAsia="仿宋_GB2312" w:cs="仿宋_GB2312"/>
          <w:color w:val="000000" w:themeColor="text1"/>
          <w:sz w:val="32"/>
          <w:szCs w:val="32"/>
        </w:rPr>
        <w:t>单位</w:t>
      </w:r>
      <w:r>
        <w:rPr>
          <w:rFonts w:hint="eastAsia" w:ascii="仿宋_GB2312" w:hAnsi="仿宋_GB2312" w:eastAsia="仿宋_GB2312" w:cs="仿宋_GB2312"/>
          <w:color w:val="000000" w:themeColor="text1"/>
          <w:sz w:val="32"/>
          <w:szCs w:val="32"/>
        </w:rPr>
        <w:t>招用</w:t>
      </w:r>
      <w:r>
        <w:rPr>
          <w:rFonts w:ascii="仿宋_GB2312" w:hAnsi="仿宋_GB2312" w:eastAsia="仿宋_GB2312" w:cs="仿宋_GB2312"/>
          <w:color w:val="000000" w:themeColor="text1"/>
          <w:sz w:val="32"/>
          <w:szCs w:val="32"/>
        </w:rPr>
        <w:t>的，按规定给予用人单位社保补贴</w:t>
      </w:r>
      <w:r>
        <w:rPr>
          <w:rFonts w:hint="eastAsia" w:ascii="仿宋_GB2312" w:hAnsi="仿宋_GB2312" w:eastAsia="仿宋_GB2312" w:cs="仿宋_GB2312"/>
          <w:color w:val="000000" w:themeColor="text1"/>
          <w:sz w:val="32"/>
          <w:szCs w:val="32"/>
        </w:rPr>
        <w:t>；符合公益性岗位上岗条件的，可</w:t>
      </w:r>
      <w:r>
        <w:rPr>
          <w:rFonts w:ascii="仿宋_GB2312" w:hAnsi="仿宋_GB2312" w:eastAsia="仿宋_GB2312" w:cs="仿宋_GB2312"/>
          <w:color w:val="000000" w:themeColor="text1"/>
          <w:sz w:val="32"/>
          <w:szCs w:val="32"/>
        </w:rPr>
        <w:t>通过公益性岗位</w:t>
      </w:r>
      <w:r>
        <w:rPr>
          <w:rFonts w:hint="eastAsia" w:ascii="仿宋_GB2312" w:hAnsi="仿宋_GB2312" w:eastAsia="仿宋_GB2312" w:cs="仿宋_GB2312"/>
          <w:color w:val="000000" w:themeColor="text1"/>
          <w:sz w:val="32"/>
          <w:szCs w:val="32"/>
        </w:rPr>
        <w:t>兜底</w:t>
      </w:r>
      <w:r>
        <w:rPr>
          <w:rFonts w:ascii="仿宋_GB2312" w:hAnsi="仿宋_GB2312" w:eastAsia="仿宋_GB2312" w:cs="仿宋_GB2312"/>
          <w:color w:val="000000" w:themeColor="text1"/>
          <w:sz w:val="32"/>
          <w:szCs w:val="32"/>
        </w:rPr>
        <w:t>帮扶。全日制公益性岗位工资不得低于当地最低工资标准。</w:t>
      </w:r>
    </w:p>
    <w:p>
      <w:pPr>
        <w:shd w:val="clear" w:color="auto" w:fill="FFFFFF"/>
        <w:adjustRightInd w:val="0"/>
        <w:snapToGrid w:val="0"/>
        <w:spacing w:line="560" w:lineRule="exact"/>
        <w:ind w:firstLine="640" w:firstLineChars="200"/>
        <w:rPr>
          <w:rFonts w:ascii="楷体_GB2312" w:hAnsi="楷体_GB2312" w:eastAsia="楷体_GB2312" w:cs="楷体_GB2312"/>
          <w:color w:val="000000" w:themeColor="text1"/>
          <w:sz w:val="32"/>
          <w:szCs w:val="32"/>
        </w:rPr>
      </w:pPr>
      <w:r>
        <w:rPr>
          <w:rFonts w:ascii="楷体_GB2312" w:hAnsi="楷体_GB2312" w:eastAsia="楷体_GB2312" w:cs="楷体_GB2312"/>
          <w:color w:val="000000" w:themeColor="text1"/>
          <w:sz w:val="32"/>
          <w:szCs w:val="32"/>
        </w:rPr>
        <w:t>（六）其它临时性援助</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对因遭遇自然灾害、火灾事故、交通事故、人身伤害</w:t>
      </w:r>
      <w:r>
        <w:rPr>
          <w:rFonts w:hint="eastAsia" w:ascii="仿宋_GB2312" w:hAnsi="仿宋_GB2312" w:eastAsia="仿宋_GB2312" w:cs="仿宋_GB2312"/>
          <w:color w:val="000000" w:themeColor="text1"/>
          <w:sz w:val="32"/>
          <w:szCs w:val="32"/>
        </w:rPr>
        <w:t>及重大疾病</w:t>
      </w:r>
      <w:r>
        <w:rPr>
          <w:rFonts w:ascii="仿宋_GB2312" w:hAnsi="仿宋_GB2312" w:eastAsia="仿宋_GB2312" w:cs="仿宋_GB2312"/>
          <w:color w:val="000000" w:themeColor="text1"/>
          <w:sz w:val="32"/>
          <w:szCs w:val="32"/>
        </w:rPr>
        <w:t>等原因，导致基本生活暂时出现严重困难的</w:t>
      </w:r>
      <w:r>
        <w:rPr>
          <w:rFonts w:hint="eastAsia" w:ascii="仿宋_GB2312" w:hAnsi="仿宋_GB2312" w:eastAsia="仿宋_GB2312" w:cs="仿宋_GB2312"/>
          <w:color w:val="000000" w:themeColor="text1"/>
          <w:sz w:val="32"/>
          <w:szCs w:val="32"/>
        </w:rPr>
        <w:t>退役军人、“三属”，</w:t>
      </w:r>
      <w:r>
        <w:rPr>
          <w:rFonts w:ascii="仿宋_GB2312" w:hAnsi="仿宋_GB2312" w:eastAsia="仿宋_GB2312" w:cs="仿宋_GB2312"/>
          <w:color w:val="000000" w:themeColor="text1"/>
          <w:sz w:val="32"/>
          <w:szCs w:val="32"/>
        </w:rPr>
        <w:t>在落实社会救助保障基础上，</w:t>
      </w:r>
      <w:r>
        <w:rPr>
          <w:rFonts w:hint="eastAsia" w:ascii="仿宋_GB2312" w:hAnsi="仿宋_GB2312" w:eastAsia="仿宋_GB2312" w:cs="仿宋_GB2312"/>
          <w:color w:val="000000" w:themeColor="text1"/>
          <w:sz w:val="32"/>
          <w:szCs w:val="32"/>
        </w:rPr>
        <w:t>给予其不低于</w:t>
      </w:r>
      <w:r>
        <w:rPr>
          <w:rFonts w:ascii="仿宋_GB2312" w:hAnsi="仿宋_GB2312" w:eastAsia="仿宋_GB2312" w:cs="仿宋_GB2312"/>
          <w:color w:val="000000" w:themeColor="text1"/>
          <w:sz w:val="32"/>
          <w:szCs w:val="32"/>
        </w:rPr>
        <w:t>社会救助保障</w:t>
      </w:r>
      <w:r>
        <w:rPr>
          <w:rFonts w:hint="eastAsia" w:ascii="仿宋_GB2312" w:hAnsi="仿宋_GB2312" w:eastAsia="仿宋_GB2312" w:cs="仿宋_GB2312"/>
          <w:color w:val="000000" w:themeColor="text1"/>
          <w:sz w:val="32"/>
          <w:szCs w:val="32"/>
        </w:rPr>
        <w:t>金额的30%的一次性援助。</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因参与突发公共事件等应急处置工作殉职的退役军人，以及因战、因公牺牲的现役军人，给予其遗属</w:t>
      </w:r>
      <w:r>
        <w:rPr>
          <w:rFonts w:hint="eastAsia" w:ascii="仿宋_GB2312" w:hAnsi="仿宋_GB2312" w:eastAsia="仿宋_GB2312" w:cs="仿宋_GB2312"/>
          <w:color w:val="000000" w:themeColor="text1"/>
          <w:sz w:val="32"/>
          <w:szCs w:val="32"/>
        </w:rPr>
        <w:t>不低于1万元的</w:t>
      </w:r>
      <w:r>
        <w:rPr>
          <w:rFonts w:ascii="仿宋_GB2312" w:hAnsi="仿宋_GB2312" w:eastAsia="仿宋_GB2312" w:cs="仿宋_GB2312"/>
          <w:color w:val="000000" w:themeColor="text1"/>
          <w:sz w:val="32"/>
          <w:szCs w:val="32"/>
        </w:rPr>
        <w:t>一次性</w:t>
      </w:r>
      <w:r>
        <w:rPr>
          <w:rFonts w:hint="eastAsia" w:ascii="仿宋_GB2312" w:hAnsi="仿宋_GB2312" w:eastAsia="仿宋_GB2312" w:cs="仿宋_GB2312"/>
          <w:color w:val="000000" w:themeColor="text1"/>
          <w:sz w:val="32"/>
          <w:szCs w:val="32"/>
        </w:rPr>
        <w:t>援</w:t>
      </w:r>
      <w:r>
        <w:rPr>
          <w:rFonts w:ascii="仿宋_GB2312" w:hAnsi="仿宋_GB2312" w:eastAsia="仿宋_GB2312" w:cs="仿宋_GB2312"/>
          <w:color w:val="000000" w:themeColor="text1"/>
          <w:sz w:val="32"/>
          <w:szCs w:val="32"/>
        </w:rPr>
        <w:t>助。</w:t>
      </w:r>
    </w:p>
    <w:p>
      <w:pPr>
        <w:shd w:val="clear" w:color="auto" w:fill="FFFFFF"/>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区</w:t>
      </w:r>
      <w:r>
        <w:rPr>
          <w:rFonts w:ascii="仿宋_GB2312" w:hAnsi="仿宋_GB2312" w:eastAsia="仿宋_GB2312" w:cs="仿宋_GB2312"/>
          <w:color w:val="000000" w:themeColor="text1"/>
          <w:sz w:val="32"/>
          <w:szCs w:val="32"/>
        </w:rPr>
        <w:t>级以上表彰奖励获得者以及</w:t>
      </w:r>
      <w:r>
        <w:rPr>
          <w:rFonts w:hint="eastAsia" w:ascii="仿宋_GB2312" w:hAnsi="仿宋_GB2312" w:eastAsia="仿宋_GB2312" w:cs="仿宋_GB2312"/>
          <w:color w:val="000000" w:themeColor="text1"/>
          <w:sz w:val="32"/>
          <w:szCs w:val="32"/>
        </w:rPr>
        <w:t>区</w:t>
      </w:r>
      <w:r>
        <w:rPr>
          <w:rFonts w:ascii="仿宋_GB2312" w:hAnsi="仿宋_GB2312" w:eastAsia="仿宋_GB2312" w:cs="仿宋_GB2312"/>
          <w:color w:val="000000" w:themeColor="text1"/>
          <w:sz w:val="32"/>
          <w:szCs w:val="32"/>
        </w:rPr>
        <w:t>级人民政府规定的其他困难对象，家庭出现重大变故导致困难，</w:t>
      </w:r>
      <w:r>
        <w:rPr>
          <w:rFonts w:hint="eastAsia" w:ascii="仿宋_GB2312" w:hAnsi="仿宋_GB2312" w:eastAsia="仿宋_GB2312" w:cs="仿宋_GB2312"/>
          <w:color w:val="000000" w:themeColor="text1"/>
          <w:sz w:val="32"/>
          <w:szCs w:val="32"/>
        </w:rPr>
        <w:t>需要给予帮扶援助的，给予不低于3000元的一次性援助。</w:t>
      </w:r>
    </w:p>
    <w:p>
      <w:pPr>
        <w:pStyle w:val="2"/>
        <w:spacing w:before="0" w:after="0" w:line="560" w:lineRule="exact"/>
        <w:ind w:firstLine="640" w:firstLineChars="200"/>
        <w:rPr>
          <w:rFonts w:ascii="楷体_GB2312" w:hAnsi="楷体_GB2312" w:eastAsia="楷体_GB2312" w:cs="楷体_GB2312"/>
          <w:color w:val="000000" w:themeColor="text1"/>
          <w:szCs w:val="32"/>
        </w:rPr>
      </w:pPr>
      <w:r>
        <w:rPr>
          <w:rFonts w:ascii="楷体_GB2312" w:hAnsi="楷体_GB2312" w:eastAsia="楷体_GB2312" w:cs="楷体_GB2312"/>
          <w:color w:val="000000" w:themeColor="text1"/>
          <w:szCs w:val="32"/>
        </w:rPr>
        <w:t>（七）社会化援助</w:t>
      </w:r>
    </w:p>
    <w:p>
      <w:pPr>
        <w:pStyle w:val="2"/>
        <w:spacing w:before="0" w:after="0" w:line="560" w:lineRule="exact"/>
        <w:ind w:firstLine="640" w:firstLineChars="200"/>
        <w:rPr>
          <w:rFonts w:ascii="仿宋_GB2312" w:hAnsi="仿宋_GB2312" w:cs="仿宋_GB2312"/>
          <w:color w:val="000000" w:themeColor="text1"/>
          <w:szCs w:val="32"/>
        </w:rPr>
      </w:pPr>
      <w:r>
        <w:rPr>
          <w:rFonts w:ascii="仿宋_GB2312" w:hAnsi="仿宋_GB2312" w:cs="仿宋_GB2312"/>
          <w:color w:val="000000" w:themeColor="text1"/>
          <w:szCs w:val="32"/>
        </w:rPr>
        <w:t>鼓励和引导慈善组织、社会工作服务机构、企业等社会力量，通过纳入慈善项目、发动社会募捐、提供专业服务、开展志愿服务等形式，以及通过政府购买服务等有效途径，提供照料护理、社会融入、能力提升、就业指导、心理疏导、法律援助等《</w:t>
      </w:r>
      <w:r>
        <w:rPr>
          <w:rFonts w:hint="eastAsia" w:ascii="仿宋_GB2312" w:hAnsi="仿宋_GB2312" w:cs="仿宋_GB2312"/>
          <w:color w:val="000000" w:themeColor="text1"/>
          <w:szCs w:val="32"/>
        </w:rPr>
        <w:t>杭州市</w:t>
      </w:r>
      <w:r>
        <w:rPr>
          <w:rFonts w:ascii="仿宋_GB2312" w:hAnsi="仿宋_GB2312" w:cs="仿宋_GB2312"/>
          <w:color w:val="000000" w:themeColor="text1"/>
          <w:szCs w:val="32"/>
        </w:rPr>
        <w:t>政府向社会力量购买服务指导目录</w:t>
      </w:r>
      <w:r>
        <w:rPr>
          <w:rFonts w:hint="eastAsia" w:ascii="仿宋_GB2312" w:hAnsi="仿宋_GB2312" w:cs="仿宋_GB2312"/>
          <w:color w:val="000000" w:themeColor="text1"/>
          <w:szCs w:val="32"/>
        </w:rPr>
        <w:t>（2020版）</w:t>
      </w:r>
      <w:r>
        <w:rPr>
          <w:rFonts w:ascii="仿宋_GB2312" w:hAnsi="仿宋_GB2312" w:cs="仿宋_GB2312"/>
          <w:color w:val="000000" w:themeColor="text1"/>
          <w:szCs w:val="32"/>
        </w:rPr>
        <w:t>》规定的服务项目，给予多元化、个性化帮扶援助。</w:t>
      </w:r>
    </w:p>
    <w:p>
      <w:pPr>
        <w:adjustRightInd w:val="0"/>
        <w:snapToGrid w:val="0"/>
        <w:spacing w:line="560" w:lineRule="exact"/>
        <w:ind w:firstLine="640"/>
        <w:rPr>
          <w:rFonts w:ascii="黑体" w:hAnsi="黑体" w:eastAsia="黑体" w:cs="仿宋_GB2312"/>
          <w:snapToGrid w:val="0"/>
          <w:color w:val="000000" w:themeColor="text1"/>
          <w:sz w:val="32"/>
          <w:szCs w:val="32"/>
        </w:rPr>
      </w:pPr>
      <w:r>
        <w:rPr>
          <w:rFonts w:hint="eastAsia" w:ascii="黑体" w:hAnsi="黑体" w:eastAsia="黑体" w:cs="仿宋_GB2312"/>
          <w:snapToGrid w:val="0"/>
          <w:color w:val="000000" w:themeColor="text1"/>
          <w:sz w:val="32"/>
          <w:szCs w:val="32"/>
        </w:rPr>
        <w:t>六、救助流程</w:t>
      </w:r>
    </w:p>
    <w:p>
      <w:pPr>
        <w:shd w:val="clear" w:color="auto" w:fill="FFFFFF"/>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帮扶援助工作实行一事一批，按照个人申请、街道审核、区级审批的流程办理，做到公正公开，</w:t>
      </w:r>
      <w:r>
        <w:rPr>
          <w:rFonts w:ascii="仿宋_GB2312" w:hAnsi="仿宋_GB2312" w:eastAsia="仿宋_GB2312" w:cs="仿宋_GB2312"/>
          <w:color w:val="000000" w:themeColor="text1"/>
          <w:sz w:val="32"/>
          <w:szCs w:val="32"/>
        </w:rPr>
        <w:t>接受社会监督。</w:t>
      </w:r>
    </w:p>
    <w:p>
      <w:pPr>
        <w:shd w:val="clear" w:color="auto" w:fill="FFFFFF"/>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楷体_GB2312" w:hAnsi="仿宋_GB2312" w:eastAsia="楷体_GB2312" w:cs="仿宋_GB2312"/>
          <w:snapToGrid w:val="0"/>
          <w:color w:val="000000" w:themeColor="text1"/>
          <w:sz w:val="32"/>
          <w:szCs w:val="32"/>
        </w:rPr>
        <w:t>（一）申请。</w:t>
      </w:r>
      <w:r>
        <w:rPr>
          <w:rFonts w:hint="eastAsia" w:ascii="仿宋_GB2312" w:hAnsi="仿宋_GB2312" w:eastAsia="仿宋_GB2312" w:cs="仿宋_GB2312"/>
          <w:color w:val="000000" w:themeColor="text1"/>
          <w:sz w:val="32"/>
          <w:szCs w:val="32"/>
        </w:rPr>
        <w:t>符合条件的帮扶援助对象向所在街道退役军人服务站提交申请，申请时应当提供本人身份证件、困难帮扶援助申请表，同意并授权有关部门对其家庭经济状况进行调查核实。也可委托监护人、代办员或社区退役军人服务站代为申请。</w:t>
      </w:r>
    </w:p>
    <w:p>
      <w:pPr>
        <w:spacing w:line="560" w:lineRule="exact"/>
        <w:ind w:firstLine="640" w:firstLineChars="200"/>
        <w:rPr>
          <w:rFonts w:ascii="仿宋_GB2312" w:hAnsi="仿宋_GB2312" w:eastAsia="仿宋_GB2312" w:cs="仿宋_GB2312"/>
          <w:snapToGrid w:val="0"/>
          <w:color w:val="000000" w:themeColor="text1"/>
          <w:sz w:val="32"/>
          <w:szCs w:val="32"/>
        </w:rPr>
      </w:pPr>
      <w:r>
        <w:rPr>
          <w:rFonts w:hint="eastAsia" w:ascii="楷体_GB2312" w:hAnsi="仿宋_GB2312" w:eastAsia="楷体_GB2312" w:cs="仿宋_GB2312"/>
          <w:snapToGrid w:val="0"/>
          <w:color w:val="000000" w:themeColor="text1"/>
          <w:sz w:val="32"/>
          <w:szCs w:val="32"/>
        </w:rPr>
        <w:t>（二）审核。</w:t>
      </w:r>
      <w:r>
        <w:rPr>
          <w:rFonts w:hint="eastAsia" w:ascii="仿宋_GB2312" w:hAnsi="仿宋_GB2312" w:eastAsia="仿宋_GB2312" w:cs="仿宋_GB2312"/>
          <w:snapToGrid w:val="0"/>
          <w:color w:val="000000" w:themeColor="text1"/>
          <w:sz w:val="32"/>
          <w:szCs w:val="32"/>
        </w:rPr>
        <w:t>街道退役军人服务站自收到申请之日起5个工作日内，通过信息核对、入户调查等方式，对申请人家庭困难情形和程度进行调查核实，由街道办事处提出审核意见，报区退役军人事务部门审批。</w:t>
      </w:r>
    </w:p>
    <w:p>
      <w:pPr>
        <w:spacing w:line="560" w:lineRule="exact"/>
        <w:ind w:firstLine="640" w:firstLineChars="200"/>
        <w:rPr>
          <w:rFonts w:ascii="仿宋_GB2312" w:hAnsi="仿宋_GB2312" w:eastAsia="仿宋_GB2312" w:cs="仿宋_GB2312"/>
          <w:snapToGrid w:val="0"/>
          <w:color w:val="000000" w:themeColor="text1"/>
          <w:sz w:val="32"/>
          <w:szCs w:val="32"/>
        </w:rPr>
      </w:pPr>
      <w:r>
        <w:rPr>
          <w:rFonts w:hint="eastAsia" w:ascii="楷体_GB2312" w:hAnsi="仿宋_GB2312" w:eastAsia="楷体_GB2312" w:cs="仿宋_GB2312"/>
          <w:snapToGrid w:val="0"/>
          <w:color w:val="000000" w:themeColor="text1"/>
          <w:sz w:val="32"/>
          <w:szCs w:val="32"/>
        </w:rPr>
        <w:t>（三）审批。</w:t>
      </w:r>
      <w:r>
        <w:rPr>
          <w:rFonts w:hint="eastAsia" w:ascii="仿宋_GB2312" w:hAnsi="仿宋_GB2312" w:eastAsia="仿宋_GB2312" w:cs="仿宋_GB2312"/>
          <w:snapToGrid w:val="0"/>
          <w:color w:val="000000" w:themeColor="text1"/>
          <w:sz w:val="32"/>
          <w:szCs w:val="32"/>
        </w:rPr>
        <w:t>区退役军人事务部门收到初审意见后，可委托同级退役军人服务中心对申请人开展复查，在5个工作日内作出审批决定。符合条件的予以批准，视情况在申请人所在社区公布；不符合条件的不予批准，并书面说明理由。申请人对审批结果有异议的，可向区人民政府或市退役军人事务部门申请复核。</w:t>
      </w:r>
    </w:p>
    <w:p>
      <w:pPr>
        <w:spacing w:line="560" w:lineRule="exact"/>
        <w:ind w:firstLine="640" w:firstLineChars="200"/>
        <w:rPr>
          <w:rFonts w:ascii="仿宋_GB2312" w:hAnsi="仿宋_GB2312" w:eastAsia="仿宋_GB2312" w:cs="仿宋_GB2312"/>
          <w:snapToGrid w:val="0"/>
          <w:color w:val="000000" w:themeColor="text1"/>
          <w:sz w:val="32"/>
          <w:szCs w:val="32"/>
        </w:rPr>
      </w:pPr>
      <w:r>
        <w:rPr>
          <w:rFonts w:hint="eastAsia" w:ascii="仿宋_GB2312" w:hAnsi="仿宋_GB2312" w:eastAsia="仿宋_GB2312" w:cs="仿宋_GB2312"/>
          <w:snapToGrid w:val="0"/>
          <w:color w:val="000000" w:themeColor="text1"/>
          <w:sz w:val="32"/>
          <w:szCs w:val="32"/>
        </w:rPr>
        <w:t>紧急情况时，可先行帮扶援助，事后再补齐审核审批手续。</w:t>
      </w:r>
    </w:p>
    <w:p>
      <w:pPr>
        <w:spacing w:line="560" w:lineRule="exact"/>
        <w:ind w:firstLine="640" w:firstLineChars="200"/>
        <w:rPr>
          <w:rFonts w:ascii="仿宋_GB2312" w:hAnsi="仿宋_GB2312" w:eastAsia="仿宋_GB2312" w:cs="仿宋_GB2312"/>
          <w:snapToGrid w:val="0"/>
          <w:color w:val="000000" w:themeColor="text1"/>
          <w:sz w:val="32"/>
          <w:szCs w:val="32"/>
        </w:rPr>
      </w:pPr>
      <w:r>
        <w:rPr>
          <w:rFonts w:hint="eastAsia" w:ascii="仿宋_GB2312" w:hAnsi="仿宋_GB2312" w:eastAsia="仿宋_GB2312" w:cs="仿宋_GB2312"/>
          <w:snapToGrid w:val="0"/>
          <w:color w:val="000000" w:themeColor="text1"/>
          <w:sz w:val="32"/>
          <w:szCs w:val="32"/>
        </w:rPr>
        <w:t>困难退役军人生活、医疗、住房、教育、就业等援助工作，有现行规定程序的按现行规定程序及渠道办理，无现行规定程序的由退役军人事务部门负责办理，各有关部门积极配合。其他临时性援助工作由区退役军人事务部门负责办理，退役军人服务中心（站）给予积极协助。</w:t>
      </w:r>
    </w:p>
    <w:p>
      <w:pPr>
        <w:pStyle w:val="17"/>
        <w:shd w:val="clear" w:color="auto" w:fill="FFFFFF"/>
        <w:adjustRightInd w:val="0"/>
        <w:snapToGrid w:val="0"/>
        <w:spacing w:line="560" w:lineRule="exact"/>
        <w:ind w:firstLine="640"/>
        <w:rPr>
          <w:rFonts w:ascii="黑体" w:hAnsi="黑体" w:eastAsia="黑体" w:cs="仿宋_GB2312"/>
          <w:snapToGrid w:val="0"/>
          <w:color w:val="000000" w:themeColor="text1"/>
          <w:szCs w:val="32"/>
        </w:rPr>
      </w:pPr>
      <w:r>
        <w:rPr>
          <w:rFonts w:hint="eastAsia" w:ascii="黑体" w:hAnsi="黑体" w:eastAsia="黑体" w:cs="仿宋_GB2312"/>
          <w:snapToGrid w:val="0"/>
          <w:color w:val="000000" w:themeColor="text1"/>
          <w:szCs w:val="32"/>
        </w:rPr>
        <w:t>七、组织保障</w:t>
      </w:r>
    </w:p>
    <w:p>
      <w:pPr>
        <w:shd w:val="clear" w:color="auto" w:fill="FFFFFF"/>
        <w:adjustRightInd w:val="0"/>
        <w:snapToGrid w:val="0"/>
        <w:spacing w:line="560" w:lineRule="exact"/>
        <w:ind w:firstLine="640" w:firstLineChars="200"/>
        <w:rPr>
          <w:rFonts w:eastAsia="仿宋_GB2312"/>
          <w:color w:val="000000" w:themeColor="text1"/>
          <w:kern w:val="0"/>
          <w:sz w:val="32"/>
          <w:szCs w:val="32"/>
        </w:rPr>
      </w:pPr>
      <w:r>
        <w:rPr>
          <w:rFonts w:hint="eastAsia" w:ascii="Times New Roman" w:hAnsi="Times New Roman" w:eastAsia="楷体_GB2312" w:cs="Times New Roman"/>
          <w:color w:val="000000" w:themeColor="text1"/>
          <w:sz w:val="32"/>
          <w:szCs w:val="32"/>
        </w:rPr>
        <w:t>（一）</w:t>
      </w:r>
      <w:r>
        <w:rPr>
          <w:rFonts w:ascii="Times New Roman" w:hAnsi="Times New Roman" w:eastAsia="楷体_GB2312" w:cs="Times New Roman"/>
          <w:color w:val="000000" w:themeColor="text1"/>
          <w:sz w:val="32"/>
          <w:szCs w:val="32"/>
        </w:rPr>
        <w:t>加强组织领导。</w:t>
      </w:r>
      <w:r>
        <w:rPr>
          <w:rFonts w:hint="eastAsia" w:ascii="仿宋_GB2312" w:hAnsi="仿宋_GB2312" w:eastAsia="仿宋_GB2312" w:cs="仿宋_GB2312"/>
          <w:snapToGrid w:val="0"/>
          <w:color w:val="000000" w:themeColor="text1"/>
          <w:sz w:val="32"/>
          <w:szCs w:val="32"/>
        </w:rPr>
        <w:t>要统一思想认识，提高政治站位，坚持把加强困难退役军人帮扶援助工作作为区委、区政府关心关爱退役军人的重要举措。各级各有关部门要明确工作责任，退役军人事务部门负责统筹协调、组织实施、跟踪问效以及临时性援助等工作</w:t>
      </w:r>
      <w:r>
        <w:rPr>
          <w:rFonts w:hint="eastAsia" w:eastAsia="仿宋_GB2312"/>
          <w:color w:val="000000" w:themeColor="text1"/>
          <w:kern w:val="0"/>
          <w:sz w:val="32"/>
          <w:szCs w:val="32"/>
        </w:rPr>
        <w:t>；教育、民政、财政、人社、住建等部门各司其职、密切配合，凝聚共同做好退役军人帮扶援助工作的合力。</w:t>
      </w:r>
    </w:p>
    <w:p>
      <w:pPr>
        <w:spacing w:line="560" w:lineRule="exact"/>
        <w:ind w:firstLine="630"/>
        <w:rPr>
          <w:rFonts w:eastAsia="仿宋_GB2312"/>
          <w:color w:val="000000" w:themeColor="text1"/>
          <w:kern w:val="0"/>
          <w:sz w:val="32"/>
          <w:szCs w:val="32"/>
        </w:rPr>
      </w:pPr>
      <w:r>
        <w:rPr>
          <w:rFonts w:hint="eastAsia" w:ascii="Times New Roman" w:hAnsi="Times New Roman" w:eastAsia="楷体_GB2312" w:cs="Times New Roman"/>
          <w:color w:val="000000" w:themeColor="text1"/>
          <w:sz w:val="32"/>
          <w:szCs w:val="32"/>
        </w:rPr>
        <w:t>（二）加强服务保障。</w:t>
      </w:r>
      <w:r>
        <w:rPr>
          <w:rFonts w:hint="eastAsia" w:eastAsia="仿宋_GB2312"/>
          <w:color w:val="000000" w:themeColor="text1"/>
          <w:kern w:val="0"/>
          <w:sz w:val="32"/>
          <w:szCs w:val="32"/>
        </w:rPr>
        <w:t>要将困难退役军人帮扶援助所需资金列入财政预算予以保障。</w:t>
      </w:r>
      <w:r>
        <w:rPr>
          <w:rFonts w:hint="eastAsia" w:ascii="仿宋_GB2312" w:hAnsi="仿宋_GB2312" w:eastAsia="仿宋_GB2312" w:cs="仿宋_GB2312"/>
          <w:color w:val="000000" w:themeColor="text1"/>
          <w:sz w:val="32"/>
          <w:szCs w:val="32"/>
        </w:rPr>
        <w:t>有条件的街道</w:t>
      </w:r>
      <w:r>
        <w:rPr>
          <w:rFonts w:hint="eastAsia" w:eastAsia="仿宋_GB2312"/>
          <w:color w:val="000000" w:themeColor="text1"/>
          <w:kern w:val="0"/>
          <w:sz w:val="32"/>
          <w:szCs w:val="32"/>
        </w:rPr>
        <w:t>可设立困难退役军人关爱帮扶基金，鼓励通过社会捐赠等多种方式筹集资金，拓展资金保障渠道。各街道要认真排摸困难退役军人底数，建立规范管理制度，准确掌握困难情况，及时有序做好动态调整工作。依托家庭经济状况信息核对系统，实现信息互联互通、资源共享。</w:t>
      </w:r>
    </w:p>
    <w:p>
      <w:pPr>
        <w:spacing w:line="560" w:lineRule="exact"/>
        <w:ind w:firstLine="630"/>
        <w:rPr>
          <w:color w:val="000000" w:themeColor="text1"/>
        </w:rPr>
      </w:pPr>
      <w:r>
        <w:rPr>
          <w:rFonts w:hint="eastAsia" w:ascii="Times New Roman" w:hAnsi="Times New Roman" w:eastAsia="楷体_GB2312" w:cs="Times New Roman"/>
          <w:color w:val="000000" w:themeColor="text1"/>
          <w:sz w:val="32"/>
          <w:szCs w:val="32"/>
        </w:rPr>
        <w:t>（三）做好宣传引导。</w:t>
      </w:r>
      <w:r>
        <w:rPr>
          <w:rFonts w:hint="eastAsia" w:eastAsia="仿宋_GB2312"/>
          <w:color w:val="000000" w:themeColor="text1"/>
          <w:kern w:val="0"/>
          <w:sz w:val="32"/>
          <w:szCs w:val="32"/>
        </w:rPr>
        <w:t>要充分运用报刊、网络、电视、走访等多种形式，大力宣传党和政府关心关爱困难退役军人的政策措施，充分调动社会力量，参与困难退役军人帮扶援助工作。加强退役军人思想教育，引导他们正确对待生活中遇到的困难和问题，提振信心，共创美好生活。</w:t>
      </w:r>
    </w:p>
    <w:p>
      <w:pPr>
        <w:spacing w:line="560" w:lineRule="exact"/>
        <w:ind w:firstLine="630"/>
        <w:rPr>
          <w:rFonts w:eastAsia="仿宋_GB2312"/>
          <w:color w:val="000000" w:themeColor="text1"/>
          <w:kern w:val="0"/>
          <w:sz w:val="32"/>
          <w:szCs w:val="32"/>
        </w:rPr>
      </w:pPr>
      <w:r>
        <w:rPr>
          <w:rFonts w:hint="eastAsia" w:ascii="Times New Roman" w:hAnsi="Times New Roman" w:eastAsia="楷体_GB2312" w:cs="Times New Roman"/>
          <w:color w:val="000000" w:themeColor="text1"/>
          <w:sz w:val="32"/>
          <w:szCs w:val="32"/>
        </w:rPr>
        <w:t>（四）加强监督检查。</w:t>
      </w:r>
      <w:r>
        <w:rPr>
          <w:rFonts w:hint="eastAsia" w:eastAsia="仿宋_GB2312"/>
          <w:color w:val="000000" w:themeColor="text1"/>
          <w:kern w:val="0"/>
          <w:sz w:val="32"/>
          <w:szCs w:val="32"/>
        </w:rPr>
        <w:t>要加强对帮扶援助资金管理使用情况的监督，开展绩效评估，提高资金使用效率。建立健全责任追究制度，严肃查处在资金管理、使用方面的违纪违法行为。依法开展帮扶援助，困难对象认定的条件、程序、保障标准以及资金使用等情况，应当按有关规定向社会公示，接受社会监督。</w:t>
      </w:r>
    </w:p>
    <w:p>
      <w:pPr>
        <w:spacing w:line="560" w:lineRule="exact"/>
        <w:ind w:firstLine="63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本实施方案由区退役军人事务局会同区相关部门负责解释，本方案中规定的帮扶援助措施及标准从2021年1月1日开始执行。</w:t>
      </w:r>
    </w:p>
    <w:p>
      <w:pPr>
        <w:autoSpaceDE w:val="0"/>
        <w:autoSpaceDN w:val="0"/>
        <w:adjustRightInd w:val="0"/>
        <w:ind w:left="958" w:leftChars="304" w:hanging="320" w:hangingChars="100"/>
        <w:jc w:val="lef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附件：《杭州市滨江区困难退役军人帮扶援助申请表》</w:t>
      </w:r>
    </w:p>
    <w:p>
      <w:pPr>
        <w:pStyle w:val="2"/>
        <w:spacing w:line="560" w:lineRule="exact"/>
        <w:rPr>
          <w:color w:val="000000" w:themeColor="text1"/>
        </w:rPr>
      </w:pPr>
    </w:p>
    <w:p/>
    <w:p/>
    <w:p>
      <w:pPr>
        <w:rPr>
          <w:rFonts w:hint="eastAsia" w:eastAsia="仿宋_GB2312"/>
          <w:color w:val="000000" w:themeColor="text1"/>
          <w:kern w:val="0"/>
          <w:sz w:val="32"/>
          <w:szCs w:val="32"/>
        </w:rPr>
      </w:pPr>
      <w:r>
        <w:rPr>
          <w:rFonts w:hint="eastAsia" w:eastAsia="仿宋_GB2312"/>
          <w:color w:val="000000" w:themeColor="text1"/>
          <w:kern w:val="0"/>
          <w:sz w:val="32"/>
          <w:szCs w:val="32"/>
        </w:rPr>
        <w:br w:type="page"/>
      </w:r>
    </w:p>
    <w:p>
      <w:pPr>
        <w:spacing w:line="560" w:lineRule="exact"/>
        <w:rPr>
          <w:rFonts w:eastAsia="仿宋_GB2312"/>
          <w:color w:val="000000" w:themeColor="text1"/>
          <w:kern w:val="0"/>
          <w:sz w:val="32"/>
          <w:szCs w:val="32"/>
        </w:rPr>
      </w:pPr>
      <w:r>
        <w:rPr>
          <w:rFonts w:hint="eastAsia" w:eastAsia="仿宋_GB2312"/>
          <w:color w:val="000000" w:themeColor="text1"/>
          <w:kern w:val="0"/>
          <w:sz w:val="32"/>
          <w:szCs w:val="32"/>
        </w:rPr>
        <w:t>杭州市滨江区退役军人事务局         杭州市滨江区教育局</w:t>
      </w:r>
    </w:p>
    <w:p>
      <w:pPr>
        <w:spacing w:line="560" w:lineRule="exact"/>
        <w:ind w:firstLine="630"/>
        <w:rPr>
          <w:rFonts w:eastAsia="仿宋_GB2312"/>
          <w:color w:val="000000" w:themeColor="text1"/>
          <w:kern w:val="0"/>
          <w:sz w:val="32"/>
          <w:szCs w:val="32"/>
        </w:rPr>
      </w:pPr>
    </w:p>
    <w:p>
      <w:pPr>
        <w:pStyle w:val="2"/>
      </w:pPr>
    </w:p>
    <w:p/>
    <w:p>
      <w:pPr>
        <w:spacing w:line="560" w:lineRule="exact"/>
        <w:ind w:firstLine="320" w:firstLineChars="100"/>
        <w:rPr>
          <w:rFonts w:eastAsia="仿宋_GB2312"/>
          <w:color w:val="000000" w:themeColor="text1"/>
          <w:kern w:val="0"/>
          <w:sz w:val="32"/>
          <w:szCs w:val="32"/>
        </w:rPr>
      </w:pPr>
      <w:r>
        <w:rPr>
          <w:rFonts w:hint="eastAsia" w:eastAsia="仿宋_GB2312"/>
          <w:color w:val="000000" w:themeColor="text1"/>
          <w:kern w:val="0"/>
          <w:sz w:val="32"/>
          <w:szCs w:val="32"/>
        </w:rPr>
        <w:t xml:space="preserve">   杭州市滨江区民政局            杭州市滨江区财政局</w:t>
      </w:r>
    </w:p>
    <w:p>
      <w:pPr>
        <w:spacing w:line="560" w:lineRule="exact"/>
        <w:ind w:firstLine="630"/>
        <w:rPr>
          <w:rFonts w:eastAsia="仿宋_GB2312"/>
          <w:color w:val="000000" w:themeColor="text1"/>
          <w:kern w:val="0"/>
          <w:sz w:val="32"/>
          <w:szCs w:val="32"/>
        </w:rPr>
      </w:pPr>
    </w:p>
    <w:p>
      <w:pPr>
        <w:pStyle w:val="2"/>
      </w:pPr>
    </w:p>
    <w:p/>
    <w:p>
      <w:pPr>
        <w:spacing w:line="560" w:lineRule="exact"/>
        <w:rPr>
          <w:rFonts w:eastAsia="仿宋_GB2312"/>
          <w:color w:val="000000" w:themeColor="text1"/>
          <w:spacing w:val="-20"/>
          <w:kern w:val="0"/>
          <w:sz w:val="32"/>
          <w:szCs w:val="32"/>
        </w:rPr>
      </w:pPr>
      <w:r>
        <w:rPr>
          <w:rFonts w:hint="eastAsia" w:eastAsia="仿宋_GB2312"/>
          <w:color w:val="000000" w:themeColor="text1"/>
          <w:spacing w:val="-20"/>
          <w:kern w:val="0"/>
          <w:sz w:val="32"/>
          <w:szCs w:val="32"/>
        </w:rPr>
        <w:t xml:space="preserve">杭州市滨江区人力资源和社会保障局   杭州市滨江区住房和城市建设局      </w:t>
      </w:r>
    </w:p>
    <w:p>
      <w:pPr>
        <w:rPr>
          <w:rFonts w:ascii="仿宋_GB2312" w:hAnsi="仿宋_GB2312" w:eastAsia="仿宋_GB2312" w:cs="仿宋_GB2312"/>
          <w:color w:val="000000" w:themeColor="text1"/>
          <w:kern w:val="0"/>
          <w:sz w:val="32"/>
          <w:szCs w:val="32"/>
        </w:rPr>
      </w:pPr>
    </w:p>
    <w:p>
      <w:pPr>
        <w:pStyle w:val="2"/>
      </w:pPr>
    </w:p>
    <w:p/>
    <w:p>
      <w:pPr>
        <w:spacing w:line="560" w:lineRule="exact"/>
        <w:ind w:firstLine="5760" w:firstLineChars="1800"/>
        <w:rPr>
          <w:rFonts w:ascii="仿宋_GB2312" w:eastAsia="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2022</w:t>
      </w:r>
      <w:r>
        <w:rPr>
          <w:rFonts w:hint="eastAsia" w:ascii="仿宋_GB2312" w:eastAsia="仿宋_GB2312"/>
          <w:color w:val="000000" w:themeColor="text1"/>
          <w:kern w:val="0"/>
          <w:sz w:val="32"/>
          <w:szCs w:val="32"/>
        </w:rPr>
        <w:t>年6月30日</w:t>
      </w:r>
    </w:p>
    <w:p>
      <w:pPr>
        <w:autoSpaceDE w:val="0"/>
        <w:autoSpaceDN w:val="0"/>
        <w:adjustRightInd w:val="0"/>
        <w:jc w:val="left"/>
        <w:rPr>
          <w:rFonts w:ascii="Times New Roman" w:hAnsi="Times New Roman" w:eastAsia="仿宋_GB2312" w:cs="Times New Roman"/>
          <w:sz w:val="32"/>
        </w:rPr>
      </w:pPr>
    </w:p>
    <w:p>
      <w:pPr>
        <w:rPr>
          <w:rFonts w:hint="eastAsia" w:ascii="黑体" w:hAnsi="黑体" w:eastAsia="黑体" w:cs="黑体"/>
          <w:kern w:val="0"/>
          <w:sz w:val="32"/>
          <w:szCs w:val="32"/>
        </w:rPr>
      </w:pPr>
      <w:r>
        <w:rPr>
          <w:rFonts w:hint="eastAsia" w:ascii="黑体" w:hAnsi="黑体" w:eastAsia="黑体" w:cs="黑体"/>
          <w:kern w:val="0"/>
          <w:sz w:val="32"/>
          <w:szCs w:val="32"/>
        </w:rPr>
        <w:br w:type="page"/>
      </w:r>
    </w:p>
    <w:p>
      <w:pPr>
        <w:autoSpaceDE w:val="0"/>
        <w:autoSpaceDN w:val="0"/>
        <w:adjustRightInd w:val="0"/>
        <w:jc w:val="left"/>
        <w:rPr>
          <w:rFonts w:ascii="黑体" w:hAnsi="黑体" w:eastAsia="黑体" w:cs="黑体"/>
          <w:kern w:val="0"/>
          <w:sz w:val="32"/>
          <w:szCs w:val="32"/>
        </w:rPr>
      </w:pPr>
      <w:bookmarkStart w:id="0" w:name="_GoBack"/>
      <w:bookmarkEnd w:id="0"/>
      <w:r>
        <w:rPr>
          <w:rFonts w:hint="eastAsia" w:ascii="黑体" w:hAnsi="黑体" w:eastAsia="黑体" w:cs="黑体"/>
          <w:kern w:val="0"/>
          <w:sz w:val="32"/>
          <w:szCs w:val="32"/>
        </w:rPr>
        <w:t>附件</w:t>
      </w:r>
      <w:r>
        <w:rPr>
          <w:rFonts w:ascii="黑体" w:hAnsi="黑体" w:eastAsia="黑体" w:cs="黑体"/>
          <w:kern w:val="0"/>
          <w:sz w:val="32"/>
          <w:szCs w:val="32"/>
        </w:rPr>
        <w:t>1</w:t>
      </w:r>
    </w:p>
    <w:tbl>
      <w:tblPr>
        <w:tblStyle w:val="8"/>
        <w:tblW w:w="861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574"/>
        <w:gridCol w:w="497"/>
        <w:gridCol w:w="497"/>
        <w:gridCol w:w="450"/>
        <w:gridCol w:w="542"/>
        <w:gridCol w:w="567"/>
        <w:gridCol w:w="433"/>
        <w:gridCol w:w="701"/>
        <w:gridCol w:w="236"/>
        <w:gridCol w:w="47"/>
        <w:gridCol w:w="510"/>
        <w:gridCol w:w="353"/>
        <w:gridCol w:w="18"/>
        <w:gridCol w:w="1623"/>
        <w:gridCol w:w="199"/>
        <w:gridCol w:w="476"/>
        <w:gridCol w:w="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8615" w:type="dxa"/>
            <w:gridSpan w:val="18"/>
            <w:tcBorders>
              <w:top w:val="nil"/>
              <w:left w:val="nil"/>
              <w:bottom w:val="nil"/>
              <w:right w:val="nil"/>
            </w:tcBorders>
            <w:shd w:val="clear" w:color="auto" w:fill="auto"/>
            <w:noWrap/>
            <w:vAlign w:val="center"/>
          </w:tcPr>
          <w:p>
            <w:pPr>
              <w:widowControl/>
              <w:tabs>
                <w:tab w:val="left" w:pos="5349"/>
                <w:tab w:val="left" w:pos="5616"/>
                <w:tab w:val="left" w:pos="5918"/>
              </w:tabs>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杭州市滨江区困难退役军人帮扶援助申请表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8" w:type="dxa"/>
            <w:gridSpan w:val="2"/>
            <w:tcBorders>
              <w:top w:val="nil"/>
              <w:left w:val="nil"/>
              <w:bottom w:val="single" w:color="auto" w:sz="4" w:space="0"/>
              <w:right w:val="nil"/>
            </w:tcBorders>
            <w:shd w:val="clear" w:color="auto" w:fill="auto"/>
            <w:noWrap/>
            <w:vAlign w:val="center"/>
          </w:tcPr>
          <w:p>
            <w:pPr>
              <w:widowControl/>
              <w:jc w:val="left"/>
              <w:rPr>
                <w:rFonts w:ascii="宋体" w:hAnsi="宋体" w:eastAsia="宋体" w:cs="宋体"/>
                <w:color w:val="000000"/>
                <w:kern w:val="0"/>
                <w:sz w:val="22"/>
              </w:rPr>
            </w:pPr>
          </w:p>
        </w:tc>
        <w:tc>
          <w:tcPr>
            <w:tcW w:w="994" w:type="dxa"/>
            <w:gridSpan w:val="2"/>
            <w:tcBorders>
              <w:top w:val="nil"/>
              <w:left w:val="nil"/>
              <w:bottom w:val="single" w:color="auto" w:sz="4" w:space="0"/>
              <w:right w:val="nil"/>
            </w:tcBorders>
            <w:shd w:val="clear" w:color="auto" w:fill="auto"/>
            <w:noWrap/>
            <w:vAlign w:val="center"/>
          </w:tcPr>
          <w:p>
            <w:pPr>
              <w:widowControl/>
              <w:jc w:val="left"/>
              <w:rPr>
                <w:rFonts w:ascii="宋体" w:hAnsi="宋体" w:eastAsia="宋体" w:cs="宋体"/>
                <w:color w:val="000000"/>
                <w:kern w:val="0"/>
                <w:sz w:val="22"/>
              </w:rPr>
            </w:pPr>
          </w:p>
        </w:tc>
        <w:tc>
          <w:tcPr>
            <w:tcW w:w="992" w:type="dxa"/>
            <w:gridSpan w:val="2"/>
            <w:tcBorders>
              <w:top w:val="nil"/>
              <w:left w:val="nil"/>
              <w:bottom w:val="single" w:color="auto" w:sz="4" w:space="0"/>
              <w:right w:val="nil"/>
            </w:tcBorders>
            <w:shd w:val="clear" w:color="auto" w:fill="auto"/>
            <w:noWrap/>
            <w:vAlign w:val="center"/>
          </w:tcPr>
          <w:p>
            <w:pPr>
              <w:widowControl/>
              <w:jc w:val="left"/>
              <w:rPr>
                <w:rFonts w:ascii="宋体" w:hAnsi="宋体" w:eastAsia="宋体" w:cs="宋体"/>
                <w:color w:val="000000"/>
                <w:kern w:val="0"/>
                <w:sz w:val="22"/>
              </w:rPr>
            </w:pPr>
          </w:p>
        </w:tc>
        <w:tc>
          <w:tcPr>
            <w:tcW w:w="567"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color w:val="000000"/>
                <w:kern w:val="0"/>
                <w:sz w:val="22"/>
              </w:rPr>
            </w:pPr>
          </w:p>
        </w:tc>
        <w:tc>
          <w:tcPr>
            <w:tcW w:w="1134" w:type="dxa"/>
            <w:gridSpan w:val="2"/>
            <w:tcBorders>
              <w:top w:val="nil"/>
              <w:left w:val="nil"/>
              <w:bottom w:val="single" w:color="auto" w:sz="4" w:space="0"/>
              <w:right w:val="nil"/>
            </w:tcBorders>
            <w:shd w:val="clear" w:color="auto" w:fill="auto"/>
            <w:noWrap/>
            <w:vAlign w:val="center"/>
          </w:tcPr>
          <w:p>
            <w:pPr>
              <w:widowControl/>
              <w:jc w:val="left"/>
              <w:rPr>
                <w:rFonts w:ascii="宋体" w:hAnsi="宋体" w:eastAsia="宋体" w:cs="宋体"/>
                <w:color w:val="000000"/>
                <w:kern w:val="0"/>
                <w:sz w:val="22"/>
              </w:rPr>
            </w:pPr>
          </w:p>
        </w:tc>
        <w:tc>
          <w:tcPr>
            <w:tcW w:w="1146" w:type="dxa"/>
            <w:gridSpan w:val="4"/>
            <w:tcBorders>
              <w:top w:val="nil"/>
              <w:left w:val="nil"/>
              <w:bottom w:val="single" w:color="auto" w:sz="4" w:space="0"/>
              <w:right w:val="nil"/>
            </w:tcBorders>
            <w:shd w:val="clear" w:color="auto" w:fill="auto"/>
            <w:noWrap/>
            <w:vAlign w:val="center"/>
          </w:tcPr>
          <w:p>
            <w:pPr>
              <w:widowControl/>
              <w:jc w:val="left"/>
              <w:rPr>
                <w:rFonts w:ascii="宋体" w:hAnsi="宋体" w:eastAsia="宋体" w:cs="宋体"/>
                <w:color w:val="000000"/>
                <w:kern w:val="0"/>
                <w:sz w:val="22"/>
              </w:rPr>
            </w:pPr>
          </w:p>
        </w:tc>
        <w:tc>
          <w:tcPr>
            <w:tcW w:w="1840" w:type="dxa"/>
            <w:gridSpan w:val="3"/>
            <w:tcBorders>
              <w:top w:val="nil"/>
              <w:left w:val="nil"/>
              <w:bottom w:val="single" w:color="auto" w:sz="4" w:space="0"/>
              <w:right w:val="nil"/>
            </w:tcBorders>
            <w:shd w:val="clear" w:color="auto" w:fill="auto"/>
            <w:noWrap/>
            <w:vAlign w:val="center"/>
          </w:tcPr>
          <w:p>
            <w:pPr>
              <w:widowControl/>
              <w:jc w:val="left"/>
              <w:rPr>
                <w:rFonts w:ascii="宋体" w:hAnsi="宋体" w:eastAsia="宋体" w:cs="宋体"/>
                <w:color w:val="000000"/>
                <w:kern w:val="0"/>
                <w:sz w:val="22"/>
              </w:rPr>
            </w:pPr>
          </w:p>
        </w:tc>
        <w:tc>
          <w:tcPr>
            <w:tcW w:w="794" w:type="dxa"/>
            <w:gridSpan w:val="2"/>
            <w:tcBorders>
              <w:top w:val="nil"/>
              <w:left w:val="nil"/>
              <w:bottom w:val="single" w:color="auto" w:sz="4" w:space="0"/>
              <w:right w:val="nil"/>
            </w:tcBorders>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48" w:type="dxa"/>
            <w:gridSpan w:val="2"/>
            <w:tcBorders>
              <w:top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姓    名</w:t>
            </w:r>
          </w:p>
        </w:tc>
        <w:tc>
          <w:tcPr>
            <w:tcW w:w="994" w:type="dxa"/>
            <w:gridSpan w:val="2"/>
            <w:tcBorders>
              <w:top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gridSpan w:val="2"/>
            <w:tcBorders>
              <w:top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性别 </w:t>
            </w:r>
          </w:p>
        </w:tc>
        <w:tc>
          <w:tcPr>
            <w:tcW w:w="567" w:type="dxa"/>
            <w:tcBorders>
              <w:top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gridSpan w:val="2"/>
            <w:tcBorders>
              <w:top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年龄</w:t>
            </w:r>
          </w:p>
        </w:tc>
        <w:tc>
          <w:tcPr>
            <w:tcW w:w="1146" w:type="dxa"/>
            <w:gridSpan w:val="4"/>
            <w:tcBorders>
              <w:top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40" w:type="dxa"/>
            <w:gridSpan w:val="3"/>
            <w:tcBorders>
              <w:top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婚姻状况</w:t>
            </w:r>
          </w:p>
        </w:tc>
        <w:tc>
          <w:tcPr>
            <w:tcW w:w="794" w:type="dxa"/>
            <w:gridSpan w:val="2"/>
            <w:tcBorders>
              <w:top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48" w:type="dxa"/>
            <w:gridSpan w:val="2"/>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身份证号</w:t>
            </w:r>
          </w:p>
        </w:tc>
        <w:tc>
          <w:tcPr>
            <w:tcW w:w="2553" w:type="dxa"/>
            <w:gridSpan w:val="5"/>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gridSpan w:val="2"/>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工作单位</w:t>
            </w:r>
          </w:p>
        </w:tc>
        <w:tc>
          <w:tcPr>
            <w:tcW w:w="3780" w:type="dxa"/>
            <w:gridSpan w:val="9"/>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48" w:type="dxa"/>
            <w:gridSpan w:val="2"/>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户籍地址</w:t>
            </w:r>
          </w:p>
        </w:tc>
        <w:tc>
          <w:tcPr>
            <w:tcW w:w="7467" w:type="dxa"/>
            <w:gridSpan w:val="16"/>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48" w:type="dxa"/>
            <w:gridSpan w:val="2"/>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所在街道</w:t>
            </w:r>
          </w:p>
        </w:tc>
        <w:tc>
          <w:tcPr>
            <w:tcW w:w="2986" w:type="dxa"/>
            <w:gridSpan w:val="6"/>
            <w:shd w:val="clear" w:color="auto" w:fill="auto"/>
            <w:noWrap/>
            <w:vAlign w:val="center"/>
          </w:tcPr>
          <w:p>
            <w:pPr>
              <w:widowControl/>
              <w:jc w:val="center"/>
              <w:rPr>
                <w:rFonts w:ascii="宋体" w:hAnsi="宋体" w:eastAsia="宋体" w:cs="宋体"/>
                <w:color w:val="000000"/>
                <w:kern w:val="0"/>
                <w:sz w:val="22"/>
              </w:rPr>
            </w:pPr>
          </w:p>
        </w:tc>
        <w:tc>
          <w:tcPr>
            <w:tcW w:w="1494" w:type="dxa"/>
            <w:gridSpan w:val="4"/>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所在社区</w:t>
            </w:r>
          </w:p>
        </w:tc>
        <w:tc>
          <w:tcPr>
            <w:tcW w:w="2987" w:type="dxa"/>
            <w:gridSpan w:val="6"/>
            <w:shd w:val="clear" w:color="auto" w:fill="auto"/>
            <w:vAlign w:val="center"/>
          </w:tcPr>
          <w:p>
            <w:pPr>
              <w:widowControl/>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48" w:type="dxa"/>
            <w:gridSpan w:val="2"/>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银行卡号</w:t>
            </w:r>
          </w:p>
        </w:tc>
        <w:tc>
          <w:tcPr>
            <w:tcW w:w="2986" w:type="dxa"/>
            <w:gridSpan w:val="6"/>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494" w:type="dxa"/>
            <w:gridSpan w:val="4"/>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电话号码</w:t>
            </w:r>
          </w:p>
        </w:tc>
        <w:tc>
          <w:tcPr>
            <w:tcW w:w="2987" w:type="dxa"/>
            <w:gridSpan w:val="6"/>
            <w:shd w:val="clear" w:color="auto" w:fill="auto"/>
            <w:vAlign w:val="center"/>
          </w:tcPr>
          <w:p>
            <w:pPr>
              <w:widowControl/>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48" w:type="dxa"/>
            <w:gridSpan w:val="2"/>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开户银行</w:t>
            </w:r>
          </w:p>
        </w:tc>
        <w:tc>
          <w:tcPr>
            <w:tcW w:w="2553" w:type="dxa"/>
            <w:gridSpan w:val="5"/>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gridSpan w:val="2"/>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月收入（元）</w:t>
            </w:r>
          </w:p>
        </w:tc>
        <w:tc>
          <w:tcPr>
            <w:tcW w:w="1146" w:type="dxa"/>
            <w:gridSpan w:val="4"/>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40" w:type="dxa"/>
            <w:gridSpan w:val="3"/>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家庭年收入（元）</w:t>
            </w:r>
          </w:p>
        </w:tc>
        <w:tc>
          <w:tcPr>
            <w:tcW w:w="794" w:type="dxa"/>
            <w:gridSpan w:val="2"/>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148" w:type="dxa"/>
            <w:gridSpan w:val="2"/>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人员类别</w:t>
            </w:r>
          </w:p>
        </w:tc>
        <w:tc>
          <w:tcPr>
            <w:tcW w:w="7467" w:type="dxa"/>
            <w:gridSpan w:val="16"/>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□退役军人   □现役军人家属</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□烈士遗属    □因公牺牲军人遗属    □病故军人遗属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74"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家庭</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成员</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简况</w:t>
            </w:r>
          </w:p>
        </w:tc>
        <w:tc>
          <w:tcPr>
            <w:tcW w:w="1071"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姓名</w:t>
            </w:r>
          </w:p>
        </w:tc>
        <w:tc>
          <w:tcPr>
            <w:tcW w:w="947"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与申请人关系</w:t>
            </w:r>
          </w:p>
        </w:tc>
        <w:tc>
          <w:tcPr>
            <w:tcW w:w="2243" w:type="dxa"/>
            <w:gridSpan w:val="4"/>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身份证号</w:t>
            </w:r>
          </w:p>
        </w:tc>
        <w:tc>
          <w:tcPr>
            <w:tcW w:w="2787" w:type="dxa"/>
            <w:gridSpan w:val="6"/>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工作单位</w:t>
            </w:r>
          </w:p>
        </w:tc>
        <w:tc>
          <w:tcPr>
            <w:tcW w:w="993" w:type="dxa"/>
            <w:gridSpan w:val="3"/>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月收入（元）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74" w:type="dxa"/>
            <w:vMerge w:val="continue"/>
            <w:vAlign w:val="center"/>
          </w:tcPr>
          <w:p>
            <w:pPr>
              <w:widowControl/>
              <w:jc w:val="left"/>
              <w:rPr>
                <w:rFonts w:ascii="宋体" w:hAnsi="宋体" w:eastAsia="宋体" w:cs="宋体"/>
                <w:color w:val="000000"/>
                <w:kern w:val="0"/>
                <w:sz w:val="22"/>
              </w:rPr>
            </w:pPr>
          </w:p>
        </w:tc>
        <w:tc>
          <w:tcPr>
            <w:tcW w:w="1071" w:type="dxa"/>
            <w:gridSpan w:val="2"/>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47" w:type="dxa"/>
            <w:gridSpan w:val="2"/>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243" w:type="dxa"/>
            <w:gridSpan w:val="4"/>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787" w:type="dxa"/>
            <w:gridSpan w:val="6"/>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3" w:type="dxa"/>
            <w:gridSpan w:val="3"/>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74" w:type="dxa"/>
            <w:vMerge w:val="continue"/>
            <w:vAlign w:val="center"/>
          </w:tcPr>
          <w:p>
            <w:pPr>
              <w:widowControl/>
              <w:jc w:val="left"/>
              <w:rPr>
                <w:rFonts w:ascii="宋体" w:hAnsi="宋体" w:eastAsia="宋体" w:cs="宋体"/>
                <w:color w:val="000000"/>
                <w:kern w:val="0"/>
                <w:sz w:val="22"/>
              </w:rPr>
            </w:pPr>
          </w:p>
        </w:tc>
        <w:tc>
          <w:tcPr>
            <w:tcW w:w="1071" w:type="dxa"/>
            <w:gridSpan w:val="2"/>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47" w:type="dxa"/>
            <w:gridSpan w:val="2"/>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243" w:type="dxa"/>
            <w:gridSpan w:val="4"/>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787" w:type="dxa"/>
            <w:gridSpan w:val="6"/>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3" w:type="dxa"/>
            <w:gridSpan w:val="3"/>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74" w:type="dxa"/>
            <w:vMerge w:val="continue"/>
            <w:vAlign w:val="center"/>
          </w:tcPr>
          <w:p>
            <w:pPr>
              <w:widowControl/>
              <w:jc w:val="left"/>
              <w:rPr>
                <w:rFonts w:ascii="宋体" w:hAnsi="宋体" w:eastAsia="宋体" w:cs="宋体"/>
                <w:color w:val="000000"/>
                <w:kern w:val="0"/>
                <w:sz w:val="22"/>
              </w:rPr>
            </w:pPr>
          </w:p>
        </w:tc>
        <w:tc>
          <w:tcPr>
            <w:tcW w:w="1071" w:type="dxa"/>
            <w:gridSpan w:val="2"/>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47" w:type="dxa"/>
            <w:gridSpan w:val="2"/>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243" w:type="dxa"/>
            <w:gridSpan w:val="4"/>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787" w:type="dxa"/>
            <w:gridSpan w:val="6"/>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3" w:type="dxa"/>
            <w:gridSpan w:val="3"/>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74" w:type="dxa"/>
            <w:vMerge w:val="continue"/>
            <w:vAlign w:val="center"/>
          </w:tcPr>
          <w:p>
            <w:pPr>
              <w:widowControl/>
              <w:jc w:val="left"/>
              <w:rPr>
                <w:rFonts w:ascii="宋体" w:hAnsi="宋体" w:eastAsia="宋体" w:cs="宋体"/>
                <w:color w:val="000000"/>
                <w:kern w:val="0"/>
                <w:sz w:val="22"/>
              </w:rPr>
            </w:pPr>
          </w:p>
        </w:tc>
        <w:tc>
          <w:tcPr>
            <w:tcW w:w="1071" w:type="dxa"/>
            <w:gridSpan w:val="2"/>
            <w:shd w:val="clear" w:color="auto" w:fill="auto"/>
            <w:vAlign w:val="center"/>
          </w:tcPr>
          <w:p>
            <w:pPr>
              <w:widowControl/>
              <w:jc w:val="left"/>
              <w:rPr>
                <w:rFonts w:ascii="宋体" w:hAnsi="宋体" w:eastAsia="宋体" w:cs="宋体"/>
                <w:color w:val="000000"/>
                <w:kern w:val="0"/>
                <w:sz w:val="22"/>
              </w:rPr>
            </w:pPr>
          </w:p>
        </w:tc>
        <w:tc>
          <w:tcPr>
            <w:tcW w:w="947" w:type="dxa"/>
            <w:gridSpan w:val="2"/>
            <w:shd w:val="clear" w:color="auto" w:fill="auto"/>
            <w:vAlign w:val="center"/>
          </w:tcPr>
          <w:p>
            <w:pPr>
              <w:widowControl/>
              <w:jc w:val="left"/>
              <w:rPr>
                <w:rFonts w:ascii="宋体" w:hAnsi="宋体" w:eastAsia="宋体" w:cs="宋体"/>
                <w:color w:val="000000"/>
                <w:kern w:val="0"/>
                <w:sz w:val="22"/>
              </w:rPr>
            </w:pPr>
          </w:p>
        </w:tc>
        <w:tc>
          <w:tcPr>
            <w:tcW w:w="2243" w:type="dxa"/>
            <w:gridSpan w:val="4"/>
            <w:shd w:val="clear" w:color="auto" w:fill="auto"/>
            <w:vAlign w:val="center"/>
          </w:tcPr>
          <w:p>
            <w:pPr>
              <w:widowControl/>
              <w:jc w:val="center"/>
              <w:rPr>
                <w:rFonts w:ascii="宋体" w:hAnsi="宋体" w:eastAsia="宋体" w:cs="宋体"/>
                <w:color w:val="000000"/>
                <w:kern w:val="0"/>
                <w:sz w:val="22"/>
              </w:rPr>
            </w:pPr>
          </w:p>
        </w:tc>
        <w:tc>
          <w:tcPr>
            <w:tcW w:w="2787" w:type="dxa"/>
            <w:gridSpan w:val="6"/>
            <w:shd w:val="clear" w:color="auto" w:fill="auto"/>
            <w:noWrap/>
            <w:vAlign w:val="center"/>
          </w:tcPr>
          <w:p>
            <w:pPr>
              <w:widowControl/>
              <w:jc w:val="center"/>
              <w:rPr>
                <w:rFonts w:ascii="宋体" w:hAnsi="宋体" w:eastAsia="宋体" w:cs="宋体"/>
                <w:color w:val="000000"/>
                <w:kern w:val="0"/>
                <w:sz w:val="22"/>
              </w:rPr>
            </w:pPr>
          </w:p>
        </w:tc>
        <w:tc>
          <w:tcPr>
            <w:tcW w:w="993" w:type="dxa"/>
            <w:gridSpan w:val="3"/>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74" w:type="dxa"/>
            <w:vMerge w:val="continue"/>
            <w:vAlign w:val="center"/>
          </w:tcPr>
          <w:p>
            <w:pPr>
              <w:widowControl/>
              <w:jc w:val="left"/>
              <w:rPr>
                <w:rFonts w:ascii="宋体" w:hAnsi="宋体" w:eastAsia="宋体" w:cs="宋体"/>
                <w:color w:val="000000"/>
                <w:kern w:val="0"/>
                <w:sz w:val="22"/>
              </w:rPr>
            </w:pPr>
          </w:p>
        </w:tc>
        <w:tc>
          <w:tcPr>
            <w:tcW w:w="1071" w:type="dxa"/>
            <w:gridSpan w:val="2"/>
            <w:shd w:val="clear" w:color="auto" w:fill="auto"/>
            <w:vAlign w:val="center"/>
          </w:tcPr>
          <w:p>
            <w:pPr>
              <w:widowControl/>
              <w:jc w:val="left"/>
              <w:rPr>
                <w:rFonts w:ascii="宋体" w:hAnsi="宋体" w:eastAsia="宋体" w:cs="宋体"/>
                <w:color w:val="000000"/>
                <w:kern w:val="0"/>
                <w:sz w:val="22"/>
              </w:rPr>
            </w:pPr>
          </w:p>
        </w:tc>
        <w:tc>
          <w:tcPr>
            <w:tcW w:w="947" w:type="dxa"/>
            <w:gridSpan w:val="2"/>
            <w:shd w:val="clear" w:color="auto" w:fill="auto"/>
            <w:vAlign w:val="center"/>
          </w:tcPr>
          <w:p>
            <w:pPr>
              <w:widowControl/>
              <w:jc w:val="left"/>
              <w:rPr>
                <w:rFonts w:ascii="宋体" w:hAnsi="宋体" w:eastAsia="宋体" w:cs="宋体"/>
                <w:color w:val="000000"/>
                <w:kern w:val="0"/>
                <w:sz w:val="22"/>
              </w:rPr>
            </w:pPr>
          </w:p>
        </w:tc>
        <w:tc>
          <w:tcPr>
            <w:tcW w:w="2243" w:type="dxa"/>
            <w:gridSpan w:val="4"/>
            <w:shd w:val="clear" w:color="auto" w:fill="auto"/>
            <w:vAlign w:val="center"/>
          </w:tcPr>
          <w:p>
            <w:pPr>
              <w:widowControl/>
              <w:jc w:val="center"/>
              <w:rPr>
                <w:rFonts w:ascii="宋体" w:hAnsi="宋体" w:eastAsia="宋体" w:cs="宋体"/>
                <w:color w:val="000000"/>
                <w:kern w:val="0"/>
                <w:sz w:val="22"/>
              </w:rPr>
            </w:pPr>
          </w:p>
        </w:tc>
        <w:tc>
          <w:tcPr>
            <w:tcW w:w="2787" w:type="dxa"/>
            <w:gridSpan w:val="6"/>
            <w:shd w:val="clear" w:color="auto" w:fill="auto"/>
            <w:noWrap/>
            <w:vAlign w:val="center"/>
          </w:tcPr>
          <w:p>
            <w:pPr>
              <w:widowControl/>
              <w:jc w:val="center"/>
              <w:rPr>
                <w:rFonts w:ascii="宋体" w:hAnsi="宋体" w:eastAsia="宋体" w:cs="宋体"/>
                <w:color w:val="000000"/>
                <w:kern w:val="0"/>
                <w:sz w:val="22"/>
              </w:rPr>
            </w:pPr>
          </w:p>
        </w:tc>
        <w:tc>
          <w:tcPr>
            <w:tcW w:w="993" w:type="dxa"/>
            <w:gridSpan w:val="3"/>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74" w:type="dxa"/>
            <w:vMerge w:val="continue"/>
            <w:vAlign w:val="center"/>
          </w:tcPr>
          <w:p>
            <w:pPr>
              <w:widowControl/>
              <w:jc w:val="left"/>
              <w:rPr>
                <w:rFonts w:ascii="宋体" w:hAnsi="宋体" w:eastAsia="宋体" w:cs="宋体"/>
                <w:color w:val="000000"/>
                <w:kern w:val="0"/>
                <w:sz w:val="22"/>
              </w:rPr>
            </w:pPr>
          </w:p>
        </w:tc>
        <w:tc>
          <w:tcPr>
            <w:tcW w:w="1071" w:type="dxa"/>
            <w:gridSpan w:val="2"/>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47" w:type="dxa"/>
            <w:gridSpan w:val="2"/>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243" w:type="dxa"/>
            <w:gridSpan w:val="4"/>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787" w:type="dxa"/>
            <w:gridSpan w:val="6"/>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3" w:type="dxa"/>
            <w:gridSpan w:val="3"/>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48" w:type="dxa"/>
            <w:gridSpan w:val="2"/>
            <w:vMerge w:val="restar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困难情况</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（可另附纸） </w:t>
            </w:r>
          </w:p>
        </w:tc>
        <w:tc>
          <w:tcPr>
            <w:tcW w:w="7467" w:type="dxa"/>
            <w:gridSpan w:val="16"/>
            <w:vMerge w:val="restart"/>
            <w:shd w:val="clear" w:color="auto" w:fill="auto"/>
            <w:noWrap/>
            <w:vAlign w:val="center"/>
          </w:tcPr>
          <w:p>
            <w:pPr>
              <w:widowControl/>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48" w:type="dxa"/>
            <w:gridSpan w:val="2"/>
            <w:vMerge w:val="continue"/>
            <w:vAlign w:val="center"/>
          </w:tcPr>
          <w:p>
            <w:pPr>
              <w:widowControl/>
              <w:jc w:val="left"/>
              <w:rPr>
                <w:rFonts w:ascii="宋体" w:hAnsi="宋体" w:eastAsia="宋体" w:cs="宋体"/>
                <w:color w:val="000000"/>
                <w:kern w:val="0"/>
                <w:sz w:val="22"/>
              </w:rPr>
            </w:pPr>
          </w:p>
        </w:tc>
        <w:tc>
          <w:tcPr>
            <w:tcW w:w="7467" w:type="dxa"/>
            <w:gridSpan w:val="16"/>
            <w:vMerge w:val="continue"/>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48" w:type="dxa"/>
            <w:gridSpan w:val="2"/>
            <w:vMerge w:val="continue"/>
            <w:vAlign w:val="center"/>
          </w:tcPr>
          <w:p>
            <w:pPr>
              <w:widowControl/>
              <w:jc w:val="left"/>
              <w:rPr>
                <w:rFonts w:ascii="宋体" w:hAnsi="宋体" w:eastAsia="宋体" w:cs="宋体"/>
                <w:color w:val="000000"/>
                <w:kern w:val="0"/>
                <w:sz w:val="22"/>
              </w:rPr>
            </w:pPr>
          </w:p>
        </w:tc>
        <w:tc>
          <w:tcPr>
            <w:tcW w:w="7467" w:type="dxa"/>
            <w:gridSpan w:val="16"/>
            <w:vMerge w:val="continue"/>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1148" w:type="dxa"/>
            <w:gridSpan w:val="2"/>
            <w:vMerge w:val="continue"/>
            <w:vAlign w:val="center"/>
          </w:tcPr>
          <w:p>
            <w:pPr>
              <w:widowControl/>
              <w:jc w:val="left"/>
              <w:rPr>
                <w:rFonts w:ascii="宋体" w:hAnsi="宋体" w:eastAsia="宋体" w:cs="宋体"/>
                <w:color w:val="000000"/>
                <w:kern w:val="0"/>
                <w:sz w:val="22"/>
              </w:rPr>
            </w:pPr>
          </w:p>
        </w:tc>
        <w:tc>
          <w:tcPr>
            <w:tcW w:w="7467" w:type="dxa"/>
            <w:gridSpan w:val="16"/>
            <w:vMerge w:val="continue"/>
            <w:tcBorders>
              <w:bottom w:val="single" w:color="auto" w:sz="4" w:space="0"/>
            </w:tcBorders>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1148" w:type="dxa"/>
            <w:gridSpan w:val="2"/>
            <w:vMerge w:val="restart"/>
            <w:shd w:val="clear" w:color="auto" w:fill="auto"/>
            <w:noWrap/>
            <w:vAlign w:val="center"/>
          </w:tcPr>
          <w:p>
            <w:pPr>
              <w:jc w:val="center"/>
              <w:rPr>
                <w:rFonts w:ascii="宋体" w:hAnsi="宋体" w:eastAsia="宋体" w:cs="宋体"/>
                <w:color w:val="000000"/>
                <w:kern w:val="0"/>
                <w:sz w:val="22"/>
              </w:rPr>
            </w:pPr>
            <w:r>
              <w:rPr>
                <w:rFonts w:hint="eastAsia" w:ascii="宋体" w:hAnsi="宋体" w:eastAsia="宋体" w:cs="宋体"/>
                <w:color w:val="000000"/>
                <w:kern w:val="0"/>
                <w:sz w:val="22"/>
              </w:rPr>
              <w:t>承诺</w:t>
            </w:r>
          </w:p>
        </w:tc>
        <w:tc>
          <w:tcPr>
            <w:tcW w:w="7467" w:type="dxa"/>
            <w:gridSpan w:val="16"/>
            <w:tcBorders>
              <w:bottom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本人保证所填内容和申报材料全部真实有效，同意并授权有关部门对本家庭经济状况进行调查核实。本人及家庭成员若采取虚报、隐瞒、伪造等手段，骗取援助资金的，愿意承担相应的责任。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48" w:type="dxa"/>
            <w:gridSpan w:val="2"/>
            <w:vMerge w:val="continue"/>
            <w:shd w:val="clear" w:color="auto" w:fill="auto"/>
            <w:vAlign w:val="center"/>
          </w:tcPr>
          <w:p>
            <w:pPr>
              <w:widowControl/>
              <w:jc w:val="left"/>
              <w:rPr>
                <w:rFonts w:ascii="宋体" w:hAnsi="宋体" w:eastAsia="宋体" w:cs="宋体"/>
                <w:color w:val="000000"/>
                <w:kern w:val="0"/>
                <w:sz w:val="22"/>
              </w:rPr>
            </w:pPr>
          </w:p>
        </w:tc>
        <w:tc>
          <w:tcPr>
            <w:tcW w:w="994" w:type="dxa"/>
            <w:gridSpan w:val="2"/>
            <w:tcBorders>
              <w:top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992"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567"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134"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3462" w:type="dxa"/>
            <w:gridSpan w:val="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申请人： </w:t>
            </w:r>
          </w:p>
        </w:tc>
        <w:tc>
          <w:tcPr>
            <w:tcW w:w="318" w:type="dxa"/>
            <w:tcBorders>
              <w:top w:val="nil"/>
              <w:left w:val="nil"/>
              <w:bottom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48" w:type="dxa"/>
            <w:gridSpan w:val="2"/>
            <w:vMerge w:val="continue"/>
            <w:vAlign w:val="center"/>
          </w:tcPr>
          <w:p>
            <w:pPr>
              <w:widowControl/>
              <w:jc w:val="left"/>
              <w:rPr>
                <w:rFonts w:ascii="宋体" w:hAnsi="宋体" w:eastAsia="宋体" w:cs="宋体"/>
                <w:color w:val="000000"/>
                <w:kern w:val="0"/>
                <w:sz w:val="22"/>
              </w:rPr>
            </w:pPr>
          </w:p>
        </w:tc>
        <w:tc>
          <w:tcPr>
            <w:tcW w:w="994" w:type="dxa"/>
            <w:gridSpan w:val="2"/>
            <w:tcBorders>
              <w:top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992"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567"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134"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23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3226" w:type="dxa"/>
            <w:gridSpan w:val="7"/>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（签名并按手印）</w:t>
            </w:r>
          </w:p>
        </w:tc>
        <w:tc>
          <w:tcPr>
            <w:tcW w:w="318" w:type="dxa"/>
            <w:tcBorders>
              <w:top w:val="nil"/>
              <w:left w:val="nil"/>
              <w:bottom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48" w:type="dxa"/>
            <w:gridSpan w:val="2"/>
            <w:vMerge w:val="continue"/>
            <w:vAlign w:val="center"/>
          </w:tcPr>
          <w:p>
            <w:pPr>
              <w:widowControl/>
              <w:jc w:val="left"/>
              <w:rPr>
                <w:rFonts w:ascii="宋体" w:hAnsi="宋体" w:eastAsia="宋体" w:cs="宋体"/>
                <w:color w:val="000000"/>
                <w:kern w:val="0"/>
                <w:sz w:val="22"/>
              </w:rPr>
            </w:pPr>
          </w:p>
        </w:tc>
        <w:tc>
          <w:tcPr>
            <w:tcW w:w="994" w:type="dxa"/>
            <w:gridSpan w:val="2"/>
            <w:tcBorders>
              <w:top w:val="nil"/>
              <w:bottom w:val="single" w:color="auto" w:sz="4" w:space="0"/>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gridSpan w:val="2"/>
            <w:tcBorders>
              <w:top w:val="nil"/>
              <w:left w:val="nil"/>
              <w:bottom w:val="single" w:color="auto" w:sz="4" w:space="0"/>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567"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gridSpan w:val="2"/>
            <w:tcBorders>
              <w:top w:val="nil"/>
              <w:left w:val="nil"/>
              <w:bottom w:val="single" w:color="auto" w:sz="4" w:space="0"/>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462" w:type="dxa"/>
            <w:gridSpan w:val="8"/>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年   月   日</w:t>
            </w:r>
          </w:p>
        </w:tc>
        <w:tc>
          <w:tcPr>
            <w:tcW w:w="318" w:type="dxa"/>
            <w:tcBorders>
              <w:top w:val="nil"/>
              <w:left w:val="nil"/>
              <w:bottom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148" w:type="dxa"/>
            <w:gridSpan w:val="2"/>
            <w:vMerge w:val="restart"/>
            <w:shd w:val="clear" w:color="auto" w:fill="auto"/>
            <w:vAlign w:val="center"/>
          </w:tcPr>
          <w:p>
            <w:pPr>
              <w:jc w:val="center"/>
              <w:rPr>
                <w:rFonts w:ascii="宋体" w:hAnsi="宋体" w:eastAsia="宋体" w:cs="宋体"/>
                <w:color w:val="000000"/>
                <w:kern w:val="0"/>
                <w:sz w:val="22"/>
              </w:rPr>
            </w:pPr>
            <w:r>
              <w:rPr>
                <w:rFonts w:hint="eastAsia" w:ascii="宋体" w:hAnsi="宋体" w:eastAsia="宋体" w:cs="宋体"/>
                <w:color w:val="000000"/>
                <w:kern w:val="0"/>
                <w:sz w:val="22"/>
              </w:rPr>
              <w:t>社区居委员调查</w:t>
            </w:r>
          </w:p>
          <w:p>
            <w:pPr>
              <w:jc w:val="center"/>
              <w:rPr>
                <w:rFonts w:ascii="宋体" w:hAnsi="宋体" w:eastAsia="宋体" w:cs="宋体"/>
                <w:color w:val="000000"/>
                <w:kern w:val="0"/>
                <w:sz w:val="22"/>
              </w:rPr>
            </w:pPr>
            <w:r>
              <w:rPr>
                <w:rFonts w:hint="eastAsia" w:ascii="宋体" w:hAnsi="宋体" w:eastAsia="宋体" w:cs="宋体"/>
                <w:color w:val="000000"/>
                <w:kern w:val="0"/>
                <w:sz w:val="22"/>
              </w:rPr>
              <w:t>意见</w:t>
            </w:r>
          </w:p>
        </w:tc>
        <w:tc>
          <w:tcPr>
            <w:tcW w:w="994" w:type="dxa"/>
            <w:gridSpan w:val="2"/>
            <w:tcBorders>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992" w:type="dxa"/>
            <w:gridSpan w:val="2"/>
            <w:tcBorders>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567" w:type="dxa"/>
            <w:tcBorders>
              <w:left w:val="nil"/>
              <w:bottom w:val="nil"/>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1134" w:type="dxa"/>
            <w:gridSpan w:val="2"/>
            <w:vMerge w:val="restart"/>
            <w:tcBorders>
              <w:left w:val="single" w:color="auto" w:sz="4" w:space="0"/>
              <w:bottom w:val="nil"/>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街道办事处意见</w:t>
            </w:r>
          </w:p>
        </w:tc>
        <w:tc>
          <w:tcPr>
            <w:tcW w:w="283" w:type="dxa"/>
            <w:gridSpan w:val="2"/>
            <w:tcBorders>
              <w:left w:val="single" w:color="auto" w:sz="4" w:space="0"/>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3179" w:type="dxa"/>
            <w:gridSpan w:val="6"/>
            <w:tcBorders>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318" w:type="dxa"/>
            <w:tcBorders>
              <w:left w:val="nil"/>
              <w:bottom w:val="nil"/>
            </w:tcBorders>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48" w:type="dxa"/>
            <w:gridSpan w:val="2"/>
            <w:vMerge w:val="continue"/>
            <w:shd w:val="clear" w:color="auto" w:fill="auto"/>
            <w:vAlign w:val="center"/>
          </w:tcPr>
          <w:p>
            <w:pPr>
              <w:widowControl/>
              <w:jc w:val="left"/>
              <w:rPr>
                <w:rFonts w:ascii="宋体" w:hAnsi="宋体" w:eastAsia="宋体" w:cs="宋体"/>
                <w:color w:val="000000"/>
                <w:kern w:val="0"/>
                <w:sz w:val="22"/>
              </w:rPr>
            </w:pPr>
          </w:p>
        </w:tc>
        <w:tc>
          <w:tcPr>
            <w:tcW w:w="1986" w:type="dxa"/>
            <w:gridSpan w:val="4"/>
            <w:tcBorders>
              <w:top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盖章（签字）：</w:t>
            </w:r>
          </w:p>
        </w:tc>
        <w:tc>
          <w:tcPr>
            <w:tcW w:w="567" w:type="dxa"/>
            <w:tcBorders>
              <w:top w:val="nil"/>
              <w:left w:val="nil"/>
              <w:bottom w:val="nil"/>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3462" w:type="dxa"/>
            <w:gridSpan w:val="8"/>
            <w:tcBorders>
              <w:top w:val="nil"/>
              <w:left w:val="single" w:color="auto" w:sz="4" w:space="0"/>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盖章（签字）：</w:t>
            </w:r>
          </w:p>
        </w:tc>
        <w:tc>
          <w:tcPr>
            <w:tcW w:w="318" w:type="dxa"/>
            <w:tcBorders>
              <w:top w:val="nil"/>
              <w:left w:val="nil"/>
              <w:bottom w:val="nil"/>
            </w:tcBorders>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148" w:type="dxa"/>
            <w:gridSpan w:val="2"/>
            <w:vMerge w:val="continue"/>
            <w:shd w:val="clear" w:color="auto" w:fill="auto"/>
            <w:vAlign w:val="center"/>
          </w:tcPr>
          <w:p>
            <w:pPr>
              <w:widowControl/>
              <w:jc w:val="left"/>
              <w:rPr>
                <w:rFonts w:ascii="宋体" w:hAnsi="宋体" w:eastAsia="宋体" w:cs="宋体"/>
                <w:color w:val="000000"/>
                <w:kern w:val="0"/>
                <w:sz w:val="22"/>
              </w:rPr>
            </w:pPr>
          </w:p>
        </w:tc>
        <w:tc>
          <w:tcPr>
            <w:tcW w:w="994" w:type="dxa"/>
            <w:gridSpan w:val="2"/>
            <w:tcBorders>
              <w:top w:val="nil"/>
              <w:bottom w:val="single" w:color="auto" w:sz="4" w:space="0"/>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9"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年   月   日</w:t>
            </w: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36"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544" w:type="dxa"/>
            <w:gridSpan w:val="8"/>
            <w:tcBorders>
              <w:top w:val="nil"/>
              <w:left w:val="nil"/>
              <w:bottom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8" w:type="dxa"/>
            <w:gridSpan w:val="2"/>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区退役军人服务中心初审</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意见</w:t>
            </w:r>
          </w:p>
        </w:tc>
        <w:tc>
          <w:tcPr>
            <w:tcW w:w="994" w:type="dxa"/>
            <w:gridSpan w:val="2"/>
            <w:tcBorders>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gridSpan w:val="2"/>
            <w:tcBorders>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567" w:type="dxa"/>
            <w:tcBorders>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gridSpan w:val="2"/>
            <w:tcBorders>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36" w:type="dxa"/>
            <w:tcBorders>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226" w:type="dxa"/>
            <w:gridSpan w:val="7"/>
            <w:tcBorders>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18" w:type="dxa"/>
            <w:tcBorders>
              <w:left w:val="nil"/>
              <w:bottom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48" w:type="dxa"/>
            <w:gridSpan w:val="2"/>
            <w:vMerge w:val="continue"/>
            <w:vAlign w:val="center"/>
          </w:tcPr>
          <w:p>
            <w:pPr>
              <w:widowControl/>
              <w:jc w:val="left"/>
              <w:rPr>
                <w:rFonts w:ascii="宋体" w:hAnsi="宋体" w:eastAsia="宋体" w:cs="宋体"/>
                <w:color w:val="000000"/>
                <w:kern w:val="0"/>
                <w:sz w:val="22"/>
              </w:rPr>
            </w:pPr>
          </w:p>
        </w:tc>
        <w:tc>
          <w:tcPr>
            <w:tcW w:w="7467" w:type="dxa"/>
            <w:gridSpan w:val="16"/>
            <w:tcBorders>
              <w:top w:val="nil"/>
              <w:bottom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建议给予困难援助</w:t>
            </w:r>
            <w:r>
              <w:rPr>
                <w:rFonts w:hint="eastAsia" w:ascii="宋体" w:hAnsi="宋体" w:eastAsia="宋体" w:cs="宋体"/>
                <w:color w:val="000000"/>
                <w:kern w:val="0"/>
                <w:sz w:val="22"/>
                <w:u w:val="single"/>
              </w:rPr>
              <w:t xml:space="preserve">                      </w:t>
            </w:r>
            <w:r>
              <w:rPr>
                <w:rFonts w:hint="eastAsia" w:ascii="宋体" w:hAnsi="宋体" w:eastAsia="宋体" w:cs="宋体"/>
                <w:color w:val="000000"/>
                <w:kern w:val="0"/>
                <w:sz w:val="22"/>
              </w:rPr>
              <w:t>元（大写） （¥：</w:t>
            </w:r>
            <w:r>
              <w:rPr>
                <w:rFonts w:hint="eastAsia" w:ascii="宋体" w:hAnsi="宋体" w:eastAsia="宋体" w:cs="宋体"/>
                <w:color w:val="000000"/>
                <w:kern w:val="0"/>
                <w:sz w:val="22"/>
                <w:u w:val="single"/>
              </w:rPr>
              <w:t xml:space="preserve">          </w:t>
            </w:r>
            <w:r>
              <w:rPr>
                <w:rFonts w:hint="eastAsia"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148" w:type="dxa"/>
            <w:gridSpan w:val="2"/>
            <w:vMerge w:val="continue"/>
            <w:vAlign w:val="center"/>
          </w:tcPr>
          <w:p>
            <w:pPr>
              <w:widowControl/>
              <w:jc w:val="left"/>
              <w:rPr>
                <w:rFonts w:ascii="宋体" w:hAnsi="宋体" w:eastAsia="宋体" w:cs="宋体"/>
                <w:color w:val="000000"/>
                <w:kern w:val="0"/>
                <w:sz w:val="22"/>
              </w:rPr>
            </w:pPr>
          </w:p>
        </w:tc>
        <w:tc>
          <w:tcPr>
            <w:tcW w:w="1986" w:type="dxa"/>
            <w:gridSpan w:val="4"/>
            <w:tcBorders>
              <w:top w:val="nil"/>
              <w:bottom w:val="single" w:color="auto" w:sz="4" w:space="0"/>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  初审人：</w:t>
            </w:r>
          </w:p>
        </w:tc>
        <w:tc>
          <w:tcPr>
            <w:tcW w:w="567"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298" w:type="dxa"/>
            <w:gridSpan w:val="7"/>
            <w:tcBorders>
              <w:top w:val="nil"/>
              <w:left w:val="nil"/>
              <w:bottom w:val="single" w:color="auto" w:sz="4" w:space="0"/>
              <w:right w:val="nil"/>
            </w:tcBorders>
            <w:shd w:val="clear" w:color="auto" w:fill="auto"/>
            <w:noWrap/>
            <w:vAlign w:val="center"/>
          </w:tcPr>
          <w:p>
            <w:pPr>
              <w:widowControl/>
              <w:ind w:firstLine="220" w:firstLineChars="100"/>
              <w:jc w:val="left"/>
              <w:rPr>
                <w:rFonts w:ascii="宋体" w:hAnsi="宋体" w:eastAsia="宋体" w:cs="宋体"/>
                <w:color w:val="000000"/>
                <w:kern w:val="0"/>
                <w:sz w:val="22"/>
              </w:rPr>
            </w:pPr>
            <w:r>
              <w:rPr>
                <w:rFonts w:hint="eastAsia" w:ascii="宋体" w:hAnsi="宋体" w:eastAsia="宋体" w:cs="宋体"/>
                <w:color w:val="000000"/>
                <w:kern w:val="0"/>
                <w:sz w:val="22"/>
              </w:rPr>
              <w:t>盖章：</w:t>
            </w:r>
          </w:p>
        </w:tc>
        <w:tc>
          <w:tcPr>
            <w:tcW w:w="2298" w:type="dxa"/>
            <w:gridSpan w:val="3"/>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年   月   日</w:t>
            </w:r>
          </w:p>
        </w:tc>
        <w:tc>
          <w:tcPr>
            <w:tcW w:w="318" w:type="dxa"/>
            <w:tcBorders>
              <w:top w:val="nil"/>
              <w:left w:val="nil"/>
              <w:bottom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8" w:type="dxa"/>
            <w:gridSpan w:val="2"/>
            <w:vMerge w:val="restart"/>
            <w:shd w:val="clear" w:color="auto" w:fill="auto"/>
            <w:vAlign w:val="center"/>
          </w:tcPr>
          <w:p>
            <w:pPr>
              <w:jc w:val="left"/>
              <w:rPr>
                <w:rFonts w:ascii="宋体" w:hAnsi="宋体" w:eastAsia="宋体" w:cs="宋体"/>
                <w:color w:val="000000"/>
                <w:kern w:val="0"/>
                <w:sz w:val="22"/>
              </w:rPr>
            </w:pPr>
            <w:r>
              <w:rPr>
                <w:rFonts w:hint="eastAsia" w:ascii="宋体" w:hAnsi="宋体" w:eastAsia="宋体" w:cs="宋体"/>
                <w:color w:val="000000"/>
                <w:kern w:val="0"/>
                <w:sz w:val="22"/>
              </w:rPr>
              <w:t>区退役军人事务局审批意见</w:t>
            </w:r>
          </w:p>
        </w:tc>
        <w:tc>
          <w:tcPr>
            <w:tcW w:w="994" w:type="dxa"/>
            <w:gridSpan w:val="2"/>
            <w:tcBorders>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gridSpan w:val="2"/>
            <w:tcBorders>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567" w:type="dxa"/>
            <w:tcBorders>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gridSpan w:val="2"/>
            <w:tcBorders>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36" w:type="dxa"/>
            <w:tcBorders>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226" w:type="dxa"/>
            <w:gridSpan w:val="7"/>
            <w:tcBorders>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18" w:type="dxa"/>
            <w:tcBorders>
              <w:left w:val="nil"/>
              <w:bottom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8" w:type="dxa"/>
            <w:gridSpan w:val="2"/>
            <w:vMerge w:val="continue"/>
            <w:shd w:val="clear" w:color="auto" w:fill="auto"/>
            <w:vAlign w:val="center"/>
          </w:tcPr>
          <w:p>
            <w:pPr>
              <w:widowControl/>
              <w:jc w:val="left"/>
              <w:rPr>
                <w:rFonts w:ascii="宋体" w:hAnsi="宋体" w:eastAsia="宋体" w:cs="宋体"/>
                <w:color w:val="000000"/>
                <w:kern w:val="0"/>
                <w:sz w:val="22"/>
              </w:rPr>
            </w:pPr>
          </w:p>
        </w:tc>
        <w:tc>
          <w:tcPr>
            <w:tcW w:w="994" w:type="dxa"/>
            <w:gridSpan w:val="2"/>
            <w:tcBorders>
              <w:top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992"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567"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134"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23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3226" w:type="dxa"/>
            <w:gridSpan w:val="7"/>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318" w:type="dxa"/>
            <w:tcBorders>
              <w:top w:val="nil"/>
              <w:left w:val="nil"/>
              <w:bottom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1148" w:type="dxa"/>
            <w:gridSpan w:val="2"/>
            <w:vMerge w:val="continue"/>
            <w:shd w:val="clear" w:color="auto" w:fill="auto"/>
            <w:vAlign w:val="center"/>
          </w:tcPr>
          <w:p>
            <w:pPr>
              <w:widowControl/>
              <w:jc w:val="left"/>
              <w:rPr>
                <w:rFonts w:ascii="宋体" w:hAnsi="宋体" w:eastAsia="宋体" w:cs="宋体"/>
                <w:color w:val="000000"/>
                <w:kern w:val="0"/>
                <w:sz w:val="22"/>
              </w:rPr>
            </w:pPr>
          </w:p>
        </w:tc>
        <w:tc>
          <w:tcPr>
            <w:tcW w:w="1986" w:type="dxa"/>
            <w:gridSpan w:val="4"/>
            <w:tcBorders>
              <w:top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  审批人：</w:t>
            </w:r>
          </w:p>
        </w:tc>
        <w:tc>
          <w:tcPr>
            <w:tcW w:w="567" w:type="dxa"/>
            <w:tcBorders>
              <w:top w:val="nil"/>
              <w:left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70" w:type="dxa"/>
            <w:gridSpan w:val="3"/>
            <w:tcBorders>
              <w:top w:val="nil"/>
              <w:left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盖章：</w:t>
            </w:r>
          </w:p>
        </w:tc>
        <w:tc>
          <w:tcPr>
            <w:tcW w:w="3544" w:type="dxa"/>
            <w:gridSpan w:val="8"/>
            <w:tcBorders>
              <w:top w:val="nil"/>
              <w:lef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     年   月   日</w:t>
            </w:r>
          </w:p>
        </w:tc>
      </w:tr>
    </w:tbl>
    <w:p/>
    <w:sectPr>
      <w:footerReference r:id="rId3" w:type="default"/>
      <w:pgSz w:w="11906" w:h="16838"/>
      <w:pgMar w:top="2098" w:right="1474" w:bottom="198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_GBK">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path/>
          <v:fill on="f" focussize="0,0"/>
          <v:stroke on="f" weight="0.5pt" joinstyle="miter"/>
          <v:imagedata o:title=""/>
          <o:lock v:ext="edit"/>
          <v:textbox inset="0mm,0mm,0mm,0mm" style="mso-fit-shape-to-text:t;">
            <w:txbxContent>
              <w:p>
                <w:pPr>
                  <w:pStyle w:val="5"/>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ascii="仿宋" w:hAnsi="仿宋" w:eastAsia="仿宋" w:cs="仿宋"/>
                    <w:sz w:val="32"/>
                    <w:szCs w:val="32"/>
                  </w:rPr>
                  <w:t>- 11 -</w:t>
                </w:r>
                <w:r>
                  <w:rPr>
                    <w:rFonts w:hint="eastAsia" w:ascii="仿宋" w:hAnsi="仿宋" w:eastAsia="仿宋" w:cs="仿宋"/>
                    <w:sz w:val="32"/>
                    <w:szCs w:val="32"/>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C9084"/>
    <w:multiLevelType w:val="singleLevel"/>
    <w:tmpl w:val="8EDC9084"/>
    <w:lvl w:ilvl="0" w:tentative="0">
      <w:start w:val="4"/>
      <w:numFmt w:val="chineseCounting"/>
      <w:suff w:val="nothing"/>
      <w:lvlText w:val="%1、"/>
      <w:lvlJc w:val="left"/>
      <w:rPr>
        <w:rFonts w:hint="eastAsia"/>
      </w:rPr>
    </w:lvl>
  </w:abstractNum>
  <w:abstractNum w:abstractNumId="1">
    <w:nsid w:val="B98B839F"/>
    <w:multiLevelType w:val="singleLevel"/>
    <w:tmpl w:val="B98B839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ZlNmE5MzI2N2Y4YTIzMDY0OTYyMGNiZjVkOTM2ZGQifQ=="/>
  </w:docVars>
  <w:rsids>
    <w:rsidRoot w:val="00DD1F97"/>
    <w:rsid w:val="000038A8"/>
    <w:rsid w:val="00034B70"/>
    <w:rsid w:val="000525F9"/>
    <w:rsid w:val="000531DB"/>
    <w:rsid w:val="00062B72"/>
    <w:rsid w:val="00075AD8"/>
    <w:rsid w:val="00081729"/>
    <w:rsid w:val="00085274"/>
    <w:rsid w:val="00095741"/>
    <w:rsid w:val="0009743E"/>
    <w:rsid w:val="000A41C2"/>
    <w:rsid w:val="000B5E59"/>
    <w:rsid w:val="000D028E"/>
    <w:rsid w:val="000D7B6E"/>
    <w:rsid w:val="000E7D74"/>
    <w:rsid w:val="001119C5"/>
    <w:rsid w:val="001406F9"/>
    <w:rsid w:val="001479D2"/>
    <w:rsid w:val="001578BD"/>
    <w:rsid w:val="0016329C"/>
    <w:rsid w:val="00163324"/>
    <w:rsid w:val="00174449"/>
    <w:rsid w:val="001A7AA0"/>
    <w:rsid w:val="001B3BF6"/>
    <w:rsid w:val="001C509A"/>
    <w:rsid w:val="001E3B04"/>
    <w:rsid w:val="001E6D2F"/>
    <w:rsid w:val="0021299E"/>
    <w:rsid w:val="00214F19"/>
    <w:rsid w:val="002412F6"/>
    <w:rsid w:val="002415E8"/>
    <w:rsid w:val="00250FC4"/>
    <w:rsid w:val="00275E99"/>
    <w:rsid w:val="002878A5"/>
    <w:rsid w:val="002970C0"/>
    <w:rsid w:val="002A2497"/>
    <w:rsid w:val="002C4359"/>
    <w:rsid w:val="002D3402"/>
    <w:rsid w:val="002D60CD"/>
    <w:rsid w:val="002F6DD2"/>
    <w:rsid w:val="002F7C15"/>
    <w:rsid w:val="00310B57"/>
    <w:rsid w:val="0031119F"/>
    <w:rsid w:val="0033234C"/>
    <w:rsid w:val="00350609"/>
    <w:rsid w:val="00363677"/>
    <w:rsid w:val="00381BC2"/>
    <w:rsid w:val="003906DE"/>
    <w:rsid w:val="003941AE"/>
    <w:rsid w:val="003A2B61"/>
    <w:rsid w:val="003A3B95"/>
    <w:rsid w:val="003A59EB"/>
    <w:rsid w:val="003B5C9E"/>
    <w:rsid w:val="003B79C6"/>
    <w:rsid w:val="003C21FD"/>
    <w:rsid w:val="003D6E3F"/>
    <w:rsid w:val="003E15B4"/>
    <w:rsid w:val="003E1F2D"/>
    <w:rsid w:val="004003DC"/>
    <w:rsid w:val="00433693"/>
    <w:rsid w:val="004375CE"/>
    <w:rsid w:val="0044166B"/>
    <w:rsid w:val="0045337A"/>
    <w:rsid w:val="004708AC"/>
    <w:rsid w:val="0048730E"/>
    <w:rsid w:val="00492CC0"/>
    <w:rsid w:val="00494C1D"/>
    <w:rsid w:val="004A51E5"/>
    <w:rsid w:val="004A5219"/>
    <w:rsid w:val="004A53A4"/>
    <w:rsid w:val="004F41F1"/>
    <w:rsid w:val="004F7594"/>
    <w:rsid w:val="00501AFC"/>
    <w:rsid w:val="0051249B"/>
    <w:rsid w:val="0051365E"/>
    <w:rsid w:val="0052358D"/>
    <w:rsid w:val="00534DA7"/>
    <w:rsid w:val="00547321"/>
    <w:rsid w:val="0055050C"/>
    <w:rsid w:val="00556E63"/>
    <w:rsid w:val="005615C4"/>
    <w:rsid w:val="005633D7"/>
    <w:rsid w:val="005A2135"/>
    <w:rsid w:val="005A33F7"/>
    <w:rsid w:val="005E2444"/>
    <w:rsid w:val="005E4D32"/>
    <w:rsid w:val="005F2077"/>
    <w:rsid w:val="00637FBF"/>
    <w:rsid w:val="00684352"/>
    <w:rsid w:val="00690F11"/>
    <w:rsid w:val="00693DCB"/>
    <w:rsid w:val="006E1A69"/>
    <w:rsid w:val="00717971"/>
    <w:rsid w:val="00720109"/>
    <w:rsid w:val="0077071D"/>
    <w:rsid w:val="0077467F"/>
    <w:rsid w:val="0079461B"/>
    <w:rsid w:val="00795BB0"/>
    <w:rsid w:val="00796217"/>
    <w:rsid w:val="007A6031"/>
    <w:rsid w:val="007A66FA"/>
    <w:rsid w:val="007B5078"/>
    <w:rsid w:val="007B6DB9"/>
    <w:rsid w:val="007E0EBC"/>
    <w:rsid w:val="007E10FC"/>
    <w:rsid w:val="007E7CCD"/>
    <w:rsid w:val="00823542"/>
    <w:rsid w:val="00827C21"/>
    <w:rsid w:val="00842302"/>
    <w:rsid w:val="008A22E3"/>
    <w:rsid w:val="008A4FEF"/>
    <w:rsid w:val="008C33AD"/>
    <w:rsid w:val="008E23B8"/>
    <w:rsid w:val="008F70A8"/>
    <w:rsid w:val="00906540"/>
    <w:rsid w:val="00932E04"/>
    <w:rsid w:val="00954D55"/>
    <w:rsid w:val="00963CC6"/>
    <w:rsid w:val="009706B5"/>
    <w:rsid w:val="00974C73"/>
    <w:rsid w:val="00996E84"/>
    <w:rsid w:val="009C2578"/>
    <w:rsid w:val="009C3BA6"/>
    <w:rsid w:val="009C5517"/>
    <w:rsid w:val="009C710D"/>
    <w:rsid w:val="009F1E9B"/>
    <w:rsid w:val="00A03EA9"/>
    <w:rsid w:val="00A04900"/>
    <w:rsid w:val="00A066F7"/>
    <w:rsid w:val="00A15496"/>
    <w:rsid w:val="00A23284"/>
    <w:rsid w:val="00A30DEC"/>
    <w:rsid w:val="00A424A1"/>
    <w:rsid w:val="00AA1C23"/>
    <w:rsid w:val="00AC134D"/>
    <w:rsid w:val="00AF1F65"/>
    <w:rsid w:val="00B10E1C"/>
    <w:rsid w:val="00B13D15"/>
    <w:rsid w:val="00B324B3"/>
    <w:rsid w:val="00B333CC"/>
    <w:rsid w:val="00B43C69"/>
    <w:rsid w:val="00B74E7A"/>
    <w:rsid w:val="00BA1AAD"/>
    <w:rsid w:val="00BB4BC2"/>
    <w:rsid w:val="00BE40F0"/>
    <w:rsid w:val="00BF389A"/>
    <w:rsid w:val="00C13795"/>
    <w:rsid w:val="00C362C5"/>
    <w:rsid w:val="00C525F0"/>
    <w:rsid w:val="00C71B3E"/>
    <w:rsid w:val="00C74304"/>
    <w:rsid w:val="00C82838"/>
    <w:rsid w:val="00CB0B74"/>
    <w:rsid w:val="00CB482D"/>
    <w:rsid w:val="00CC24D4"/>
    <w:rsid w:val="00CF1FF8"/>
    <w:rsid w:val="00CF4ABE"/>
    <w:rsid w:val="00CF5415"/>
    <w:rsid w:val="00D06EB4"/>
    <w:rsid w:val="00D22863"/>
    <w:rsid w:val="00D341F3"/>
    <w:rsid w:val="00D84328"/>
    <w:rsid w:val="00DA0268"/>
    <w:rsid w:val="00DA3AAD"/>
    <w:rsid w:val="00DB6EC1"/>
    <w:rsid w:val="00DD1F97"/>
    <w:rsid w:val="00DF6D28"/>
    <w:rsid w:val="00E23736"/>
    <w:rsid w:val="00E36037"/>
    <w:rsid w:val="00E4410D"/>
    <w:rsid w:val="00E473C7"/>
    <w:rsid w:val="00E61474"/>
    <w:rsid w:val="00E6684E"/>
    <w:rsid w:val="00E75CCC"/>
    <w:rsid w:val="00E870F7"/>
    <w:rsid w:val="00E92C3F"/>
    <w:rsid w:val="00EB227F"/>
    <w:rsid w:val="00EB3D9E"/>
    <w:rsid w:val="00EB59B5"/>
    <w:rsid w:val="00EC47B4"/>
    <w:rsid w:val="00ED05A9"/>
    <w:rsid w:val="00ED28D4"/>
    <w:rsid w:val="00ED37AB"/>
    <w:rsid w:val="00ED3E98"/>
    <w:rsid w:val="00F0451E"/>
    <w:rsid w:val="00F11949"/>
    <w:rsid w:val="00F12F7F"/>
    <w:rsid w:val="00F501A5"/>
    <w:rsid w:val="00F92661"/>
    <w:rsid w:val="00FB0500"/>
    <w:rsid w:val="00FC18A0"/>
    <w:rsid w:val="00FC7B32"/>
    <w:rsid w:val="00FE314F"/>
    <w:rsid w:val="00FE3388"/>
    <w:rsid w:val="00FF0BC2"/>
    <w:rsid w:val="012F1388"/>
    <w:rsid w:val="0394148E"/>
    <w:rsid w:val="03DE2C70"/>
    <w:rsid w:val="05BA5E20"/>
    <w:rsid w:val="07DFE085"/>
    <w:rsid w:val="0E7519D6"/>
    <w:rsid w:val="197F7013"/>
    <w:rsid w:val="1A9F509D"/>
    <w:rsid w:val="1CB6683C"/>
    <w:rsid w:val="1DFB757A"/>
    <w:rsid w:val="1FD6CBEC"/>
    <w:rsid w:val="22AD51FE"/>
    <w:rsid w:val="293A7B5D"/>
    <w:rsid w:val="32F81F64"/>
    <w:rsid w:val="37E69C88"/>
    <w:rsid w:val="38375AA9"/>
    <w:rsid w:val="39EE14A0"/>
    <w:rsid w:val="3A6FFA40"/>
    <w:rsid w:val="3A7E3BC2"/>
    <w:rsid w:val="3CFF0236"/>
    <w:rsid w:val="3DD55E3C"/>
    <w:rsid w:val="3DF559D8"/>
    <w:rsid w:val="3EDEAE26"/>
    <w:rsid w:val="3EFE677D"/>
    <w:rsid w:val="4508633E"/>
    <w:rsid w:val="45661663"/>
    <w:rsid w:val="47B6679A"/>
    <w:rsid w:val="47DF4AB2"/>
    <w:rsid w:val="47FC52CE"/>
    <w:rsid w:val="4FFEB8E3"/>
    <w:rsid w:val="51492B58"/>
    <w:rsid w:val="528C0D5C"/>
    <w:rsid w:val="54B72E31"/>
    <w:rsid w:val="58AD5192"/>
    <w:rsid w:val="5BFB935D"/>
    <w:rsid w:val="5D7F8E30"/>
    <w:rsid w:val="5DC793B0"/>
    <w:rsid w:val="5DFEF5B6"/>
    <w:rsid w:val="5FBF86E8"/>
    <w:rsid w:val="5FEF9C2B"/>
    <w:rsid w:val="5FF6FF5B"/>
    <w:rsid w:val="5FFB4E86"/>
    <w:rsid w:val="61DA291E"/>
    <w:rsid w:val="637378B5"/>
    <w:rsid w:val="6999440D"/>
    <w:rsid w:val="7588237E"/>
    <w:rsid w:val="79E754D6"/>
    <w:rsid w:val="7ABE7B06"/>
    <w:rsid w:val="7B6FF3CE"/>
    <w:rsid w:val="7BFFF5C5"/>
    <w:rsid w:val="7D1F218C"/>
    <w:rsid w:val="7D7E22C0"/>
    <w:rsid w:val="7E2BC3C4"/>
    <w:rsid w:val="7EDD6E33"/>
    <w:rsid w:val="7FEB1DA6"/>
    <w:rsid w:val="7FEF0DE8"/>
    <w:rsid w:val="7FEFDCC9"/>
    <w:rsid w:val="7FFE9957"/>
    <w:rsid w:val="9BFA104B"/>
    <w:rsid w:val="9FFF2A23"/>
    <w:rsid w:val="AD9FE770"/>
    <w:rsid w:val="B7DF41BE"/>
    <w:rsid w:val="BA7B23C6"/>
    <w:rsid w:val="BBFFE76E"/>
    <w:rsid w:val="BDFB12E3"/>
    <w:rsid w:val="BDFE664E"/>
    <w:rsid w:val="BF7DCC04"/>
    <w:rsid w:val="BFFFCB77"/>
    <w:rsid w:val="CCDBF231"/>
    <w:rsid w:val="D73FA1E8"/>
    <w:rsid w:val="DADF02E3"/>
    <w:rsid w:val="DF66ECD3"/>
    <w:rsid w:val="DFFFCF13"/>
    <w:rsid w:val="EDC73883"/>
    <w:rsid w:val="EFFBAB3E"/>
    <w:rsid w:val="F57D50CF"/>
    <w:rsid w:val="F77B2678"/>
    <w:rsid w:val="F7DB1121"/>
    <w:rsid w:val="FB2F88F6"/>
    <w:rsid w:val="FC7F11E0"/>
    <w:rsid w:val="FC7FAB1F"/>
    <w:rsid w:val="FD7FE557"/>
    <w:rsid w:val="FEC7969C"/>
    <w:rsid w:val="FEDE5553"/>
    <w:rsid w:val="FFC7E5FE"/>
    <w:rsid w:val="FFE7CCF2"/>
    <w:rsid w:val="FFFD5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next w:val="1"/>
    <w:qFormat/>
    <w:uiPriority w:val="0"/>
    <w:pPr>
      <w:widowControl w:val="0"/>
      <w:spacing w:before="104" w:after="104"/>
      <w:jc w:val="both"/>
      <w:outlineLvl w:val="2"/>
    </w:pPr>
    <w:rPr>
      <w:rFonts w:ascii="Times New Roman" w:hAnsi="Times New Roman" w:eastAsia="仿宋_GB2312" w:cs="Times New Roman"/>
      <w:kern w:val="2"/>
      <w:sz w:val="32"/>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9"/>
    <w:semiHidden/>
    <w:unhideWhenUsed/>
    <w:qFormat/>
    <w:uiPriority w:val="99"/>
    <w:pPr>
      <w:ind w:left="100" w:leftChars="2500"/>
    </w:p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FollowedHyperlink"/>
    <w:basedOn w:val="9"/>
    <w:semiHidden/>
    <w:unhideWhenUsed/>
    <w:qFormat/>
    <w:uiPriority w:val="99"/>
    <w:rPr>
      <w:color w:val="000000"/>
      <w:u w:val="none"/>
    </w:rPr>
  </w:style>
  <w:style w:type="character" w:styleId="12">
    <w:name w:val="Emphasis"/>
    <w:basedOn w:val="9"/>
    <w:qFormat/>
    <w:uiPriority w:val="20"/>
  </w:style>
  <w:style w:type="character" w:styleId="13">
    <w:name w:val="Hyperlink"/>
    <w:basedOn w:val="9"/>
    <w:semiHidden/>
    <w:unhideWhenUsed/>
    <w:qFormat/>
    <w:uiPriority w:val="99"/>
    <w:rPr>
      <w:color w:val="000000"/>
      <w:u w:val="none"/>
    </w:rPr>
  </w:style>
  <w:style w:type="character" w:styleId="14">
    <w:name w:val="HTML Code"/>
    <w:basedOn w:val="9"/>
    <w:semiHidden/>
    <w:unhideWhenUsed/>
    <w:qFormat/>
    <w:uiPriority w:val="99"/>
    <w:rPr>
      <w:rFonts w:ascii="Courier New" w:hAnsi="Courier New"/>
      <w:sz w:val="20"/>
    </w:rPr>
  </w:style>
  <w:style w:type="character" w:customStyle="1" w:styleId="15">
    <w:name w:val="页眉 Char"/>
    <w:basedOn w:val="9"/>
    <w:link w:val="6"/>
    <w:semiHidden/>
    <w:qFormat/>
    <w:uiPriority w:val="99"/>
    <w:rPr>
      <w:sz w:val="18"/>
      <w:szCs w:val="18"/>
    </w:rPr>
  </w:style>
  <w:style w:type="character" w:customStyle="1" w:styleId="16">
    <w:name w:val="页脚 Char"/>
    <w:basedOn w:val="9"/>
    <w:link w:val="5"/>
    <w:qFormat/>
    <w:uiPriority w:val="99"/>
    <w:rPr>
      <w:sz w:val="18"/>
      <w:szCs w:val="18"/>
    </w:rPr>
  </w:style>
  <w:style w:type="paragraph" w:styleId="17">
    <w:name w:val="List Paragraph"/>
    <w:basedOn w:val="1"/>
    <w:unhideWhenUsed/>
    <w:qFormat/>
    <w:uiPriority w:val="99"/>
    <w:pPr>
      <w:ind w:firstLine="420" w:firstLineChars="200"/>
    </w:pPr>
    <w:rPr>
      <w:sz w:val="32"/>
    </w:rPr>
  </w:style>
  <w:style w:type="character" w:customStyle="1" w:styleId="18">
    <w:name w:val="批注框文本 Char"/>
    <w:basedOn w:val="9"/>
    <w:link w:val="4"/>
    <w:semiHidden/>
    <w:qFormat/>
    <w:uiPriority w:val="99"/>
    <w:rPr>
      <w:sz w:val="18"/>
      <w:szCs w:val="18"/>
    </w:rPr>
  </w:style>
  <w:style w:type="character" w:customStyle="1" w:styleId="19">
    <w:name w:val="日期 Char"/>
    <w:basedOn w:val="9"/>
    <w:link w:val="3"/>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721</Words>
  <Characters>4110</Characters>
  <Lines>34</Lines>
  <Paragraphs>9</Paragraphs>
  <TotalTime>687</TotalTime>
  <ScaleCrop>false</ScaleCrop>
  <LinksUpToDate>false</LinksUpToDate>
  <CharactersWithSpaces>4822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2022-05-30T03:49:00Z</dcterms:created>
  <dc:creator>匿名用户</dc:creator>
  <cp:lastModifiedBy>青树柠檬</cp:lastModifiedBy>
  <cp:lastPrinted>2022-07-15T02:18:00Z</cp:lastPrinted>
  <dcterms:modified xsi:type="dcterms:W3CDTF">2023-10-16T07:23:58Z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023CB037EDF74ED1A91A5190BC65A805_12</vt:lpwstr>
  </property>
</Properties>
</file>