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center"/>
        <w:rPr>
          <w:rFonts w:ascii="Calibri" w:eastAsia="宋体" w:cs="Times New Roman" w:hAnsi="Calibri"/>
          <w:b/>
          <w:bCs/>
          <w:vanish w:val="0"/>
          <w:kern w:val="0"/>
          <w:sz w:val="32"/>
          <w:szCs w:val="32"/>
        </w:rPr>
      </w:pPr>
      <w:r>
        <w:rPr>
          <w:rFonts w:ascii="宋体" w:eastAsia="宋体" w:cs="Times New Roman" w:hint="eastAsia"/>
          <w:b/>
          <w:bCs/>
          <w:vanish w:val="0"/>
          <w:kern w:val="0"/>
          <w:sz w:val="32"/>
          <w:szCs w:val="32"/>
        </w:rPr>
        <w:t>平阳县稻渔综合种养（小龙虾）综合保险</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center"/>
        <w:rPr>
          <w:rFonts w:ascii="Calibri" w:eastAsia="宋体" w:cs="Times New Roman" w:hAnsi="Calibri"/>
          <w:b/>
          <w:bCs/>
          <w:vanish w:val="0"/>
          <w:kern w:val="0"/>
          <w:sz w:val="32"/>
          <w:szCs w:val="32"/>
        </w:rPr>
      </w:pPr>
      <w:r>
        <w:rPr>
          <w:rFonts w:ascii="宋体" w:eastAsia="宋体" w:cs="Times New Roman" w:hint="eastAsia"/>
          <w:b/>
          <w:bCs/>
          <w:vanish w:val="0"/>
          <w:kern w:val="0"/>
          <w:sz w:val="32"/>
          <w:szCs w:val="32"/>
        </w:rPr>
        <w:t>实施方案</w:t>
      </w:r>
      <w:r>
        <w:rPr>
          <w:rFonts w:ascii="Calibri" w:eastAsia="宋体" w:cs="Times New Roman" w:hAnsi="Calibri"/>
          <w:b/>
          <w:bCs/>
          <w:vanish w:val="0"/>
          <w:kern w:val="0"/>
          <w:sz w:val="32"/>
          <w:szCs w:val="32"/>
        </w:rPr>
        <w:t>(</w:t>
      </w:r>
      <w:r>
        <w:rPr>
          <w:rFonts w:ascii="宋体" w:eastAsia="宋体" w:cs="Times New Roman" w:hint="eastAsia"/>
          <w:b/>
          <w:bCs/>
          <w:vanish w:val="0"/>
          <w:kern w:val="0"/>
          <w:sz w:val="32"/>
          <w:szCs w:val="32"/>
        </w:rPr>
        <w:t>征求意见稿</w:t>
      </w:r>
      <w:r>
        <w:rPr>
          <w:rFonts w:ascii="Calibri" w:eastAsia="宋体" w:cs="Times New Roman" w:hAnsi="Calibri"/>
          <w:b/>
          <w:bCs/>
          <w:vanish w:val="0"/>
          <w:kern w:val="0"/>
          <w:sz w:val="32"/>
          <w:szCs w:val="32"/>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4"/>
          <w:szCs w:val="24"/>
        </w:rPr>
      </w:pP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bookmarkStart w:id="0" w:name="_GoBack"/>
      <w:bookmarkEnd w:id="0"/>
      <w:r>
        <w:rPr>
          <w:rFonts w:ascii="宋体" w:eastAsia="宋体" w:cs="Times New Roman" w:hint="eastAsia"/>
          <w:vanish w:val="0"/>
          <w:kern w:val="0"/>
          <w:sz w:val="28"/>
          <w:szCs w:val="28"/>
        </w:rPr>
        <w:t>为贯彻落实</w:t>
      </w:r>
      <w:r>
        <w:rPr>
          <w:rFonts w:ascii="Calibri" w:eastAsia="宋体" w:cs="Times New Roman" w:hAnsi="Calibri"/>
          <w:vanish w:val="0"/>
          <w:kern w:val="0"/>
          <w:sz w:val="28"/>
          <w:szCs w:val="28"/>
        </w:rPr>
        <w:t>2024</w:t>
      </w:r>
      <w:r>
        <w:rPr>
          <w:rFonts w:ascii="宋体" w:eastAsia="宋体" w:cs="Times New Roman" w:hint="eastAsia"/>
          <w:vanish w:val="0"/>
          <w:kern w:val="0"/>
          <w:sz w:val="28"/>
          <w:szCs w:val="28"/>
        </w:rPr>
        <w:t>年中央一号文件关于鼓励地方发展特色农产品保险的精神，积极践行《浙江省人民政府办公厅关于鼓励开展特色农业保险品种试点工作的通知》</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浙政办发</w:t>
      </w:r>
      <w:r>
        <w:rPr>
          <w:rFonts w:ascii="Calibri" w:eastAsia="宋体" w:cs="Times New Roman" w:hAnsi="Calibri"/>
          <w:vanish w:val="0"/>
          <w:kern w:val="0"/>
          <w:sz w:val="28"/>
          <w:szCs w:val="28"/>
        </w:rPr>
        <w:t xml:space="preserve">[2012]14 </w:t>
      </w:r>
      <w:r>
        <w:rPr>
          <w:rFonts w:ascii="宋体" w:eastAsia="宋体" w:cs="Times New Roman" w:hint="eastAsia"/>
          <w:vanish w:val="0"/>
          <w:kern w:val="0"/>
          <w:sz w:val="28"/>
          <w:szCs w:val="28"/>
        </w:rPr>
        <w:t>号</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《浙江省人民政府办公厅关于加快农业保险高质量发展的实施意见》</w:t>
      </w:r>
      <w:r>
        <w:rPr>
          <w:rFonts w:ascii="Calibri" w:eastAsia="宋体" w:cs="Times New Roman" w:hAnsi="Calibri"/>
          <w:vanish w:val="0"/>
          <w:kern w:val="0"/>
          <w:sz w:val="28"/>
          <w:szCs w:val="28"/>
        </w:rPr>
        <w:t xml:space="preserve">( </w:t>
      </w:r>
      <w:r>
        <w:rPr>
          <w:rFonts w:ascii="宋体" w:eastAsia="宋体" w:cs="Times New Roman" w:hint="eastAsia"/>
          <w:vanish w:val="0"/>
          <w:kern w:val="0"/>
          <w:sz w:val="28"/>
          <w:szCs w:val="28"/>
        </w:rPr>
        <w:t>浙政办发</w:t>
      </w:r>
      <w:r>
        <w:rPr>
          <w:rFonts w:ascii="Calibri" w:eastAsia="宋体" w:cs="Times New Roman" w:hAnsi="Calibri"/>
          <w:vanish w:val="0"/>
          <w:kern w:val="0"/>
          <w:sz w:val="28"/>
          <w:szCs w:val="28"/>
        </w:rPr>
        <w:t xml:space="preserve">[2021]47 </w:t>
      </w:r>
      <w:r>
        <w:rPr>
          <w:rFonts w:ascii="宋体" w:eastAsia="宋体" w:cs="Times New Roman" w:hint="eastAsia"/>
          <w:vanish w:val="0"/>
          <w:kern w:val="0"/>
          <w:sz w:val="28"/>
          <w:szCs w:val="28"/>
        </w:rPr>
        <w:t>号</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等文件精神，发挥农业保险在分散风险以及作为农业支持保护制度方面的独特作用，增强小龙虾养殖业抵御风险能力，促进小龙虾养殖户增收致富，根据浙江省政策性农业保险有关法规政策，结合实际，特引入农业保险机制，对符合投保标准的农业生产经营主体开展</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稻渔综合种养（小龙虾）综合保险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试点工作，方案如下</w:t>
      </w:r>
      <w:r>
        <w:rPr>
          <w:rFonts w:ascii="Calibri" w:eastAsia="宋体" w:cs="Times New Roman" w:hAnsi="Calibri"/>
          <w:vanish w:val="0"/>
          <w:kern w:val="0"/>
          <w:sz w:val="28"/>
          <w:szCs w:val="28"/>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一、指导思想</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以习近平新时代中国特色社会主义思想为指导，充分发挥农业保险服务支持乡村振兴战略实施的功能作用，实行政策扶持与商业化运作相结合，积极探索小龙虾综合保险创新模式，激发小龙虾养殖户的积极性，增强其抵御减产风险的能力，促进小龙虾产业的可持续发展。</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二、基本原则</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以《农业保险条例》为指引，遵循下列基本原则：</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（一）政府引导。通过制定政策，发挥财政资金引导作用，在原试点基础上，推动和鼓励更多养殖户参加综合保险，推进特色农业保险扩面。</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（二）市场运作。遵循市场经济规律，运用市场化手段，发挥保险机构专业化风险防控优势，防范和化解农产品市场价格下跌风险，一定程度上保障农户生产性收入。</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（三）自主自愿。农业生产经营主体自愿参加综合保险。</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（四）协同推进。地方政府主管部门、行业协会等组织共同推进保险扩面工作，并给予保险公司积极支持。</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三、</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平阳县稻渔综合种养（小龙虾）综合保险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方案</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（一）保险标的</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同时符合下列条件的小龙虾可作为本保险合同的保险标的（以下简称保险小龙虾）：</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1.</w:t>
      </w:r>
      <w:r>
        <w:rPr>
          <w:rFonts w:ascii="宋体" w:eastAsia="宋体" w:cs="Times New Roman" w:hint="eastAsia"/>
          <w:vanish w:val="0"/>
          <w:kern w:val="0"/>
          <w:sz w:val="28"/>
          <w:szCs w:val="28"/>
        </w:rPr>
        <w:t>投保的保险小龙虾品种必须在当地饲养</w:t>
      </w:r>
      <w:r>
        <w:rPr>
          <w:rFonts w:ascii="Calibri" w:eastAsia="宋体" w:cs="Times New Roman" w:hAnsi="Calibri"/>
          <w:vanish w:val="0"/>
          <w:kern w:val="0"/>
          <w:sz w:val="28"/>
          <w:szCs w:val="28"/>
        </w:rPr>
        <w:t>1</w:t>
      </w:r>
      <w:r>
        <w:rPr>
          <w:rFonts w:ascii="宋体" w:eastAsia="宋体" w:cs="Times New Roman" w:hint="eastAsia"/>
          <w:vanish w:val="0"/>
          <w:kern w:val="0"/>
          <w:sz w:val="28"/>
          <w:szCs w:val="28"/>
        </w:rPr>
        <w:t>年以上（含），且符合水产养殖管理部门的种源导向；</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w:t>
      </w:r>
      <w:r>
        <w:rPr>
          <w:rFonts w:ascii="宋体" w:eastAsia="宋体" w:cs="Times New Roman" w:hint="eastAsia"/>
          <w:vanish w:val="0"/>
          <w:kern w:val="0"/>
          <w:sz w:val="28"/>
          <w:szCs w:val="28"/>
        </w:rPr>
        <w:t>放养虾苗规格、养殖密度、投喂方式符合水产养殖管理部门相关规定；</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w:t>
      </w:r>
      <w:r>
        <w:rPr>
          <w:rFonts w:ascii="宋体" w:eastAsia="宋体" w:cs="Times New Roman" w:hint="eastAsia"/>
          <w:vanish w:val="0"/>
          <w:kern w:val="0"/>
          <w:sz w:val="28"/>
          <w:szCs w:val="28"/>
        </w:rPr>
        <w:t>管理制度健全，严格执行防疫、治疗的各项规章制度，严禁使用禁用药物，切实做好安全防疫工作并有记录。</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（二）投保对象</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1.</w:t>
      </w:r>
      <w:r>
        <w:rPr>
          <w:rFonts w:ascii="宋体" w:eastAsia="宋体" w:cs="Times New Roman" w:hint="eastAsia"/>
          <w:vanish w:val="0"/>
          <w:kern w:val="0"/>
          <w:sz w:val="28"/>
          <w:szCs w:val="28"/>
        </w:rPr>
        <w:t>养殖场（户）持有土地承包合同；</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w:t>
      </w:r>
      <w:r>
        <w:rPr>
          <w:rFonts w:ascii="宋体" w:eastAsia="宋体" w:cs="Times New Roman" w:hint="eastAsia"/>
          <w:vanish w:val="0"/>
          <w:kern w:val="0"/>
          <w:sz w:val="28"/>
          <w:szCs w:val="28"/>
        </w:rPr>
        <w:t>养虾池塘堤坝与排灌设施均符合水产养殖管理部门相关规定；</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w:t>
      </w:r>
      <w:r>
        <w:rPr>
          <w:rFonts w:ascii="宋体" w:eastAsia="宋体" w:cs="Times New Roman" w:hint="eastAsia"/>
          <w:vanish w:val="0"/>
          <w:kern w:val="0"/>
          <w:sz w:val="28"/>
          <w:szCs w:val="28"/>
        </w:rPr>
        <w:t>养虾池塘水质正常，并有增氧、换水等设备；</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4.</w:t>
      </w:r>
      <w:r>
        <w:rPr>
          <w:rFonts w:ascii="宋体" w:eastAsia="宋体" w:cs="Times New Roman" w:hint="eastAsia"/>
          <w:vanish w:val="0"/>
          <w:kern w:val="0"/>
          <w:sz w:val="28"/>
          <w:szCs w:val="28"/>
        </w:rPr>
        <w:t>养虾池塘在当地洪水水位线以上的非蓄洪、行洪区；</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5.</w:t>
      </w:r>
      <w:r>
        <w:rPr>
          <w:rFonts w:ascii="宋体" w:eastAsia="宋体" w:cs="Times New Roman" w:hint="eastAsia"/>
          <w:vanish w:val="0"/>
          <w:kern w:val="0"/>
          <w:sz w:val="28"/>
          <w:szCs w:val="28"/>
        </w:rPr>
        <w:t>养殖场（户）饲养水域面积在</w:t>
      </w:r>
      <w:r>
        <w:rPr>
          <w:rFonts w:ascii="Calibri" w:eastAsia="宋体" w:cs="Times New Roman" w:hAnsi="Calibri"/>
          <w:vanish w:val="0"/>
          <w:kern w:val="0"/>
          <w:sz w:val="28"/>
          <w:szCs w:val="28"/>
        </w:rPr>
        <w:t>10</w:t>
      </w:r>
      <w:r>
        <w:rPr>
          <w:rFonts w:ascii="宋体" w:eastAsia="宋体" w:cs="Times New Roman" w:hint="eastAsia"/>
          <w:vanish w:val="0"/>
          <w:kern w:val="0"/>
          <w:sz w:val="28"/>
          <w:szCs w:val="28"/>
        </w:rPr>
        <w:t>亩以上（含）。</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（三）保险责任</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因下列原因造成被保险人损失的，保险人负责赔偿</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1.</w:t>
      </w:r>
      <w:r>
        <w:rPr>
          <w:rFonts w:ascii="宋体" w:eastAsia="宋体" w:cs="Times New Roman" w:hint="eastAsia"/>
          <w:vanish w:val="0"/>
          <w:kern w:val="0"/>
          <w:sz w:val="28"/>
          <w:szCs w:val="28"/>
        </w:rPr>
        <w:t>市场价格低于保险目标价格；</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w:t>
      </w:r>
      <w:r>
        <w:rPr>
          <w:rFonts w:ascii="宋体" w:eastAsia="宋体" w:cs="Times New Roman" w:hint="eastAsia"/>
          <w:vanish w:val="0"/>
          <w:kern w:val="0"/>
          <w:sz w:val="28"/>
          <w:szCs w:val="28"/>
        </w:rPr>
        <w:t>病虫害；</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（四）保险期间</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保单保险期间为一年，以保险单载明的起讫时间为准。</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（五）保险金额</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每亩保险金额：保险小龙虾的每亩保险金额参照生产成本的一定比例确定为</w:t>
      </w:r>
      <w:r>
        <w:rPr>
          <w:rFonts w:ascii="Calibri" w:eastAsia="宋体" w:cs="Times New Roman" w:hAnsi="Calibri"/>
          <w:vanish w:val="0"/>
          <w:kern w:val="0"/>
          <w:sz w:val="28"/>
          <w:szCs w:val="28"/>
        </w:rPr>
        <w:t>2000</w:t>
      </w:r>
      <w:r>
        <w:rPr>
          <w:rFonts w:ascii="宋体" w:eastAsia="宋体" w:cs="Times New Roman" w:hint="eastAsia"/>
          <w:vanish w:val="0"/>
          <w:kern w:val="0"/>
          <w:sz w:val="28"/>
          <w:szCs w:val="28"/>
        </w:rPr>
        <w:t>元，并在保险单中载明。</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保险金额（元）＝每亩保险金额（元</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保险面积（亩）</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保险面积以保险单载明为准。</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（六）试点面积、保险费率、保费及保费补贴</w:t>
      </w:r>
    </w:p>
    <w:tbl>
      <w:tblPr>
        <w:jc w:val="left"/>
        <w:tblInd w:w="3" w:type="dxa"/>
        <w:tblW w:w="799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344"/>
        <w:gridCol w:w="6343"/>
        <w:gridCol w:w="309"/>
      </w:tblGrid>
      <w:tr>
        <w:tc>
          <w:tcPr>
            <w:tcW w:w="1395" w:type="dxa"/>
            <w:tcBorders>
              <w:top w:val="single" w:sz="6" w:space="0" w:color="auto"/>
              <w:left w:val="single" w:sz="6" w:space="0" w:color="auto"/>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试点面积</w:t>
            </w:r>
          </w:p>
        </w:tc>
        <w:tc>
          <w:tcPr>
            <w:tcW w:w="6900" w:type="dxa"/>
            <w:gridSpan w:val="2"/>
            <w:tcBorders>
              <w:top w:val="single" w:sz="6" w:space="0" w:color="auto"/>
              <w:left w:val="nil"/>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3000</w:t>
            </w:r>
            <w:r>
              <w:rPr>
                <w:rFonts w:ascii="宋体" w:eastAsia="宋体" w:cs="Times New Roman" w:hint="eastAsia"/>
                <w:vanish w:val="0"/>
                <w:kern w:val="0"/>
                <w:sz w:val="28"/>
                <w:szCs w:val="28"/>
              </w:rPr>
              <w:t>亩</w:t>
            </w:r>
          </w:p>
        </w:tc>
      </w:tr>
      <w:tr>
        <w:tc>
          <w:tcPr>
            <w:tcW w:w="1395" w:type="dxa"/>
            <w:tcBorders>
              <w:top w:val="nil"/>
              <w:left w:val="single" w:sz="6" w:space="0" w:color="auto"/>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保额</w:t>
            </w:r>
          </w:p>
        </w:tc>
        <w:tc>
          <w:tcPr>
            <w:tcW w:w="6900" w:type="dxa"/>
            <w:gridSpan w:val="2"/>
            <w:tcBorders>
              <w:top w:val="nil"/>
              <w:left w:val="nil"/>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2000</w:t>
            </w:r>
            <w:r>
              <w:rPr>
                <w:rFonts w:ascii="宋体" w:eastAsia="宋体" w:cs="Times New Roman" w:hint="eastAsia"/>
                <w:vanish w:val="0"/>
                <w:kern w:val="0"/>
                <w:sz w:val="28"/>
                <w:szCs w:val="28"/>
              </w:rPr>
              <w:t>元</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亩</w:t>
            </w:r>
          </w:p>
        </w:tc>
      </w:tr>
      <w:tr>
        <w:tc>
          <w:tcPr>
            <w:tcW w:w="1395" w:type="dxa"/>
            <w:tcBorders>
              <w:top w:val="nil"/>
              <w:left w:val="single" w:sz="6" w:space="0" w:color="auto"/>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区域</w:t>
            </w:r>
          </w:p>
        </w:tc>
        <w:tc>
          <w:tcPr>
            <w:tcW w:w="6585" w:type="dxa"/>
            <w:tcBorders>
              <w:top w:val="nil"/>
              <w:left w:val="nil"/>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平阳县全辖</w:t>
            </w:r>
          </w:p>
        </w:tc>
        <w:tc>
          <w:tcPr>
            <w:tcW w:w="315" w:type="dxa"/>
            <w:tcBorders>
              <w:top w:val="nil"/>
              <w:left w:val="nil"/>
              <w:bottom w:val="nil"/>
              <w:right w:val="nil"/>
              <w:tl2br w:val="nil"/>
              <w:tr2bl w:val="nil"/>
            </w:tcBorders>
            <w:tcMar>
              <w:top w:w="75" w:type="dxa"/>
              <w:left w:w="150" w:type="dxa"/>
              <w:bottom w:w="75" w:type="dxa"/>
              <w:right w:w="15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ind w:left="0" w:right="0"/>
              <w:rPr>
                <w:rFonts w:ascii="Calibri" w:eastAsia="宋体" w:cs="Times New Roman" w:hAnsi="Calibri"/>
                <w:vanish w:val="0"/>
                <w:kern w:val="2"/>
                <w:sz w:val="28"/>
                <w:szCs w:val="28"/>
              </w:rPr>
            </w:pPr>
          </w:p>
        </w:tc>
      </w:tr>
      <w:tr>
        <w:tc>
          <w:tcPr>
            <w:tcW w:w="1395" w:type="dxa"/>
            <w:tcBorders>
              <w:top w:val="nil"/>
              <w:left w:val="single" w:sz="6" w:space="0" w:color="auto"/>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保险费率</w:t>
            </w:r>
          </w:p>
        </w:tc>
        <w:tc>
          <w:tcPr>
            <w:tcW w:w="6585" w:type="dxa"/>
            <w:tcBorders>
              <w:top w:val="nil"/>
              <w:left w:val="nil"/>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 xml:space="preserve">10% </w:t>
            </w:r>
          </w:p>
        </w:tc>
        <w:tc>
          <w:tcPr>
            <w:tcW w:w="315" w:type="dxa"/>
            <w:tcBorders>
              <w:top w:val="nil"/>
              <w:left w:val="nil"/>
              <w:bottom w:val="nil"/>
              <w:right w:val="nil"/>
              <w:tl2br w:val="nil"/>
              <w:tr2bl w:val="nil"/>
            </w:tcBorders>
            <w:tcMar>
              <w:top w:w="75" w:type="dxa"/>
              <w:left w:w="150" w:type="dxa"/>
              <w:bottom w:w="75" w:type="dxa"/>
              <w:right w:w="15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ind w:left="0" w:right="0"/>
              <w:rPr>
                <w:rFonts w:ascii="Calibri" w:eastAsia="宋体" w:cs="Times New Roman" w:hAnsi="Calibri"/>
                <w:vanish w:val="0"/>
                <w:kern w:val="2"/>
                <w:sz w:val="28"/>
                <w:szCs w:val="28"/>
              </w:rPr>
            </w:pPr>
          </w:p>
        </w:tc>
      </w:tr>
      <w:tr>
        <w:tc>
          <w:tcPr>
            <w:tcW w:w="1395" w:type="dxa"/>
            <w:tcBorders>
              <w:top w:val="nil"/>
              <w:left w:val="single" w:sz="6" w:space="0" w:color="auto"/>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保费构成</w:t>
            </w:r>
          </w:p>
        </w:tc>
        <w:tc>
          <w:tcPr>
            <w:tcW w:w="6585" w:type="dxa"/>
            <w:tcBorders>
              <w:top w:val="nil"/>
              <w:left w:val="nil"/>
              <w:bottom w:val="single" w:sz="6" w:space="0" w:color="auto"/>
              <w:right w:val="single" w:sz="6" w:space="0" w:color="auto"/>
              <w:tl2br w:val="nil"/>
              <w:tr2bl w:val="nil"/>
            </w:tcBorders>
            <w:tcMar>
              <w:top w:w="0" w:type="dxa"/>
              <w:left w:w="105" w:type="dxa"/>
              <w:bottom w:w="0" w:type="dxa"/>
              <w:right w:w="105" w:type="dxa"/>
            </w:tcMar>
            <w:vAlign w:val="cente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市级财政补贴30%</w:t>
            </w:r>
            <w:r>
              <w:rPr>
                <w:rFonts w:ascii="宋体" w:eastAsia="宋体" w:cs="Times New Roman" w:hint="eastAsia"/>
                <w:vanish w:val="0"/>
                <w:kern w:val="0"/>
                <w:sz w:val="28"/>
                <w:szCs w:val="28"/>
              </w:rPr>
              <w:t>，县级财政补贴</w:t>
            </w:r>
            <w:r>
              <w:rPr>
                <w:rFonts w:ascii="Calibri" w:eastAsia="宋体" w:cs="Times New Roman" w:hAnsi="Calibri"/>
                <w:vanish w:val="0"/>
                <w:kern w:val="0"/>
                <w:sz w:val="28"/>
                <w:szCs w:val="28"/>
              </w:rPr>
              <w:t>30%</w:t>
            </w:r>
            <w:r>
              <w:rPr>
                <w:rFonts w:ascii="宋体" w:eastAsia="宋体" w:cs="Times New Roman" w:hint="eastAsia"/>
                <w:vanish w:val="0"/>
                <w:kern w:val="0"/>
                <w:sz w:val="28"/>
                <w:szCs w:val="28"/>
              </w:rPr>
              <w:t>，农户自缴</w:t>
            </w:r>
            <w:r>
              <w:rPr>
                <w:rFonts w:ascii="Calibri" w:eastAsia="宋体" w:cs="Times New Roman" w:hAnsi="Calibri"/>
                <w:vanish w:val="0"/>
                <w:kern w:val="0"/>
                <w:sz w:val="28"/>
                <w:szCs w:val="28"/>
              </w:rPr>
              <w:t>40%</w:t>
            </w:r>
            <w:r>
              <w:rPr>
                <w:rFonts w:ascii="宋体" w:eastAsia="宋体" w:cs="Times New Roman" w:hint="eastAsia"/>
                <w:vanish w:val="0"/>
                <w:kern w:val="0"/>
                <w:sz w:val="28"/>
                <w:szCs w:val="28"/>
              </w:rPr>
              <w:t>。</w:t>
            </w:r>
          </w:p>
        </w:tc>
        <w:tc>
          <w:tcPr>
            <w:tcW w:w="315" w:type="dxa"/>
            <w:tcBorders>
              <w:top w:val="nil"/>
              <w:left w:val="nil"/>
              <w:bottom w:val="nil"/>
              <w:right w:val="nil"/>
              <w:tl2br w:val="nil"/>
              <w:tr2bl w:val="nil"/>
            </w:tcBorders>
            <w:tcMar>
              <w:top w:w="75" w:type="dxa"/>
              <w:left w:w="150" w:type="dxa"/>
              <w:bottom w:w="75" w:type="dxa"/>
              <w:right w:w="150" w:type="dxa"/>
            </w:tcMar>
            <w:vAlign w:val="center"/>
          </w:tcPr>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ind w:left="0" w:right="0"/>
              <w:rPr>
                <w:rFonts w:ascii="Calibri" w:eastAsia="宋体" w:cs="Times New Roman" w:hAnsi="Calibri"/>
                <w:vanish w:val="0"/>
                <w:kern w:val="2"/>
                <w:sz w:val="28"/>
                <w:szCs w:val="28"/>
              </w:rPr>
            </w:pPr>
          </w:p>
        </w:tc>
      </w:tr>
    </w:tbl>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（七）理赔服务</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保险期间投保地发生本保险合同约定的保险事故，按照以下方式和标准计算赔偿：</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1.</w:t>
      </w:r>
      <w:r>
        <w:rPr>
          <w:rFonts w:ascii="宋体" w:eastAsia="宋体" w:cs="Times New Roman" w:hint="eastAsia"/>
          <w:vanish w:val="0"/>
          <w:kern w:val="0"/>
          <w:sz w:val="28"/>
          <w:szCs w:val="28"/>
        </w:rPr>
        <w:t>价格跌落：在采价期间内，由于市场价格波动造成保险小龙虾在某个理赔周期内的平均市场交易成本价低于保险目标价格时，视为保险事故发生，保险人按照约定负责赔偿。采价期</w:t>
      </w:r>
      <w:r>
        <w:rPr>
          <w:rFonts w:ascii="Calibri" w:eastAsia="宋体" w:cs="Times New Roman" w:hAnsi="Calibri"/>
          <w:vanish w:val="0"/>
          <w:kern w:val="0"/>
          <w:sz w:val="28"/>
          <w:szCs w:val="28"/>
        </w:rPr>
        <w:t>45</w:t>
      </w:r>
      <w:r>
        <w:rPr>
          <w:rFonts w:ascii="宋体" w:eastAsia="宋体" w:cs="Times New Roman" w:hint="eastAsia"/>
          <w:vanish w:val="0"/>
          <w:kern w:val="0"/>
          <w:sz w:val="28"/>
          <w:szCs w:val="28"/>
        </w:rPr>
        <w:t>天，分三个理赔周期，根据小龙虾第二茬虾集中上市的</w:t>
      </w:r>
      <w:r>
        <w:rPr>
          <w:rFonts w:ascii="Calibri" w:eastAsia="宋体" w:cs="Times New Roman" w:hAnsi="Calibri"/>
          <w:vanish w:val="0"/>
          <w:kern w:val="0"/>
          <w:sz w:val="28"/>
          <w:szCs w:val="28"/>
        </w:rPr>
        <w:t>4</w:t>
      </w:r>
      <w:r>
        <w:rPr>
          <w:rFonts w:ascii="宋体" w:eastAsia="宋体" w:cs="Times New Roman" w:hint="eastAsia"/>
          <w:vanish w:val="0"/>
          <w:kern w:val="0"/>
          <w:sz w:val="28"/>
          <w:szCs w:val="28"/>
        </w:rPr>
        <w:t>月下旬至</w:t>
      </w:r>
      <w:r>
        <w:rPr>
          <w:rFonts w:ascii="Calibri" w:eastAsia="宋体" w:cs="Times New Roman" w:hAnsi="Calibri"/>
          <w:vanish w:val="0"/>
          <w:kern w:val="0"/>
          <w:sz w:val="28"/>
          <w:szCs w:val="28"/>
        </w:rPr>
        <w:t>6</w:t>
      </w:r>
      <w:r>
        <w:rPr>
          <w:rFonts w:ascii="宋体" w:eastAsia="宋体" w:cs="Times New Roman" w:hint="eastAsia"/>
          <w:vanish w:val="0"/>
          <w:kern w:val="0"/>
          <w:sz w:val="28"/>
          <w:szCs w:val="28"/>
        </w:rPr>
        <w:t>月中旬时间经保险双方协商确定，并在保单中载明；</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宋体" w:eastAsia="宋体" w:cs="Times New Roman"/>
          <w:vanish w:val="0"/>
          <w:kern w:val="0"/>
          <w:sz w:val="28"/>
          <w:szCs w:val="28"/>
        </w:rPr>
      </w:pPr>
      <w:r>
        <w:rPr>
          <w:rFonts w:ascii="宋体" w:eastAsia="宋体" w:cs="Times New Roman" w:hint="eastAsia"/>
          <w:vanish w:val="0"/>
          <w:kern w:val="0"/>
          <w:sz w:val="28"/>
          <w:szCs w:val="28"/>
        </w:rPr>
        <w:t>实际市场成本价格参照采价期间内保险小龙虾实际市场销售成本价格的算术平均数确定。价格数据来源参考安徽省水产总站监测点公开发布的价格数据</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w:t>
      </w:r>
      <w:r>
        <w:rPr>
          <w:rFonts w:ascii="Calibri" w:eastAsia="宋体" w:cs="Times New Roman" w:hAnsi="Calibri"/>
          <w:vanish w:val="0"/>
          <w:kern w:val="0"/>
          <w:sz w:val="28"/>
          <w:szCs w:val="28"/>
        </w:rPr>
        <w:t>http://www.ahnw.cn/schq/search?key=%E5%B0%8F%E9%BE%99%E8%99%BE&amp;imageField=</w:t>
      </w:r>
      <w:r>
        <w:rPr>
          <w:rFonts w:ascii="宋体" w:eastAsia="宋体" w:cs="Times New Roman" w:hint="eastAsia"/>
          <w:vanish w:val="0"/>
          <w:kern w:val="0"/>
          <w:sz w:val="28"/>
          <w:szCs w:val="28"/>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上市销售采价期内的平均市场交易成本价采用安徽省水产总站监测点小龙虾价格监测数据中</w:t>
      </w:r>
      <w:r>
        <w:rPr>
          <w:rFonts w:ascii="Calibri" w:eastAsia="宋体" w:cs="Times New Roman" w:hAnsi="Calibri"/>
          <w:vanish w:val="0"/>
          <w:kern w:val="0"/>
          <w:sz w:val="28"/>
          <w:szCs w:val="28"/>
        </w:rPr>
        <w:t>4-6</w:t>
      </w:r>
      <w:r>
        <w:rPr>
          <w:rFonts w:ascii="宋体" w:eastAsia="宋体" w:cs="Times New Roman" w:hint="eastAsia"/>
          <w:vanish w:val="0"/>
          <w:kern w:val="0"/>
          <w:sz w:val="28"/>
          <w:szCs w:val="28"/>
        </w:rPr>
        <w:t>钱小龙虾价格的每期发布的每日值为准，若平台每期价格中未发布每日值，则以每周发布的发往浙江的小龙虾</w:t>
      </w:r>
      <w:r>
        <w:rPr>
          <w:rFonts w:ascii="Calibri" w:eastAsia="宋体" w:cs="Times New Roman" w:hAnsi="Calibri"/>
          <w:vanish w:val="0"/>
          <w:kern w:val="0"/>
          <w:sz w:val="28"/>
          <w:szCs w:val="28"/>
        </w:rPr>
        <w:t>4-6</w:t>
      </w:r>
      <w:r>
        <w:rPr>
          <w:rFonts w:ascii="宋体" w:eastAsia="宋体" w:cs="Times New Roman" w:hint="eastAsia"/>
          <w:vanish w:val="0"/>
          <w:kern w:val="0"/>
          <w:sz w:val="28"/>
          <w:szCs w:val="28"/>
        </w:rPr>
        <w:t>钱价格为准，如上述网站价格停止发布，由保险公司和政府部门另行确定第三方公允的价格采集平台。</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2025</w:t>
      </w:r>
      <w:r>
        <w:rPr>
          <w:rFonts w:ascii="宋体" w:eastAsia="宋体" w:cs="Times New Roman" w:hint="eastAsia"/>
          <w:vanish w:val="0"/>
          <w:kern w:val="0"/>
          <w:sz w:val="28"/>
          <w:szCs w:val="28"/>
        </w:rPr>
        <w:t>年本次项目试点期间，小龙虾保险价格暂定为</w:t>
      </w:r>
      <w:r>
        <w:rPr>
          <w:rFonts w:ascii="Calibri" w:eastAsia="宋体" w:cs="Times New Roman" w:hAnsi="Calibri"/>
          <w:vanish w:val="0"/>
          <w:kern w:val="0"/>
          <w:sz w:val="28"/>
          <w:szCs w:val="28"/>
        </w:rPr>
        <w:t>12</w:t>
      </w:r>
      <w:r>
        <w:rPr>
          <w:rFonts w:ascii="宋体" w:eastAsia="宋体" w:cs="Times New Roman" w:hint="eastAsia"/>
          <w:vanish w:val="0"/>
          <w:kern w:val="0"/>
          <w:sz w:val="28"/>
          <w:szCs w:val="28"/>
        </w:rPr>
        <w:t>元</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斤（规格</w:t>
      </w:r>
      <w:r>
        <w:rPr>
          <w:rFonts w:ascii="Calibri" w:eastAsia="宋体" w:cs="Times New Roman" w:hAnsi="Calibri"/>
          <w:vanish w:val="0"/>
          <w:kern w:val="0"/>
          <w:sz w:val="28"/>
          <w:szCs w:val="28"/>
        </w:rPr>
        <w:t>20-30</w:t>
      </w:r>
      <w:r>
        <w:rPr>
          <w:rFonts w:ascii="宋体" w:eastAsia="宋体" w:cs="Times New Roman" w:hint="eastAsia"/>
          <w:vanish w:val="0"/>
          <w:kern w:val="0"/>
          <w:sz w:val="28"/>
          <w:szCs w:val="28"/>
        </w:rPr>
        <w:t>克</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尾）。后续视市场变化情况，经农业农村局确认后进行相应的价格变动。保险发生事故时，被保险人对保险标的不具有保险利益的，不得向保险人请求赔偿保险金。</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保险小龙虾发生保险责任范围内的损失，保险人按以下方式计算赔偿：</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赔偿金额</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每亩赔偿金额（元</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保险面积（亩）</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每亩赔偿金额</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（保险目标价格</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小龙虾市场交易平均成本价格）</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保险目标价格</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采价区间保险金额</w:t>
      </w:r>
      <w:r>
        <w:rPr>
          <w:rFonts w:ascii="Calibri" w:eastAsia="宋体" w:cs="Times New Roman" w:hAnsi="Calibri"/>
          <w:vanish w:val="0"/>
          <w:kern w:val="0"/>
          <w:sz w:val="28"/>
          <w:szCs w:val="28"/>
        </w:rPr>
        <w:t>}</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采价区间保险金额按下表分配：</w:t>
      </w:r>
    </w:p>
    <w:tbl>
      <w:tblPr>
        <w:jc w:val="left"/>
        <w:tblInd w:w="3" w:type="dxa"/>
        <w:tblW w:w="829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464"/>
        <w:gridCol w:w="1728"/>
        <w:gridCol w:w="1984"/>
        <w:gridCol w:w="2119"/>
      </w:tblGrid>
      <w:tr>
        <w:tc>
          <w:tcPr>
            <w:tcW w:w="2460" w:type="dxa"/>
            <w:tcBorders>
              <w:top w:val="single" w:sz="6" w:space="0" w:color="auto"/>
              <w:left w:val="single" w:sz="6" w:space="0" w:color="auto"/>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保险期间</w:t>
            </w:r>
          </w:p>
        </w:tc>
        <w:tc>
          <w:tcPr>
            <w:tcW w:w="1725" w:type="dxa"/>
            <w:tcBorders>
              <w:top w:val="single" w:sz="6" w:space="0" w:color="auto"/>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第一周期</w:t>
            </w:r>
          </w:p>
        </w:tc>
        <w:tc>
          <w:tcPr>
            <w:tcW w:w="1980" w:type="dxa"/>
            <w:tcBorders>
              <w:top w:val="single" w:sz="6" w:space="0" w:color="auto"/>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第二周期</w:t>
            </w:r>
          </w:p>
        </w:tc>
        <w:tc>
          <w:tcPr>
            <w:tcW w:w="2115" w:type="dxa"/>
            <w:tcBorders>
              <w:top w:val="single" w:sz="6" w:space="0" w:color="auto"/>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第三周期</w:t>
            </w:r>
          </w:p>
        </w:tc>
      </w:tr>
      <w:tr>
        <w:tc>
          <w:tcPr>
            <w:tcW w:w="2460" w:type="dxa"/>
            <w:tcBorders>
              <w:top w:val="nil"/>
              <w:left w:val="single" w:sz="6" w:space="0" w:color="auto"/>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区间保险金额比例</w:t>
            </w:r>
          </w:p>
        </w:tc>
        <w:tc>
          <w:tcPr>
            <w:tcW w:w="1725" w:type="dxa"/>
            <w:tcBorders>
              <w:top w:val="nil"/>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32.5%</w:t>
            </w:r>
          </w:p>
        </w:tc>
        <w:tc>
          <w:tcPr>
            <w:tcW w:w="1980" w:type="dxa"/>
            <w:tcBorders>
              <w:top w:val="nil"/>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35%</w:t>
            </w:r>
          </w:p>
        </w:tc>
        <w:tc>
          <w:tcPr>
            <w:tcW w:w="2115" w:type="dxa"/>
            <w:tcBorders>
              <w:top w:val="nil"/>
              <w:left w:val="nil"/>
              <w:bottom w:val="single" w:sz="6" w:space="0" w:color="auto"/>
              <w:right w:val="single" w:sz="6" w:space="0" w:color="auto"/>
              <w:tl2br w:val="nil"/>
              <w:tr2bl w:val="nil"/>
            </w:tcBorders>
            <w:tcMar>
              <w:top w:w="0" w:type="dxa"/>
              <w:left w:w="105" w:type="dxa"/>
              <w:bottom w:w="0" w:type="dxa"/>
              <w:right w:w="105" w:type="dxa"/>
            </w:tcMar>
          </w:tcPr>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0" w:beforeAutospacing="0" w:after="0"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32.5%</w:t>
            </w:r>
          </w:p>
        </w:tc>
      </w:tr>
    </w:tbl>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Calibri" w:eastAsia="宋体" w:cs="Times New Roman" w:hAnsi="Calibri"/>
          <w:vanish w:val="0"/>
          <w:kern w:val="0"/>
          <w:sz w:val="28"/>
          <w:szCs w:val="28"/>
        </w:rPr>
        <w:t>2.</w:t>
      </w:r>
      <w:r>
        <w:rPr>
          <w:rFonts w:ascii="宋体" w:eastAsia="宋体" w:cs="Times New Roman" w:hint="eastAsia"/>
          <w:vanish w:val="0"/>
          <w:kern w:val="0"/>
          <w:sz w:val="28"/>
          <w:szCs w:val="28"/>
        </w:rPr>
        <w:t>病虫害：在保险期间，保险小龙虾发生病虫害，并造成死亡，保险人按照保险条款的约定负责赔偿：</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赔偿金额</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每亩保险金额（元</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损失面积（亩）</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损失率</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损失率</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单位面积平均受损量</w:t>
      </w:r>
      <w:r>
        <w:rPr>
          <w:rFonts w:ascii="Calibri" w:eastAsia="宋体" w:cs="Times New Roman" w:hAnsi="Calibri"/>
          <w:vanish w:val="0"/>
          <w:kern w:val="0"/>
          <w:sz w:val="28"/>
          <w:szCs w:val="28"/>
        </w:rPr>
        <w:t>/</w:t>
      </w:r>
      <w:r>
        <w:rPr>
          <w:rFonts w:ascii="宋体" w:eastAsia="宋体" w:cs="Times New Roman" w:hint="eastAsia"/>
          <w:vanish w:val="0"/>
          <w:kern w:val="0"/>
          <w:sz w:val="28"/>
          <w:szCs w:val="28"/>
        </w:rPr>
        <w:t>单位面积平均正常产量</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单茬虾单位面积平均产量确定为</w:t>
      </w:r>
      <w:r>
        <w:rPr>
          <w:rFonts w:ascii="Calibri" w:eastAsia="宋体" w:cs="Times New Roman" w:hAnsi="Calibri"/>
          <w:vanish w:val="0"/>
          <w:kern w:val="0"/>
          <w:sz w:val="28"/>
          <w:szCs w:val="28"/>
        </w:rPr>
        <w:t>170</w:t>
      </w:r>
      <w:r>
        <w:rPr>
          <w:rFonts w:ascii="宋体" w:eastAsia="宋体" w:cs="Times New Roman" w:hint="eastAsia"/>
          <w:vanish w:val="0"/>
          <w:kern w:val="0"/>
          <w:sz w:val="28"/>
          <w:szCs w:val="28"/>
        </w:rPr>
        <w:t>斤</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发生病虫害导致小龙虾损失的在保险期间内累计赔偿限额以不超过保险金额的</w:t>
      </w:r>
      <w:r>
        <w:rPr>
          <w:rFonts w:ascii="Calibri" w:eastAsia="宋体" w:cs="Times New Roman" w:hAnsi="Calibri"/>
          <w:vanish w:val="0"/>
          <w:kern w:val="0"/>
          <w:sz w:val="28"/>
          <w:szCs w:val="28"/>
        </w:rPr>
        <w:t>5%</w:t>
      </w:r>
      <w:r>
        <w:rPr>
          <w:rFonts w:ascii="宋体" w:eastAsia="宋体" w:cs="Times New Roman" w:hint="eastAsia"/>
          <w:vanish w:val="0"/>
          <w:kern w:val="0"/>
          <w:sz w:val="28"/>
          <w:szCs w:val="28"/>
        </w:rPr>
        <w:t>为限，保险小龙虾发生部分损失经赔偿后，保险金额相应减少，若出险后累计赔偿金额达到保险金额，保险责任即行终止。</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（九）保险模式</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在政府主导下，保险公司与政府相关职能部门共同制定试点方案；在政府专项扶持资金和建立价格和灾害保障机制的支持下，保险公司自主经营，自负盈亏，自担风险；依托政府与保险机构的基层服务网络体系，实施承保、理赔服务工作。</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r>
        <w:rPr>
          <w:rFonts w:ascii="宋体" w:eastAsia="宋体" w:cs="Times New Roman" w:hint="eastAsia"/>
          <w:vanish w:val="0"/>
          <w:kern w:val="0"/>
          <w:sz w:val="28"/>
          <w:szCs w:val="28"/>
        </w:rPr>
        <w:t>注：最终条款以实际报备的为准</w:t>
      </w:r>
    </w:p>
    <w:p>
      <w:pPr>
        <w:pStyle w:val="92"/>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spacing w:before="75" w:beforeAutospacing="0" w:after="75" w:afterAutospacing="0"/>
        <w:ind w:left="0" w:right="0"/>
        <w:jc w:val="both"/>
        <w:rPr>
          <w:rFonts w:ascii="Calibri" w:eastAsia="宋体" w:cs="Times New Roman" w:hAnsi="Calibri"/>
          <w:vanish w:val="0"/>
          <w:kern w:val="0"/>
          <w:sz w:val="28"/>
          <w:szCs w:val="28"/>
        </w:rPr>
      </w:pPr>
    </w:p>
    <w:p>
      <w:pPr>
        <w:pBdr>
          <w:top w:val="none" w:sz="0" w:space="0" w:color="auto"/>
          <w:left w:val="none" w:sz="0" w:space="0" w:color="auto"/>
          <w:bottom w:val="none" w:sz="0" w:space="0" w:color="auto"/>
          <w:right w:val="none" w:sz="0" w:space="0" w:color="auto"/>
        </w:pBdr>
        <w:rPr>
          <w:rFonts w:ascii="Calibri" w:eastAsia="宋体" w:cs="Times New Roman" w:hAnsi="Calibri"/>
          <w:vanish w:val="0"/>
          <w:kern w:val="2"/>
          <w:sz w:val="28"/>
          <w:szCs w:val="28"/>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b w:val="0"/>
      <w:i w:val="0"/>
      <w:caps w:val="0"/>
      <w:smallCaps w:val="0"/>
      <w:strike w:val="0"/>
      <w:dstrike w:val="0"/>
      <w:snapToGrid/>
      <w:vanish w:val="0"/>
      <w:color w:val="auto"/>
      <w:spacing w:val="0"/>
      <w:w w:val="100"/>
      <w:kern w:val="2"/>
      <w:position w:val="0"/>
      <w:sz w:val="21"/>
      <w:szCs w:val="21"/>
      <w:u w:val="none" w:color="auto"/>
      <w:shd w:val="clear" w:color="auto" w:fill="auto"/>
      <w:vertAlign w:val="baseline"/>
      <w:em w:val="none"/>
      <w:lang w:val="en-US" w:eastAsia="zh-CN"/>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92">
    <w:name w:val="Normal (Web)"/>
    <w:basedOn w:val="0"/>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Calibri" w:eastAsia="宋体" w:cs="Times New Roman" w:hAnsi="Calibri"/>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6D7C64C-FC08-4B38-8289-B08A87C15F5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25</TotalTime>
  <Application>Yozo_Office27021597764231179</Application>
  <Pages>6</Pages>
  <Words>0</Words>
  <Characters>1793</Characters>
  <Lines>0</Lines>
  <Paragraphs>59</Paragraphs>
  <CharactersWithSpaces>2391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2021-05-08T07:28:00Z</dcterms:created>
  <dcterms:modified xsi:type="dcterms:W3CDTF">2024-11-12T07:51:35Z</dcterms:modified>
</cp:coreProperties>
</file>