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苍南县广交会一般性展位分配细则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》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（征求意见稿）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的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起草说明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eastAsia" w:ascii="仿宋_GB2312" w:hAnsi="ˎ̥" w:eastAsia="仿宋_GB2312" w:cs="宋体"/>
          <w:b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黑体" w:hAnsi="ˎ̥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ˎ̥" w:eastAsia="黑体" w:cs="宋体"/>
          <w:bCs/>
          <w:color w:val="auto"/>
          <w:kern w:val="0"/>
          <w:sz w:val="32"/>
          <w:szCs w:val="32"/>
        </w:rPr>
        <w:t>一、</w:t>
      </w:r>
      <w:r>
        <w:rPr>
          <w:rFonts w:hint="eastAsia" w:ascii="黑体" w:hAnsi="ˎ̥" w:eastAsia="黑体" w:cs="宋体"/>
          <w:bCs/>
          <w:color w:val="auto"/>
          <w:kern w:val="0"/>
          <w:sz w:val="32"/>
          <w:szCs w:val="32"/>
          <w:lang w:val="en-US" w:eastAsia="zh-CN"/>
        </w:rPr>
        <w:t>政策出台背景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苍南县对外贸易基础薄弱。2022年我县外贸有外贸进出口实绩的企业仅有288家，其中年出口额达1000万美元的仅有6家，出口达500万美元以上21家。外贸产品附加值低。外贸出口企业高新特新企业较少，出口产品为箱包、包装、办公文具等附加值减低，导致我县外贸进出口额增长乏力。历年来，外贸企业对广交会展位十分重视，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原广交会展区分配办法已不适用当前的展位分配原则。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为进一步规范和完善苍南县广交会展位管理，优化参展企业，充分发挥广交会对我县外贸发展的积极作用，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温州市商务局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《关于印发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广交会温州分团展位申请、分配和管理办法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温商务〔2022〕10 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）精神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结合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苍南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实际，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苍南县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广交会一般性展位分配细则》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试行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eastAsia" w:eastAsia="仿宋_GB2312" w:cs="Times New Roman"/>
          <w:sz w:val="32"/>
          <w:szCs w:val="32"/>
          <w:lang w:eastAsia="zh-CN"/>
        </w:rPr>
        <w:t>融合修订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hAnsi="ˎ̥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ˎ̥" w:eastAsia="黑体" w:cs="宋体"/>
          <w:bCs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ˎ̥" w:eastAsia="黑体" w:cs="宋体"/>
          <w:bCs/>
          <w:color w:val="auto"/>
          <w:kern w:val="0"/>
          <w:sz w:val="32"/>
          <w:szCs w:val="32"/>
        </w:rPr>
        <w:t>、</w:t>
      </w:r>
      <w:r>
        <w:rPr>
          <w:rFonts w:hint="eastAsia" w:ascii="黑体" w:hAnsi="ˎ̥" w:eastAsia="黑体" w:cs="宋体"/>
          <w:bCs/>
          <w:color w:val="auto"/>
          <w:kern w:val="0"/>
          <w:sz w:val="32"/>
          <w:szCs w:val="32"/>
          <w:lang w:val="en-US" w:eastAsia="zh-CN"/>
        </w:rPr>
        <w:t>主要内容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征求意见稿分企业资格条件、展位分配原则、评分标准、分配程序、违规处理、附则等分配细则共由六个部分组成。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NGMzMWU4YzhhMjQxMTllMmEwMTcyYjVkMzQxNmIifQ=="/>
  </w:docVars>
  <w:rsids>
    <w:rsidRoot w:val="00000000"/>
    <w:rsid w:val="019E12DD"/>
    <w:rsid w:val="03D41080"/>
    <w:rsid w:val="064B6FFB"/>
    <w:rsid w:val="07972E36"/>
    <w:rsid w:val="087A4FBF"/>
    <w:rsid w:val="25780FA6"/>
    <w:rsid w:val="2BC0431C"/>
    <w:rsid w:val="31766EFA"/>
    <w:rsid w:val="38837C44"/>
    <w:rsid w:val="3AF95264"/>
    <w:rsid w:val="47A16DA3"/>
    <w:rsid w:val="4B9B6A79"/>
    <w:rsid w:val="4D6E5F6B"/>
    <w:rsid w:val="5979517E"/>
    <w:rsid w:val="59D56F6B"/>
    <w:rsid w:val="63B63737"/>
    <w:rsid w:val="6F5C0A2B"/>
    <w:rsid w:val="78771CCB"/>
    <w:rsid w:val="79FD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qFormat/>
    <w:uiPriority w:val="99"/>
    <w:rPr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376</Characters>
  <Lines>0</Lines>
  <Paragraphs>0</Paragraphs>
  <TotalTime>1</TotalTime>
  <ScaleCrop>false</ScaleCrop>
  <LinksUpToDate>false</LinksUpToDate>
  <CharactersWithSpaces>379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2023-05-15T09:06:00Z</dcterms:created>
  <dc:creator>Administrator</dc:creator>
  <cp:lastModifiedBy>夏元通</cp:lastModifiedBy>
  <dcterms:modified xsi:type="dcterms:W3CDTF">2024-01-04T23:40:27Z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0320933416304994B38E31C549C813BD_12</vt:lpwstr>
  </property>
</Properties>
</file>