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9A" w:rsidRDefault="001E789A" w:rsidP="00A06DB1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</w:rPr>
      </w:pPr>
    </w:p>
    <w:p w:rsidR="00EB5A9F" w:rsidRDefault="00CE0ED8" w:rsidP="00A06DB1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《</w:t>
      </w:r>
      <w:r w:rsidR="00147033" w:rsidRPr="00147033">
        <w:rPr>
          <w:rFonts w:ascii="Times New Roman" w:eastAsia="方正小标宋简体" w:hAnsi="Times New Roman" w:cs="Times New Roman" w:hint="eastAsia"/>
          <w:sz w:val="44"/>
        </w:rPr>
        <w:t>金融支持高质量发展若干政策</w:t>
      </w:r>
      <w:r w:rsidR="003366D2">
        <w:rPr>
          <w:rFonts w:ascii="Times New Roman" w:eastAsia="方正小标宋简体" w:hAnsi="Times New Roman" w:cs="Times New Roman" w:hint="eastAsia"/>
          <w:sz w:val="44"/>
        </w:rPr>
        <w:t>第二轮</w:t>
      </w:r>
      <w:r>
        <w:rPr>
          <w:rFonts w:ascii="Times New Roman" w:eastAsia="方正小标宋简体" w:hAnsi="Times New Roman" w:cs="Times New Roman"/>
          <w:sz w:val="44"/>
        </w:rPr>
        <w:t>》</w:t>
      </w:r>
    </w:p>
    <w:p w:rsidR="00EB5A9F" w:rsidRDefault="00625534" w:rsidP="00A06DB1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起草情况说明</w:t>
      </w:r>
    </w:p>
    <w:p w:rsidR="00EB5A9F" w:rsidRPr="000D1115" w:rsidRDefault="000D1115" w:rsidP="00625534">
      <w:pPr>
        <w:spacing w:beforeLines="50" w:afterLines="50" w:line="500" w:lineRule="exact"/>
        <w:jc w:val="center"/>
        <w:rPr>
          <w:rFonts w:ascii="楷体_GB2312" w:eastAsia="楷体_GB2312" w:hAnsi="Times New Roman" w:cs="Times New Roman"/>
          <w:color w:val="000000"/>
          <w:spacing w:val="1"/>
          <w:sz w:val="32"/>
          <w:szCs w:val="32"/>
        </w:rPr>
      </w:pPr>
      <w:r w:rsidRPr="000D1115">
        <w:rPr>
          <w:rFonts w:ascii="楷体_GB2312" w:eastAsia="楷体_GB2312" w:hAnsi="Times New Roman" w:cs="Times New Roman" w:hint="eastAsia"/>
          <w:color w:val="000000"/>
          <w:spacing w:val="1"/>
          <w:sz w:val="32"/>
          <w:szCs w:val="32"/>
        </w:rPr>
        <w:t>区经信局（金融办）</w:t>
      </w:r>
    </w:p>
    <w:p w:rsidR="000D1115" w:rsidRDefault="000D1115" w:rsidP="00A06DB1">
      <w:pPr>
        <w:spacing w:line="500" w:lineRule="exact"/>
        <w:ind w:firstLineChars="200" w:firstLine="644"/>
        <w:jc w:val="left"/>
        <w:rPr>
          <w:rFonts w:ascii="Times New Roman" w:eastAsia="黑体" w:hAnsi="Times New Roman" w:cs="Times New Roman"/>
          <w:color w:val="000000"/>
          <w:spacing w:val="1"/>
          <w:sz w:val="32"/>
          <w:szCs w:val="32"/>
        </w:rPr>
      </w:pPr>
    </w:p>
    <w:p w:rsidR="00EB5A9F" w:rsidRDefault="00CE0ED8" w:rsidP="00A06DB1">
      <w:pPr>
        <w:spacing w:line="500" w:lineRule="exact"/>
        <w:ind w:firstLineChars="200" w:firstLine="644"/>
        <w:jc w:val="left"/>
        <w:rPr>
          <w:rStyle w:val="a9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pacing w:val="1"/>
          <w:sz w:val="32"/>
          <w:szCs w:val="32"/>
        </w:rPr>
        <w:t>一、</w:t>
      </w:r>
      <w:r>
        <w:rPr>
          <w:rStyle w:val="a9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  <w:t>政策出台理</w:t>
      </w:r>
      <w:r>
        <w:rPr>
          <w:rStyle w:val="a9"/>
          <w:rFonts w:ascii="Times New Roman" w:eastAsia="黑体" w:hAnsi="Times New Roman" w:cs="Times New Roman"/>
          <w:b w:val="0"/>
          <w:bCs w:val="0"/>
          <w:sz w:val="32"/>
          <w:szCs w:val="32"/>
        </w:rPr>
        <w:t>由</w:t>
      </w:r>
    </w:p>
    <w:p w:rsidR="00924AB3" w:rsidRPr="005303B5" w:rsidRDefault="00924AB3" w:rsidP="00B02043">
      <w:pPr>
        <w:spacing w:line="55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303B5">
        <w:rPr>
          <w:rFonts w:ascii="仿宋" w:eastAsia="仿宋" w:hAnsi="仿宋" w:cs="Times New Roman" w:hint="eastAsia"/>
          <w:sz w:val="32"/>
          <w:szCs w:val="22"/>
        </w:rPr>
        <w:t>政策出台的总背景是：进一步贯彻落实中央经济工作会</w:t>
      </w:r>
      <w:r w:rsidRPr="005303B5">
        <w:rPr>
          <w:rFonts w:ascii="仿宋_GB2312" w:eastAsia="仿宋_GB2312" w:hAnsi="仿宋_GB2312" w:cs="仿宋_GB2312" w:hint="eastAsia"/>
          <w:sz w:val="32"/>
          <w:szCs w:val="32"/>
        </w:rPr>
        <w:t>议精神和省、市两级工作部署，推动金融支持经济社会高质量发展，围绕“稳进提质”总体要求和越城实际，制定有关金融政策。</w:t>
      </w:r>
    </w:p>
    <w:p w:rsidR="000D1115" w:rsidRDefault="00AC59D4" w:rsidP="001E789A">
      <w:pPr>
        <w:spacing w:line="55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B0075">
        <w:rPr>
          <w:rFonts w:ascii="仿宋_GB2312" w:eastAsia="仿宋_GB2312" w:hAnsi="仿宋_GB2312" w:cs="仿宋_GB2312" w:hint="eastAsia"/>
          <w:sz w:val="32"/>
          <w:szCs w:val="32"/>
        </w:rPr>
        <w:t>2023年度，通过</w:t>
      </w:r>
      <w:r w:rsidR="00042701">
        <w:rPr>
          <w:rFonts w:ascii="仿宋_GB2312" w:eastAsia="仿宋_GB2312" w:hAnsi="仿宋_GB2312" w:cs="仿宋_GB2312" w:hint="eastAsia"/>
          <w:sz w:val="32"/>
          <w:szCs w:val="32"/>
        </w:rPr>
        <w:t>加大政策扶持，结合</w:t>
      </w:r>
      <w:r w:rsidRPr="007B0075">
        <w:rPr>
          <w:rFonts w:ascii="仿宋_GB2312" w:eastAsia="仿宋_GB2312" w:hAnsi="仿宋_GB2312" w:cs="仿宋_GB2312" w:hint="eastAsia"/>
          <w:sz w:val="32"/>
          <w:szCs w:val="32"/>
        </w:rPr>
        <w:t>健全</w:t>
      </w:r>
      <w:r w:rsidR="00042701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7B0075">
        <w:rPr>
          <w:rFonts w:ascii="仿宋_GB2312" w:eastAsia="仿宋_GB2312" w:hAnsi="仿宋_GB2312" w:cs="仿宋_GB2312" w:hint="eastAsia"/>
          <w:sz w:val="32"/>
          <w:szCs w:val="32"/>
        </w:rPr>
        <w:t>机制、搭建</w:t>
      </w:r>
      <w:r w:rsidR="00042701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7B0075"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42701"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 w:rsidRPr="007B0075">
        <w:rPr>
          <w:rFonts w:ascii="仿宋_GB2312" w:eastAsia="仿宋_GB2312" w:hAnsi="仿宋_GB2312" w:cs="仿宋_GB2312" w:hint="eastAsia"/>
          <w:sz w:val="32"/>
          <w:szCs w:val="32"/>
        </w:rPr>
        <w:t>要素保障等手段，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重点从三方面提升工作实效。</w:t>
      </w:r>
      <w:r w:rsidR="006D7DA8" w:rsidRPr="006D7DA8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924AB3" w:rsidRPr="005303B5">
        <w:rPr>
          <w:rFonts w:ascii="仿宋_GB2312" w:eastAsia="仿宋_GB2312" w:hAnsi="仿宋_GB2312" w:cs="仿宋_GB2312" w:hint="eastAsia"/>
          <w:b/>
          <w:sz w:val="32"/>
          <w:szCs w:val="32"/>
        </w:rPr>
        <w:t>加强金融服务保障，</w:t>
      </w:r>
      <w:r w:rsidR="00924AB3" w:rsidRPr="005303B5">
        <w:rPr>
          <w:rFonts w:ascii="仿宋_GB2312" w:eastAsia="仿宋_GB2312" w:hAnsi="仿宋_GB2312" w:cs="仿宋_GB2312" w:hint="eastAsia"/>
          <w:sz w:val="32"/>
          <w:szCs w:val="32"/>
        </w:rPr>
        <w:t>重点对应提升金融存贷款增长两项G</w:t>
      </w:r>
      <w:r w:rsidR="00924AB3" w:rsidRPr="005303B5">
        <w:rPr>
          <w:rFonts w:ascii="仿宋_GB2312" w:eastAsia="仿宋_GB2312" w:hAnsi="仿宋_GB2312" w:cs="仿宋_GB2312"/>
          <w:sz w:val="32"/>
          <w:szCs w:val="32"/>
        </w:rPr>
        <w:t>DP</w:t>
      </w:r>
      <w:r w:rsidR="00924AB3" w:rsidRPr="005303B5">
        <w:rPr>
          <w:rFonts w:ascii="仿宋_GB2312" w:eastAsia="仿宋_GB2312" w:hAnsi="仿宋_GB2312" w:cs="仿宋_GB2312" w:hint="eastAsia"/>
          <w:sz w:val="32"/>
          <w:szCs w:val="32"/>
        </w:rPr>
        <w:t>指标，通过考核引导、荣誉表彰等方面对银行机构进行业务激励，通过机构落户奖励，对辖内新设机构加大招引，</w:t>
      </w:r>
      <w:r w:rsidR="00924AB3">
        <w:rPr>
          <w:rFonts w:ascii="仿宋_GB2312" w:eastAsia="仿宋_GB2312" w:hAnsi="仿宋_GB2312" w:cs="仿宋_GB2312" w:hint="eastAsia"/>
          <w:sz w:val="32"/>
          <w:szCs w:val="32"/>
        </w:rPr>
        <w:t>力争全年金融存贷款总量超万亿</w:t>
      </w:r>
      <w:r w:rsidR="0048684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86841" w:rsidRPr="00486841">
        <w:rPr>
          <w:rFonts w:ascii="仿宋_GB2312" w:eastAsia="仿宋_GB2312" w:hAnsi="仿宋_GB2312" w:cs="仿宋_GB2312" w:hint="eastAsia"/>
          <w:sz w:val="32"/>
          <w:szCs w:val="32"/>
        </w:rPr>
        <w:t>金融两项GDP指标增幅位居全市前列</w:t>
      </w:r>
      <w:r w:rsidR="004868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D7DA8" w:rsidRPr="006D7DA8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="006D7DA8">
        <w:rPr>
          <w:rFonts w:ascii="仿宋_GB2312" w:eastAsia="仿宋_GB2312" w:hAnsi="仿宋_GB2312" w:cs="仿宋_GB2312" w:hint="eastAsia"/>
          <w:b/>
          <w:sz w:val="32"/>
          <w:szCs w:val="32"/>
        </w:rPr>
        <w:t>强化融资担保增信</w:t>
      </w:r>
      <w:r w:rsidR="00924AB3" w:rsidRPr="005303B5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 w:rsidR="00924AB3" w:rsidRPr="005303B5">
        <w:rPr>
          <w:rFonts w:ascii="仿宋_GB2312" w:eastAsia="仿宋_GB2312" w:hAnsi="仿宋_GB2312" w:cs="仿宋_GB2312" w:hint="eastAsia"/>
          <w:sz w:val="32"/>
          <w:szCs w:val="32"/>
        </w:rPr>
        <w:t>重点对应政府性融资担保年度在保余额考核指标，</w:t>
      </w:r>
      <w:r w:rsidR="00486841">
        <w:rPr>
          <w:rFonts w:ascii="仿宋_GB2312" w:eastAsia="仿宋_GB2312" w:hAnsi="仿宋_GB2312" w:cs="仿宋_GB2312" w:hint="eastAsia"/>
          <w:sz w:val="32"/>
          <w:szCs w:val="32"/>
        </w:rPr>
        <w:t>有助于</w:t>
      </w:r>
      <w:r w:rsidR="00486841" w:rsidRPr="00486841">
        <w:rPr>
          <w:rFonts w:ascii="仿宋_GB2312" w:eastAsia="仿宋_GB2312" w:hAnsi="仿宋_GB2312" w:cs="仿宋_GB2312" w:hint="eastAsia"/>
          <w:sz w:val="32"/>
          <w:szCs w:val="32"/>
        </w:rPr>
        <w:t>积极发挥政策性担保公司的助企解难作用，尽早完成市对区年度考核任务。</w:t>
      </w:r>
      <w:r w:rsidR="006D7DA8" w:rsidRPr="006D7DA8"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 w:rsidR="006D7DA8">
        <w:rPr>
          <w:rFonts w:ascii="仿宋_GB2312" w:eastAsia="仿宋_GB2312" w:hAnsi="仿宋_GB2312" w:cs="仿宋_GB2312" w:hint="eastAsia"/>
          <w:b/>
          <w:sz w:val="32"/>
          <w:szCs w:val="32"/>
        </w:rPr>
        <w:t>强化资本市场发展支撑</w:t>
      </w:r>
      <w:r w:rsidR="00924AB3" w:rsidRPr="005303B5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 w:rsidR="00924AB3" w:rsidRPr="005303B5">
        <w:rPr>
          <w:rFonts w:ascii="仿宋_GB2312" w:eastAsia="仿宋_GB2312" w:hAnsi="仿宋_GB2312" w:cs="仿宋_GB2312" w:hint="eastAsia"/>
          <w:sz w:val="32"/>
          <w:szCs w:val="32"/>
        </w:rPr>
        <w:t>通过出台越城区上市培育全生命周期政策包，进一步深化巩固“凤凰行动”计划成果，预计2023年可建设运作“越城区资本市场工作站”，实现上市报会</w:t>
      </w:r>
      <w:r w:rsidR="007F7149">
        <w:rPr>
          <w:rFonts w:ascii="仿宋_GB2312" w:eastAsia="仿宋_GB2312" w:hAnsi="仿宋_GB2312" w:cs="仿宋_GB2312" w:hint="eastAsia"/>
          <w:sz w:val="32"/>
          <w:szCs w:val="32"/>
        </w:rPr>
        <w:t>4家次</w:t>
      </w:r>
      <w:r w:rsidR="00924AB3" w:rsidRPr="005303B5">
        <w:rPr>
          <w:rFonts w:ascii="仿宋_GB2312" w:eastAsia="仿宋_GB2312" w:hAnsi="仿宋_GB2312" w:cs="仿宋_GB2312" w:hint="eastAsia"/>
          <w:sz w:val="32"/>
          <w:szCs w:val="32"/>
        </w:rPr>
        <w:t>，形成更具规模的上市企业储备库，上市公司总市值超千亿。</w:t>
      </w:r>
    </w:p>
    <w:p w:rsidR="001E789A" w:rsidRPr="001E789A" w:rsidRDefault="001E789A" w:rsidP="001E789A">
      <w:pPr>
        <w:pStyle w:val="1"/>
        <w:rPr>
          <w:sz w:val="24"/>
        </w:rPr>
      </w:pPr>
    </w:p>
    <w:tbl>
      <w:tblPr>
        <w:tblStyle w:val="a8"/>
        <w:tblW w:w="0" w:type="auto"/>
        <w:jc w:val="center"/>
        <w:tblInd w:w="-34" w:type="dxa"/>
        <w:tblLook w:val="04A0"/>
      </w:tblPr>
      <w:tblGrid>
        <w:gridCol w:w="993"/>
        <w:gridCol w:w="1542"/>
        <w:gridCol w:w="2693"/>
        <w:gridCol w:w="3328"/>
      </w:tblGrid>
      <w:tr w:rsidR="00C84BCF" w:rsidRPr="00C84BCF" w:rsidTr="00083047">
        <w:trPr>
          <w:jc w:val="center"/>
        </w:trPr>
        <w:tc>
          <w:tcPr>
            <w:tcW w:w="993" w:type="dxa"/>
            <w:vAlign w:val="center"/>
          </w:tcPr>
          <w:p w:rsidR="00C84BCF" w:rsidRPr="0089033A" w:rsidRDefault="00C84BCF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542" w:type="dxa"/>
            <w:vAlign w:val="center"/>
          </w:tcPr>
          <w:p w:rsidR="00C84BCF" w:rsidRPr="0089033A" w:rsidRDefault="00C84BCF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政策项目</w:t>
            </w:r>
          </w:p>
        </w:tc>
        <w:tc>
          <w:tcPr>
            <w:tcW w:w="2693" w:type="dxa"/>
            <w:vAlign w:val="center"/>
          </w:tcPr>
          <w:p w:rsidR="00C84BCF" w:rsidRPr="0089033A" w:rsidRDefault="00985A22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奖励方向</w:t>
            </w:r>
          </w:p>
        </w:tc>
        <w:tc>
          <w:tcPr>
            <w:tcW w:w="3328" w:type="dxa"/>
            <w:vAlign w:val="center"/>
          </w:tcPr>
          <w:p w:rsidR="00C84BCF" w:rsidRPr="0089033A" w:rsidRDefault="0089033A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</w:tr>
      <w:tr w:rsidR="0089033A" w:rsidRPr="00C84BCF" w:rsidTr="00083047">
        <w:trPr>
          <w:jc w:val="center"/>
        </w:trPr>
        <w:tc>
          <w:tcPr>
            <w:tcW w:w="993" w:type="dxa"/>
            <w:vAlign w:val="center"/>
          </w:tcPr>
          <w:p w:rsidR="0089033A" w:rsidRPr="0089033A" w:rsidRDefault="0089033A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加强金融服务保障</w:t>
            </w:r>
          </w:p>
        </w:tc>
        <w:tc>
          <w:tcPr>
            <w:tcW w:w="2693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考核引导、落户奖励</w:t>
            </w:r>
          </w:p>
        </w:tc>
        <w:tc>
          <w:tcPr>
            <w:tcW w:w="3328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新增贷款超600亿、金融总量超万亿、金融两项GDP指标增幅位居全市前列</w:t>
            </w:r>
          </w:p>
        </w:tc>
      </w:tr>
      <w:tr w:rsidR="0089033A" w:rsidRPr="00C84BCF" w:rsidTr="00083047">
        <w:trPr>
          <w:jc w:val="center"/>
        </w:trPr>
        <w:tc>
          <w:tcPr>
            <w:tcW w:w="993" w:type="dxa"/>
            <w:vAlign w:val="center"/>
          </w:tcPr>
          <w:p w:rsidR="0089033A" w:rsidRPr="0089033A" w:rsidRDefault="0089033A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强化融资担保增信</w:t>
            </w:r>
          </w:p>
        </w:tc>
        <w:tc>
          <w:tcPr>
            <w:tcW w:w="2693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保费补贴等</w:t>
            </w:r>
          </w:p>
        </w:tc>
        <w:tc>
          <w:tcPr>
            <w:tcW w:w="3328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积极发挥政策性担保公司的助企解难作用，尽早完成市对区年度考核任务。</w:t>
            </w:r>
          </w:p>
        </w:tc>
      </w:tr>
      <w:tr w:rsidR="0089033A" w:rsidRPr="00C84BCF" w:rsidTr="00083047">
        <w:trPr>
          <w:jc w:val="center"/>
        </w:trPr>
        <w:tc>
          <w:tcPr>
            <w:tcW w:w="993" w:type="dxa"/>
            <w:vAlign w:val="center"/>
          </w:tcPr>
          <w:p w:rsidR="0089033A" w:rsidRPr="0089033A" w:rsidRDefault="0089033A" w:rsidP="00CB560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2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强化资本市场发展支撑</w:t>
            </w:r>
          </w:p>
        </w:tc>
        <w:tc>
          <w:tcPr>
            <w:tcW w:w="2693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上市挂牌、研发创新、市值提升、收购兼并、直接融资、项目招引等</w:t>
            </w:r>
          </w:p>
        </w:tc>
        <w:tc>
          <w:tcPr>
            <w:tcW w:w="3328" w:type="dxa"/>
            <w:vAlign w:val="center"/>
          </w:tcPr>
          <w:p w:rsidR="0089033A" w:rsidRPr="0089033A" w:rsidRDefault="008903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903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新增上市报会4家次，上市公司市值突破千亿</w:t>
            </w:r>
          </w:p>
        </w:tc>
      </w:tr>
    </w:tbl>
    <w:p w:rsidR="00EB5A9F" w:rsidRDefault="00CE0ED8" w:rsidP="00B02043">
      <w:pPr>
        <w:spacing w:line="55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1"/>
          <w:sz w:val="32"/>
          <w:szCs w:val="32"/>
        </w:rPr>
        <w:t>、条款组成情况</w:t>
      </w:r>
    </w:p>
    <w:p w:rsidR="00EB5A9F" w:rsidRDefault="00967BA8" w:rsidP="00B02043">
      <w:pPr>
        <w:spacing w:line="55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（一）与第一轮比：</w:t>
      </w:r>
      <w:r w:rsidR="00D01C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区级金融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政策</w:t>
      </w:r>
      <w:r w:rsidR="00D01C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第一轮共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7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条，</w:t>
      </w:r>
      <w:r w:rsidR="00421F6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第二轮</w:t>
      </w:r>
      <w:r w:rsidR="00D01C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共</w:t>
      </w:r>
      <w:r w:rsidR="004802D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19</w:t>
      </w:r>
      <w:r w:rsidR="00CE0ED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</w:t>
      </w:r>
      <w:r w:rsidR="00143B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，较第一轮</w:t>
      </w:r>
      <w:r w:rsidR="009135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新增</w:t>
      </w:r>
      <w:r w:rsidR="00143B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0B471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 w:rsidR="00143B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（其中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条为吸引金融机构落户政策，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0B471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条为上市激励政策）</w:t>
      </w:r>
      <w:r w:rsidR="002C6BD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；</w:t>
      </w:r>
      <w:r w:rsidR="009135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另有</w:t>
      </w:r>
      <w:r w:rsidR="009135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 w:rsidR="0091354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条政策</w:t>
      </w:r>
      <w:r w:rsidR="00185DA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（均为上市培育激励方面）</w:t>
      </w:r>
      <w:r w:rsidR="0097396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条款</w:t>
      </w:r>
      <w:r w:rsidR="000B471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不变，</w:t>
      </w:r>
      <w:r w:rsidR="0097396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内容</w:t>
      </w:r>
      <w:r w:rsidR="007F04D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有所</w:t>
      </w:r>
      <w:r w:rsidR="00C57D5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增加</w:t>
      </w:r>
      <w:r w:rsidR="00CE0ED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tbl>
      <w:tblPr>
        <w:tblW w:w="83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80"/>
        <w:gridCol w:w="2400"/>
        <w:gridCol w:w="1720"/>
        <w:gridCol w:w="1720"/>
      </w:tblGrid>
      <w:tr w:rsidR="000E31A9" w:rsidRPr="000E31A9" w:rsidTr="00083047">
        <w:trPr>
          <w:trHeight w:val="299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政策项目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具体</w:t>
            </w: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条款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政策</w:t>
            </w: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版本</w:t>
            </w:r>
          </w:p>
        </w:tc>
        <w:tc>
          <w:tcPr>
            <w:tcW w:w="1720" w:type="dxa"/>
            <w:vAlign w:val="center"/>
          </w:tcPr>
          <w:p w:rsidR="000E31A9" w:rsidRDefault="00B95F8C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市级</w:t>
            </w:r>
            <w:r w:rsid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承接情况</w:t>
            </w:r>
          </w:p>
        </w:tc>
      </w:tr>
      <w:tr w:rsidR="000E31A9" w:rsidRPr="000E31A9" w:rsidTr="00CA6E20">
        <w:trPr>
          <w:trHeight w:val="360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金融保障方面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考核引导。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</w:t>
            </w:r>
          </w:p>
        </w:tc>
      </w:tr>
      <w:tr w:rsidR="000E31A9" w:rsidRPr="000E31A9" w:rsidTr="00CA6E20">
        <w:trPr>
          <w:trHeight w:val="360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制造业贷款激励。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机构落户奖励。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担保增信方面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保费补贴、风险补偿。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尽职免责。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上市发展奖励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上市挂牌奖励。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研发创新奖励。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引领发展奖励。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市值提升奖励。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直接融资奖励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完全承接，</w:t>
            </w:r>
            <w:r w:rsidR="00B95F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有所提标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收购兼并奖励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完全承接，</w:t>
            </w:r>
            <w:r w:rsidR="00B95F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有所提标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中介团队奖励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项目招引奖励。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中介入驻奖励。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上市团队奖励。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平台要素保障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募投项目保障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1.0条款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完全承接，</w:t>
            </w:r>
            <w:r w:rsidR="00B95F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有所提标</w:t>
            </w: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专项基金保障。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服务基地保障。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上市联盟保障。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31A9" w:rsidRPr="000E31A9" w:rsidTr="00CA6E20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0" w:type="dxa"/>
            <w:vMerge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绿色通道保障。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E31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2.0新增</w:t>
            </w:r>
          </w:p>
        </w:tc>
        <w:tc>
          <w:tcPr>
            <w:tcW w:w="1720" w:type="dxa"/>
            <w:vAlign w:val="center"/>
          </w:tcPr>
          <w:p w:rsidR="000E31A9" w:rsidRPr="000E31A9" w:rsidRDefault="000E31A9" w:rsidP="000E31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2786" w:rsidRDefault="00967BA8" w:rsidP="00112786">
      <w:pPr>
        <w:spacing w:line="55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>（二）与市级政策比：</w:t>
      </w:r>
      <w:r w:rsidR="0032294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市级</w:t>
      </w:r>
      <w:r w:rsidR="0032294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金融</w:t>
      </w:r>
      <w:r w:rsidR="0032294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政策</w:t>
      </w:r>
      <w:r w:rsidR="0032294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共</w:t>
      </w:r>
      <w:r w:rsidR="0032294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有</w:t>
      </w:r>
      <w:r w:rsidR="0032294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14</w:t>
      </w:r>
      <w:r w:rsidR="0032294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</w:t>
      </w:r>
      <w:r w:rsidR="000019E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区级政策</w:t>
      </w:r>
      <w:r w:rsidR="0032294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第二轮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中</w:t>
      </w:r>
      <w:r w:rsidR="0032294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有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11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条与市级对应</w:t>
      </w:r>
      <w:r w:rsidR="000019E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其中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完全承接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市级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政策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7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条、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提标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的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</w:t>
      </w:r>
      <w:r w:rsidR="000019E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未承接市级的</w:t>
      </w:r>
      <w:r w:rsidR="0011278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 w:rsidR="0011278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条。</w:t>
      </w:r>
      <w:r w:rsidR="001B3DA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其余为区级特色政策。</w:t>
      </w:r>
    </w:p>
    <w:p w:rsidR="001C4F2F" w:rsidRDefault="001C4F2F" w:rsidP="00804D02">
      <w:pPr>
        <w:spacing w:line="556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804D0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未承接</w:t>
      </w:r>
      <w:r w:rsidR="00804D02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原因</w:t>
      </w:r>
      <w:r w:rsidRPr="00804D02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：</w:t>
      </w:r>
      <w:r w:rsidR="00804D02" w:rsidRPr="00804D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市级政策中含</w:t>
      </w:r>
      <w:r w:rsidRPr="006F59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对保险公司、证券期货、地方金融组织的考核</w:t>
      </w:r>
      <w:r w:rsidR="006F59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，因</w:t>
      </w:r>
      <w:r w:rsidRPr="006F59C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目前我区尚未相关考核机制，故删去该三条。</w:t>
      </w:r>
      <w:r w:rsidR="00804D02" w:rsidRPr="00804D02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特色政策</w:t>
      </w:r>
      <w:r w:rsidR="00804D02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制定原因</w:t>
      </w:r>
      <w:r w:rsidR="00804D02" w:rsidRPr="00804D02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：</w:t>
      </w:r>
      <w:r w:rsidR="00804D0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是推动企业对接多层次资本市场，不断提升上市公司发展质量，</w:t>
      </w:r>
      <w:r w:rsidR="00804D02" w:rsidRPr="00943381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高标准推进新一轮“凤凰行动”计划</w:t>
      </w:r>
      <w:r w:rsid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的现实需要；也是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实施上市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131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行动</w:t>
      </w:r>
      <w:r w:rsid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、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落实徐书记</w:t>
      </w:r>
      <w:r w:rsid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提出的打造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全省最全最优的上市全生命周期政策包的</w:t>
      </w:r>
      <w:r w:rsidR="00FD7BDB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具体</w:t>
      </w:r>
      <w:r w:rsid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工作</w:t>
      </w:r>
      <w:r w:rsidR="00804D02" w:rsidRP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要求</w:t>
      </w:r>
      <w:r w:rsidR="00804D02"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。</w:t>
      </w:r>
    </w:p>
    <w:p w:rsidR="00EB5A9F" w:rsidRPr="006F59CA" w:rsidRDefault="00CE0ED8" w:rsidP="006F59CA">
      <w:pPr>
        <w:spacing w:line="556" w:lineRule="exact"/>
        <w:ind w:firstLineChars="200" w:firstLine="647"/>
        <w:jc w:val="left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6F59CA">
        <w:rPr>
          <w:rFonts w:ascii="Times New Roman" w:hAnsi="Times New Roman" w:cs="Times New Roman"/>
          <w:b/>
          <w:bCs/>
          <w:spacing w:val="1"/>
          <w:sz w:val="32"/>
          <w:szCs w:val="32"/>
        </w:rPr>
        <w:t>三、资金匡算情况</w:t>
      </w:r>
    </w:p>
    <w:p w:rsidR="00007C3B" w:rsidRDefault="00096934" w:rsidP="00B02043">
      <w:pPr>
        <w:spacing w:line="55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越城区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年金融政策第二轮对市级政策涉及资金奖励部分条款全部承接。</w:t>
      </w:r>
      <w:r w:rsidR="00B05F8F">
        <w:rPr>
          <w:rFonts w:ascii="Times New Roman" w:eastAsia="仿宋_GB2312" w:hAnsi="Times New Roman" w:cs="Times New Roman" w:hint="eastAsia"/>
          <w:sz w:val="32"/>
          <w:szCs w:val="32"/>
        </w:rPr>
        <w:t>第一轮政策预计需要资金</w:t>
      </w:r>
      <w:r w:rsidR="00B05F8F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B05F8F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第二轮</w:t>
      </w:r>
      <w:r w:rsidR="00007C3B" w:rsidRPr="00007C3B">
        <w:rPr>
          <w:rFonts w:ascii="Times New Roman" w:eastAsia="仿宋_GB2312" w:hAnsi="Times New Roman" w:cs="Times New Roman" w:hint="eastAsia"/>
          <w:sz w:val="32"/>
          <w:szCs w:val="32"/>
        </w:rPr>
        <w:t>政策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新增条款</w:t>
      </w:r>
      <w:r w:rsidR="00007C3B" w:rsidRPr="00007C3B">
        <w:rPr>
          <w:rFonts w:ascii="Times New Roman" w:eastAsia="仿宋_GB2312" w:hAnsi="Times New Roman" w:cs="Times New Roman" w:hint="eastAsia"/>
          <w:sz w:val="32"/>
          <w:szCs w:val="32"/>
        </w:rPr>
        <w:t>预计需要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007C3B" w:rsidRPr="00007C3B">
        <w:rPr>
          <w:rFonts w:ascii="Times New Roman" w:eastAsia="仿宋_GB2312" w:hAnsi="Times New Roman" w:cs="Times New Roman" w:hint="eastAsia"/>
          <w:sz w:val="32"/>
          <w:szCs w:val="32"/>
        </w:rPr>
        <w:t>资金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72BD5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007C3B" w:rsidRPr="00007C3B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F17E5">
        <w:rPr>
          <w:rFonts w:ascii="Times New Roman" w:eastAsia="仿宋_GB2312" w:hAnsi="Times New Roman" w:cs="Times New Roman" w:hint="eastAsia"/>
          <w:sz w:val="32"/>
          <w:szCs w:val="32"/>
        </w:rPr>
        <w:t>即最新政策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合计需要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3500</w:t>
      </w:r>
      <w:r w:rsidR="00C63F1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007C3B" w:rsidRPr="00007C3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tbl>
      <w:tblPr>
        <w:tblW w:w="80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80"/>
        <w:gridCol w:w="2884"/>
        <w:gridCol w:w="2693"/>
      </w:tblGrid>
      <w:tr w:rsidR="00CA6E20" w:rsidRPr="00CA6E20" w:rsidTr="00083047">
        <w:trPr>
          <w:trHeight w:val="457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政策项目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具体</w:t>
            </w: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预测资金（万元）</w:t>
            </w:r>
          </w:p>
        </w:tc>
      </w:tr>
      <w:tr w:rsidR="00CA6E20" w:rsidRPr="00CA6E20" w:rsidTr="009D5187">
        <w:trPr>
          <w:trHeight w:val="360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金融保障方面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考核引导。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60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制造业贷款激励。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机构落户奖励。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担保增信方面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保费补贴、风险补偿。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尽职免责。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上市发展奖励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上市挂牌奖励。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研发创新奖励。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引领发展奖励。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973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前瞻性政策，预计</w:t>
            </w:r>
            <w:r w:rsidR="001D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本年度</w:t>
            </w:r>
            <w:r w:rsidR="008E5B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  <w:r w:rsidR="009735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须</w:t>
            </w:r>
            <w:r w:rsidR="001D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兑付项目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市值提升奖励。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1D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直接融资奖励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1D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收购兼并奖励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1D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1D4B43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1D4B43" w:rsidRPr="00CA6E20" w:rsidRDefault="001D4B43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1D4B43" w:rsidRPr="00CA6E20" w:rsidRDefault="001D4B43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中介团队奖励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1D4B43" w:rsidRPr="00CA6E20" w:rsidRDefault="001D4B43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项目招引奖励。</w:t>
            </w:r>
          </w:p>
        </w:tc>
        <w:tc>
          <w:tcPr>
            <w:tcW w:w="2693" w:type="dxa"/>
            <w:shd w:val="clear" w:color="auto" w:fill="auto"/>
            <w:hideMark/>
          </w:tcPr>
          <w:p w:rsidR="001D4B43" w:rsidRDefault="001D4B43" w:rsidP="001D4B43">
            <w:pPr>
              <w:jc w:val="center"/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前瞻性政策，预计</w:t>
            </w:r>
            <w:r w:rsidRPr="009F6B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本年度无</w:t>
            </w:r>
            <w:r w:rsidR="009735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须</w:t>
            </w:r>
            <w:r w:rsidRPr="009F6B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兑付项目</w:t>
            </w:r>
          </w:p>
        </w:tc>
      </w:tr>
      <w:tr w:rsidR="001D4B43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1D4B43" w:rsidRPr="00CA6E20" w:rsidRDefault="001D4B43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0" w:type="dxa"/>
            <w:vMerge/>
            <w:vAlign w:val="center"/>
            <w:hideMark/>
          </w:tcPr>
          <w:p w:rsidR="001D4B43" w:rsidRPr="00CA6E20" w:rsidRDefault="001D4B43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1D4B43" w:rsidRPr="00CA6E20" w:rsidRDefault="001D4B43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中介入驻奖励。</w:t>
            </w:r>
          </w:p>
        </w:tc>
        <w:tc>
          <w:tcPr>
            <w:tcW w:w="2693" w:type="dxa"/>
            <w:shd w:val="clear" w:color="auto" w:fill="auto"/>
            <w:hideMark/>
          </w:tcPr>
          <w:p w:rsidR="001D4B43" w:rsidRDefault="001D4B43" w:rsidP="001D4B43">
            <w:pPr>
              <w:jc w:val="center"/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前瞻性政策，预计</w:t>
            </w:r>
            <w:r w:rsidRPr="009F6B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本年度无</w:t>
            </w:r>
            <w:r w:rsidR="009735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须</w:t>
            </w:r>
            <w:r w:rsidRPr="009F6B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兑付项目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上市团队奖励。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平台要素保障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募投项目保障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专项基金保障。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服务基地保障。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上市联盟保障。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CA6E20" w:rsidRPr="00CA6E20" w:rsidTr="009D5187">
        <w:trPr>
          <w:trHeight w:val="345"/>
        </w:trPr>
        <w:tc>
          <w:tcPr>
            <w:tcW w:w="740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0" w:type="dxa"/>
            <w:vMerge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绿色通道保障。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CA6E20" w:rsidRPr="00CA6E20" w:rsidTr="009D5187">
        <w:trPr>
          <w:trHeight w:val="345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6E20" w:rsidRPr="00CA6E20" w:rsidRDefault="00CA6E20" w:rsidP="00CA6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6E2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3500</w:t>
            </w:r>
          </w:p>
        </w:tc>
      </w:tr>
    </w:tbl>
    <w:p w:rsidR="003C1DAD" w:rsidRDefault="003C1DAD" w:rsidP="003C1DAD">
      <w:pPr>
        <w:spacing w:line="55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涉及企业情况：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加强金融服务保障，制造业贴息重点惠及企业中芯国际，预计资金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强化融资担保增信，重点惠及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辖内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政府性融资担保机构，预计资金在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3C1DAD">
        <w:rPr>
          <w:rFonts w:ascii="Times New Roman" w:eastAsia="仿宋_GB2312" w:hAnsi="Times New Roman" w:cs="Times New Roman"/>
          <w:sz w:val="32"/>
          <w:szCs w:val="32"/>
        </w:rPr>
        <w:t>0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强化资本市场发展，主要针对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上市挂牌奖励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涉及中芯国际、拓邦电子、海圣医疗等重点你上市企业。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研发创新奖励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上市</w:t>
      </w:r>
      <w:r w:rsidR="00583453">
        <w:rPr>
          <w:rFonts w:ascii="Times New Roman" w:eastAsia="仿宋_GB2312" w:hAnsi="Times New Roman" w:cs="Times New Roman" w:hint="eastAsia"/>
          <w:sz w:val="32"/>
          <w:szCs w:val="32"/>
        </w:rPr>
        <w:t>挂牌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公司再融资、并购奖励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市值奖励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D4B43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资本市场工作站建设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万元，上市联盟、中介</w:t>
      </w:r>
      <w:r w:rsidR="00937F0E"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奖励</w:t>
      </w:r>
      <w:r w:rsidR="005D5E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250</w:t>
      </w:r>
      <w:r w:rsidR="006D5E93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3C1DA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B5A9F" w:rsidRPr="00A44619" w:rsidRDefault="00EB5A9F" w:rsidP="00625534">
      <w:pPr>
        <w:spacing w:line="556" w:lineRule="exact"/>
        <w:ind w:firstLineChars="200" w:firstLine="420"/>
        <w:jc w:val="left"/>
        <w:rPr>
          <w:rFonts w:ascii="Times New Roman" w:hAnsi="Times New Roman" w:cs="Times New Roman"/>
        </w:rPr>
      </w:pPr>
    </w:p>
    <w:sectPr w:rsidR="00EB5A9F" w:rsidRPr="00A44619" w:rsidSect="00EB5A9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1361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10" w:rsidRDefault="004C4E10" w:rsidP="00EB5A9F">
      <w:r>
        <w:separator/>
      </w:r>
    </w:p>
  </w:endnote>
  <w:endnote w:type="continuationSeparator" w:id="0">
    <w:p w:rsidR="004C4E10" w:rsidRDefault="004C4E10" w:rsidP="00EB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1563739"/>
    </w:sdtPr>
    <w:sdtEndPr>
      <w:rPr>
        <w:rFonts w:asciiTheme="minorEastAsia" w:hAnsiTheme="minorEastAsia"/>
        <w:sz w:val="28"/>
        <w:szCs w:val="28"/>
        <w:lang w:val="zh-CN"/>
      </w:rPr>
    </w:sdtEndPr>
    <w:sdtContent>
      <w:p w:rsidR="00EB5A9F" w:rsidRDefault="004015BE">
        <w:pPr>
          <w:pStyle w:val="a5"/>
          <w:ind w:firstLineChars="200" w:firstLine="360"/>
          <w:rPr>
            <w:rFonts w:asciiTheme="minorEastAsia" w:hAnsiTheme="minorEastAsia"/>
            <w:sz w:val="28"/>
            <w:szCs w:val="28"/>
            <w:lang w:val="zh-CN"/>
          </w:rPr>
        </w:pPr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 w:rsidR="00CE0ED8">
          <w:rPr>
            <w:rFonts w:asciiTheme="minorEastAsia" w:hAnsiTheme="minorEastAsia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 w:rsidR="00CE0ED8">
          <w:rPr>
            <w:rFonts w:asciiTheme="minorEastAsia" w:hAnsiTheme="minorEastAsia"/>
            <w:sz w:val="28"/>
            <w:szCs w:val="28"/>
            <w:lang w:val="zh-CN"/>
          </w:rPr>
          <w:t>-2-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9F" w:rsidRDefault="004015BE">
    <w:pPr>
      <w:pStyle w:val="a5"/>
      <w:wordWrap w:val="0"/>
      <w:jc w:val="right"/>
      <w:rPr>
        <w:rFonts w:asciiTheme="minorEastAsia" w:hAnsiTheme="minorEastAsia"/>
        <w:sz w:val="28"/>
        <w:szCs w:val="28"/>
      </w:rPr>
    </w:pPr>
    <w:sdt>
      <w:sdtPr>
        <w:id w:val="1409969055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CE0ED8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25534" w:rsidRPr="006255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2553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10" w:rsidRDefault="004C4E10" w:rsidP="00EB5A9F">
      <w:r>
        <w:separator/>
      </w:r>
    </w:p>
  </w:footnote>
  <w:footnote w:type="continuationSeparator" w:id="0">
    <w:p w:rsidR="004C4E10" w:rsidRDefault="004C4E10" w:rsidP="00EB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9F" w:rsidRDefault="00EB5A9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ACA7"/>
    <w:multiLevelType w:val="singleLevel"/>
    <w:tmpl w:val="05FAACA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7"/>
  <w:drawingGridVerticalSpacing w:val="156"/>
  <w:noPunctuationKerning/>
  <w:characterSpacingControl w:val="compressPunctuation"/>
  <w:hdrShapeDefaults>
    <o:shapedefaults v:ext="edit" spidmax="460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zYzZiMDZjNjlkOWZkNGVkYTYxZjZkMTZjMGI4YjAifQ=="/>
  </w:docVars>
  <w:rsids>
    <w:rsidRoot w:val="00172A27"/>
    <w:rsid w:val="000019E6"/>
    <w:rsid w:val="00007C3B"/>
    <w:rsid w:val="00013016"/>
    <w:rsid w:val="0001624C"/>
    <w:rsid w:val="00042701"/>
    <w:rsid w:val="00071FD4"/>
    <w:rsid w:val="00083047"/>
    <w:rsid w:val="00096934"/>
    <w:rsid w:val="000A61EC"/>
    <w:rsid w:val="000B4712"/>
    <w:rsid w:val="000D1115"/>
    <w:rsid w:val="000D593B"/>
    <w:rsid w:val="000E1009"/>
    <w:rsid w:val="000E31A9"/>
    <w:rsid w:val="00112786"/>
    <w:rsid w:val="00112903"/>
    <w:rsid w:val="00117519"/>
    <w:rsid w:val="00125F53"/>
    <w:rsid w:val="00132DC3"/>
    <w:rsid w:val="00143BCA"/>
    <w:rsid w:val="00147033"/>
    <w:rsid w:val="00172A27"/>
    <w:rsid w:val="00175B37"/>
    <w:rsid w:val="00185DA7"/>
    <w:rsid w:val="001B3DAA"/>
    <w:rsid w:val="001B6310"/>
    <w:rsid w:val="001C41A6"/>
    <w:rsid w:val="001C4F2F"/>
    <w:rsid w:val="001C7BDF"/>
    <w:rsid w:val="001D2F5A"/>
    <w:rsid w:val="001D454E"/>
    <w:rsid w:val="001D4B43"/>
    <w:rsid w:val="001E789A"/>
    <w:rsid w:val="001F09F1"/>
    <w:rsid w:val="00200F01"/>
    <w:rsid w:val="00215E0A"/>
    <w:rsid w:val="002373E4"/>
    <w:rsid w:val="0024160D"/>
    <w:rsid w:val="00251FF8"/>
    <w:rsid w:val="002531AB"/>
    <w:rsid w:val="00274E82"/>
    <w:rsid w:val="002A5690"/>
    <w:rsid w:val="002A5A35"/>
    <w:rsid w:val="002B2D80"/>
    <w:rsid w:val="002C66DB"/>
    <w:rsid w:val="002C6BD6"/>
    <w:rsid w:val="002E0BEA"/>
    <w:rsid w:val="0032294A"/>
    <w:rsid w:val="00326196"/>
    <w:rsid w:val="00331D3E"/>
    <w:rsid w:val="003366D2"/>
    <w:rsid w:val="00345319"/>
    <w:rsid w:val="00351318"/>
    <w:rsid w:val="0035726A"/>
    <w:rsid w:val="00367C4D"/>
    <w:rsid w:val="00383CC4"/>
    <w:rsid w:val="003A1E5C"/>
    <w:rsid w:val="003C1DAD"/>
    <w:rsid w:val="003C1F1E"/>
    <w:rsid w:val="003C70C4"/>
    <w:rsid w:val="003D36C9"/>
    <w:rsid w:val="003E3BC6"/>
    <w:rsid w:val="003E6B6F"/>
    <w:rsid w:val="003F17E5"/>
    <w:rsid w:val="004015BE"/>
    <w:rsid w:val="0041526C"/>
    <w:rsid w:val="00421F66"/>
    <w:rsid w:val="00433FD2"/>
    <w:rsid w:val="00445DEE"/>
    <w:rsid w:val="0045719E"/>
    <w:rsid w:val="004636C6"/>
    <w:rsid w:val="0046682E"/>
    <w:rsid w:val="0047046B"/>
    <w:rsid w:val="00477B0E"/>
    <w:rsid w:val="00477E0E"/>
    <w:rsid w:val="004802DC"/>
    <w:rsid w:val="00486841"/>
    <w:rsid w:val="004C4E10"/>
    <w:rsid w:val="005032A1"/>
    <w:rsid w:val="00542345"/>
    <w:rsid w:val="00542B11"/>
    <w:rsid w:val="005540EE"/>
    <w:rsid w:val="005548D7"/>
    <w:rsid w:val="00562420"/>
    <w:rsid w:val="00563E56"/>
    <w:rsid w:val="00576BD8"/>
    <w:rsid w:val="00577E65"/>
    <w:rsid w:val="00583453"/>
    <w:rsid w:val="005913FE"/>
    <w:rsid w:val="00593B85"/>
    <w:rsid w:val="00593BB3"/>
    <w:rsid w:val="00594585"/>
    <w:rsid w:val="005A4241"/>
    <w:rsid w:val="005A548B"/>
    <w:rsid w:val="005A563A"/>
    <w:rsid w:val="005B1646"/>
    <w:rsid w:val="005C0BEB"/>
    <w:rsid w:val="005C6AA0"/>
    <w:rsid w:val="005D05ED"/>
    <w:rsid w:val="005D5E27"/>
    <w:rsid w:val="005E37E8"/>
    <w:rsid w:val="005E395F"/>
    <w:rsid w:val="00600EEA"/>
    <w:rsid w:val="00607959"/>
    <w:rsid w:val="0061089F"/>
    <w:rsid w:val="00613DFE"/>
    <w:rsid w:val="00625534"/>
    <w:rsid w:val="00632299"/>
    <w:rsid w:val="00642D5B"/>
    <w:rsid w:val="00675C2F"/>
    <w:rsid w:val="00685FF3"/>
    <w:rsid w:val="00687718"/>
    <w:rsid w:val="006A39C6"/>
    <w:rsid w:val="006B7323"/>
    <w:rsid w:val="006C665A"/>
    <w:rsid w:val="006D0BD2"/>
    <w:rsid w:val="006D5E93"/>
    <w:rsid w:val="006D7DA8"/>
    <w:rsid w:val="006F59CA"/>
    <w:rsid w:val="00714E41"/>
    <w:rsid w:val="00717C15"/>
    <w:rsid w:val="0076170B"/>
    <w:rsid w:val="0077323D"/>
    <w:rsid w:val="007B0075"/>
    <w:rsid w:val="007B17AD"/>
    <w:rsid w:val="007B3820"/>
    <w:rsid w:val="007B5C82"/>
    <w:rsid w:val="007B5E7C"/>
    <w:rsid w:val="007C2A1A"/>
    <w:rsid w:val="007F04DB"/>
    <w:rsid w:val="007F7149"/>
    <w:rsid w:val="0080309D"/>
    <w:rsid w:val="00804D02"/>
    <w:rsid w:val="008130C5"/>
    <w:rsid w:val="00817B3C"/>
    <w:rsid w:val="0082111A"/>
    <w:rsid w:val="00836103"/>
    <w:rsid w:val="008412CE"/>
    <w:rsid w:val="00884FCC"/>
    <w:rsid w:val="0089033A"/>
    <w:rsid w:val="008A5716"/>
    <w:rsid w:val="008C2A28"/>
    <w:rsid w:val="008D2740"/>
    <w:rsid w:val="008E386E"/>
    <w:rsid w:val="008E5B1B"/>
    <w:rsid w:val="008F5B00"/>
    <w:rsid w:val="009005A3"/>
    <w:rsid w:val="00913546"/>
    <w:rsid w:val="00924AB3"/>
    <w:rsid w:val="009322FE"/>
    <w:rsid w:val="00937F0E"/>
    <w:rsid w:val="009430E9"/>
    <w:rsid w:val="00962276"/>
    <w:rsid w:val="00967BA8"/>
    <w:rsid w:val="009716EC"/>
    <w:rsid w:val="00973566"/>
    <w:rsid w:val="0097396F"/>
    <w:rsid w:val="00981B42"/>
    <w:rsid w:val="009826CA"/>
    <w:rsid w:val="00983681"/>
    <w:rsid w:val="00985A22"/>
    <w:rsid w:val="00992680"/>
    <w:rsid w:val="009A1E59"/>
    <w:rsid w:val="009D2B23"/>
    <w:rsid w:val="009D5187"/>
    <w:rsid w:val="009D7AD8"/>
    <w:rsid w:val="00A06DB1"/>
    <w:rsid w:val="00A07930"/>
    <w:rsid w:val="00A12DCC"/>
    <w:rsid w:val="00A13A56"/>
    <w:rsid w:val="00A21E13"/>
    <w:rsid w:val="00A3749F"/>
    <w:rsid w:val="00A42562"/>
    <w:rsid w:val="00A44619"/>
    <w:rsid w:val="00A71BF8"/>
    <w:rsid w:val="00A839B4"/>
    <w:rsid w:val="00AB195A"/>
    <w:rsid w:val="00AB7D26"/>
    <w:rsid w:val="00AC3413"/>
    <w:rsid w:val="00AC59D4"/>
    <w:rsid w:val="00AD59BD"/>
    <w:rsid w:val="00AE7781"/>
    <w:rsid w:val="00B00788"/>
    <w:rsid w:val="00B00DC0"/>
    <w:rsid w:val="00B02043"/>
    <w:rsid w:val="00B05EF3"/>
    <w:rsid w:val="00B05F8F"/>
    <w:rsid w:val="00B06698"/>
    <w:rsid w:val="00B23883"/>
    <w:rsid w:val="00B30C72"/>
    <w:rsid w:val="00B44157"/>
    <w:rsid w:val="00B95F8C"/>
    <w:rsid w:val="00BA6959"/>
    <w:rsid w:val="00C11076"/>
    <w:rsid w:val="00C145E1"/>
    <w:rsid w:val="00C1648B"/>
    <w:rsid w:val="00C37CA4"/>
    <w:rsid w:val="00C46D6F"/>
    <w:rsid w:val="00C57D5C"/>
    <w:rsid w:val="00C63F19"/>
    <w:rsid w:val="00C84BCF"/>
    <w:rsid w:val="00CA6E20"/>
    <w:rsid w:val="00CB0049"/>
    <w:rsid w:val="00CB5607"/>
    <w:rsid w:val="00CE0ED8"/>
    <w:rsid w:val="00CE5FC6"/>
    <w:rsid w:val="00CE6688"/>
    <w:rsid w:val="00D01C46"/>
    <w:rsid w:val="00D310F8"/>
    <w:rsid w:val="00D570FB"/>
    <w:rsid w:val="00D6264B"/>
    <w:rsid w:val="00D70842"/>
    <w:rsid w:val="00D72BD5"/>
    <w:rsid w:val="00D81D62"/>
    <w:rsid w:val="00D863B1"/>
    <w:rsid w:val="00D941D5"/>
    <w:rsid w:val="00DB4106"/>
    <w:rsid w:val="00DB4FCB"/>
    <w:rsid w:val="00DB5619"/>
    <w:rsid w:val="00DF469F"/>
    <w:rsid w:val="00E04463"/>
    <w:rsid w:val="00E058CE"/>
    <w:rsid w:val="00E06DF6"/>
    <w:rsid w:val="00E31532"/>
    <w:rsid w:val="00E51684"/>
    <w:rsid w:val="00E84B06"/>
    <w:rsid w:val="00EA049E"/>
    <w:rsid w:val="00EB1F1E"/>
    <w:rsid w:val="00EB5A9F"/>
    <w:rsid w:val="00EB5FF5"/>
    <w:rsid w:val="00EC0292"/>
    <w:rsid w:val="00EC2011"/>
    <w:rsid w:val="00EC2ACA"/>
    <w:rsid w:val="00F03D53"/>
    <w:rsid w:val="00F040C2"/>
    <w:rsid w:val="00F0665A"/>
    <w:rsid w:val="00F07E2E"/>
    <w:rsid w:val="00F70593"/>
    <w:rsid w:val="00F70E4F"/>
    <w:rsid w:val="00F82D18"/>
    <w:rsid w:val="00F8413D"/>
    <w:rsid w:val="00F850A8"/>
    <w:rsid w:val="00F85D53"/>
    <w:rsid w:val="00F94FD5"/>
    <w:rsid w:val="00F9748E"/>
    <w:rsid w:val="00FC3477"/>
    <w:rsid w:val="00FD7BDB"/>
    <w:rsid w:val="00FF0D45"/>
    <w:rsid w:val="014602F6"/>
    <w:rsid w:val="02EE62B2"/>
    <w:rsid w:val="03EC38A3"/>
    <w:rsid w:val="04816EA0"/>
    <w:rsid w:val="04E93D4A"/>
    <w:rsid w:val="05504DC7"/>
    <w:rsid w:val="08A0067D"/>
    <w:rsid w:val="0D522ECA"/>
    <w:rsid w:val="0E7C62AA"/>
    <w:rsid w:val="0F283F47"/>
    <w:rsid w:val="10CE305E"/>
    <w:rsid w:val="11206EAF"/>
    <w:rsid w:val="113831D6"/>
    <w:rsid w:val="13E6301C"/>
    <w:rsid w:val="16931028"/>
    <w:rsid w:val="193E5ABA"/>
    <w:rsid w:val="1D3A08FA"/>
    <w:rsid w:val="230944B6"/>
    <w:rsid w:val="25A91241"/>
    <w:rsid w:val="264216F0"/>
    <w:rsid w:val="28553C8E"/>
    <w:rsid w:val="2CC90C9E"/>
    <w:rsid w:val="2EF02941"/>
    <w:rsid w:val="31550C0E"/>
    <w:rsid w:val="327E5D78"/>
    <w:rsid w:val="32883BA9"/>
    <w:rsid w:val="32FA0DFC"/>
    <w:rsid w:val="360303C3"/>
    <w:rsid w:val="361B4AFF"/>
    <w:rsid w:val="36CE2D82"/>
    <w:rsid w:val="3A386337"/>
    <w:rsid w:val="3A5D1B43"/>
    <w:rsid w:val="3BB120CE"/>
    <w:rsid w:val="3BE5509A"/>
    <w:rsid w:val="3D6216BF"/>
    <w:rsid w:val="41B242BE"/>
    <w:rsid w:val="434B2322"/>
    <w:rsid w:val="44030528"/>
    <w:rsid w:val="45AC0035"/>
    <w:rsid w:val="466C06C8"/>
    <w:rsid w:val="47273E7B"/>
    <w:rsid w:val="4926618E"/>
    <w:rsid w:val="4B0F3BCE"/>
    <w:rsid w:val="4EF00D3E"/>
    <w:rsid w:val="4EF02C41"/>
    <w:rsid w:val="4FE02018"/>
    <w:rsid w:val="51E46FDF"/>
    <w:rsid w:val="5647046C"/>
    <w:rsid w:val="59BE4D82"/>
    <w:rsid w:val="5FEE27F0"/>
    <w:rsid w:val="60161979"/>
    <w:rsid w:val="60C25043"/>
    <w:rsid w:val="625C0B4B"/>
    <w:rsid w:val="6557682B"/>
    <w:rsid w:val="675E0CD9"/>
    <w:rsid w:val="67E04B62"/>
    <w:rsid w:val="686D17E2"/>
    <w:rsid w:val="69AF3FA2"/>
    <w:rsid w:val="6D3618D2"/>
    <w:rsid w:val="6D5B2AAF"/>
    <w:rsid w:val="74E41BEE"/>
    <w:rsid w:val="778101AF"/>
    <w:rsid w:val="795F1E63"/>
    <w:rsid w:val="7AD642CC"/>
    <w:rsid w:val="7C06244A"/>
    <w:rsid w:val="7C357907"/>
    <w:rsid w:val="7C5A3B04"/>
    <w:rsid w:val="7C5B46DC"/>
    <w:rsid w:val="7CF6434D"/>
    <w:rsid w:val="7E85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figures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B5A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EB5A9F"/>
    <w:pPr>
      <w:ind w:left="612" w:right="852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rsid w:val="00EB5A9F"/>
    <w:rPr>
      <w:rFonts w:ascii="PMingLiU" w:eastAsia="PMingLiU" w:hAnsi="PMingLiU" w:cs="PMingLiU"/>
      <w:sz w:val="38"/>
      <w:szCs w:val="38"/>
      <w:lang w:val="zh-CN" w:bidi="zh-CN"/>
    </w:rPr>
  </w:style>
  <w:style w:type="paragraph" w:styleId="a4">
    <w:name w:val="Balloon Text"/>
    <w:basedOn w:val="a"/>
    <w:link w:val="Char0"/>
    <w:qFormat/>
    <w:rsid w:val="00EB5A9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unhideWhenUsed/>
    <w:qFormat/>
    <w:rsid w:val="00EB5A9F"/>
    <w:pPr>
      <w:spacing w:line="320" w:lineRule="exact"/>
    </w:pPr>
    <w:rPr>
      <w:rFonts w:ascii="Calibri" w:eastAsia="宋体" w:hAnsi="Calibri" w:cs="Times New Roman"/>
      <w:sz w:val="24"/>
    </w:rPr>
  </w:style>
  <w:style w:type="table" w:styleId="a8">
    <w:name w:val="Table Grid"/>
    <w:basedOn w:val="a1"/>
    <w:qFormat/>
    <w:rsid w:val="00EB5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EB5A9F"/>
    <w:rPr>
      <w:b/>
      <w:bCs/>
    </w:rPr>
  </w:style>
  <w:style w:type="character" w:customStyle="1" w:styleId="Char2">
    <w:name w:val="页眉 Char"/>
    <w:basedOn w:val="a0"/>
    <w:link w:val="a6"/>
    <w:qFormat/>
    <w:rsid w:val="00EB5A9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B5A9F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EB5A9F"/>
    <w:rPr>
      <w:rFonts w:ascii="PMingLiU" w:eastAsia="PMingLiU" w:hAnsi="PMingLiU" w:cs="PMingLiU"/>
      <w:kern w:val="2"/>
      <w:sz w:val="38"/>
      <w:szCs w:val="38"/>
      <w:lang w:val="zh-CN" w:bidi="zh-CN"/>
    </w:rPr>
  </w:style>
  <w:style w:type="table" w:customStyle="1" w:styleId="TableNormal">
    <w:name w:val="Table Normal"/>
    <w:unhideWhenUsed/>
    <w:qFormat/>
    <w:rsid w:val="00EB5A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61">
    <w:name w:val="font161"/>
    <w:basedOn w:val="a0"/>
    <w:qFormat/>
    <w:rsid w:val="00EB5A9F"/>
    <w:rPr>
      <w:rFonts w:ascii="方正小标宋简体" w:eastAsia="方正小标宋简体" w:hAnsi="方正小标宋简体" w:cs="方正小标宋简体" w:hint="eastAsia"/>
      <w:color w:val="FF0000"/>
      <w:sz w:val="48"/>
      <w:szCs w:val="48"/>
      <w:u w:val="none"/>
    </w:rPr>
  </w:style>
  <w:style w:type="character" w:customStyle="1" w:styleId="font71">
    <w:name w:val="font71"/>
    <w:basedOn w:val="a0"/>
    <w:qFormat/>
    <w:rsid w:val="00EB5A9F"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101">
    <w:name w:val="font101"/>
    <w:basedOn w:val="a0"/>
    <w:qFormat/>
    <w:rsid w:val="00EB5A9F"/>
    <w:rPr>
      <w:rFonts w:ascii="楷体_GB2312" w:eastAsia="楷体_GB2312" w:cs="楷体_GB2312" w:hint="eastAsia"/>
      <w:b/>
      <w:bCs/>
      <w:color w:val="000000"/>
      <w:sz w:val="36"/>
      <w:szCs w:val="36"/>
      <w:u w:val="none"/>
    </w:rPr>
  </w:style>
  <w:style w:type="character" w:customStyle="1" w:styleId="font121">
    <w:name w:val="font121"/>
    <w:basedOn w:val="a0"/>
    <w:qFormat/>
    <w:rsid w:val="00EB5A9F"/>
    <w:rPr>
      <w:rFonts w:ascii="楷体_GB2312" w:eastAsia="楷体_GB2312" w:cs="楷体_GB2312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EB5A9F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sid w:val="00EB5A9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sid w:val="00EB5A9F"/>
    <w:rPr>
      <w:rFonts w:ascii="楷体_GB2312" w:eastAsia="楷体_GB2312" w:cs="楷体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B5A9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0">
    <w:name w:val="正文缩进1"/>
    <w:basedOn w:val="a"/>
    <w:qFormat/>
    <w:rsid w:val="00EB5A9F"/>
    <w:pPr>
      <w:ind w:firstLine="420"/>
    </w:pPr>
    <w:rPr>
      <w:rFonts w:eastAsia="Times New Roman" w:hint="eastAsia"/>
    </w:rPr>
  </w:style>
  <w:style w:type="character" w:customStyle="1" w:styleId="Char0">
    <w:name w:val="批注框文本 Char"/>
    <w:basedOn w:val="a0"/>
    <w:link w:val="a4"/>
    <w:qFormat/>
    <w:rsid w:val="00EB5A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331</Words>
  <Characters>1891</Characters>
  <Application>Microsoft Office Word</Application>
  <DocSecurity>0</DocSecurity>
  <Lines>15</Lines>
  <Paragraphs>4</Paragraphs>
  <ScaleCrop>false</ScaleCrop>
  <Company>微软中国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568</cp:revision>
  <cp:lastPrinted>2023-02-18T01:49:00Z</cp:lastPrinted>
  <dcterms:created xsi:type="dcterms:W3CDTF">2022-07-05T02:53:00Z</dcterms:created>
  <dcterms:modified xsi:type="dcterms:W3CDTF">2023-07-14T02:44:00Z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23E381AE9AA24BAF9FE7B8AA484CBFD9</vt:lpwstr>
  </property>
</Properties>
</file>