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浙江省洪水预警发布管理办法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outlineLvl w:val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（征求意见稿）</w:t>
      </w:r>
    </w:p>
    <w:p>
      <w:pPr>
        <w:snapToGrid w:val="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p>
      <w:pPr>
        <w:widowControl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总则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一）为规范洪水预警发布工作，防御和减轻洪水灾害，依据《浙江省防汛防台抗旱条例》《浙江省水文管理条例》《浙江省防汛防台抗旱应急预案》，结合本省实际，制定本办法。</w:t>
      </w:r>
    </w:p>
    <w:p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（二）本办法适用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本省行政区域内洪水预警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发布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管理工作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snapToGrid w:val="0"/>
        <w:spacing w:line="600" w:lineRule="exact"/>
        <w:ind w:firstLine="640" w:firstLineChars="200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预警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职责</w:t>
      </w:r>
    </w:p>
    <w:p>
      <w:pPr>
        <w:widowControl/>
        <w:snapToGrid w:val="0"/>
        <w:spacing w:line="600" w:lineRule="exact"/>
        <w:ind w:firstLine="600"/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三）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eastAsia="zh-CN"/>
        </w:rPr>
        <w:t>各级水行政主管部门按职责分级做好洪水预警标准制定、监测预警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eastAsia="zh-CN"/>
        </w:rPr>
        <w:t>信息发布工作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widowControl/>
        <w:snapToGrid w:val="0"/>
        <w:spacing w:line="600" w:lineRule="exact"/>
        <w:ind w:firstLine="600"/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省水利厅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组织指导全省洪水预警发布工作，负责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钱塘江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东苕溪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浦阳江和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瓯江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干流，以及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杭嘉湖东部平原（运河）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的洪水预警发布工作。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</w:rPr>
        <w:t>省水文管理中心具体承担省级洪水预警发布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lang w:eastAsia="zh-CN"/>
        </w:rPr>
        <w:t>。</w:t>
      </w:r>
    </w:p>
    <w:p>
      <w:pPr>
        <w:widowControl/>
        <w:snapToGrid w:val="0"/>
        <w:spacing w:line="600" w:lineRule="exact"/>
        <w:ind w:firstLine="600"/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省级洪水预警站钱塘江干流选用衢州站、兰溪站、金华站、桐庐站、闻家堰站五个；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东苕溪选用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瓶窑站、余杭站两个；浦阳江选用诸暨（太平桥）站，瓯江选用小白岩站、鹤城站两个；杭嘉湖东部平原（运河）选用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嘉兴站。</w:t>
      </w:r>
    </w:p>
    <w:p>
      <w:pPr>
        <w:widowControl/>
        <w:snapToGrid w:val="0"/>
        <w:spacing w:line="600" w:lineRule="exact"/>
        <w:ind w:firstLine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各设区市水行政主管部门组织指导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县（市、区）洪水预警发布工作。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承担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市级洪水预警发布工作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widowControl/>
        <w:snapToGrid w:val="0"/>
        <w:spacing w:line="600" w:lineRule="exact"/>
        <w:ind w:firstLine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杭州市负责分水江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辖区内平原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洪水预警发布。</w:t>
      </w:r>
    </w:p>
    <w:p>
      <w:pPr>
        <w:widowControl/>
        <w:snapToGrid w:val="0"/>
        <w:spacing w:line="600" w:lineRule="exact"/>
        <w:ind w:firstLine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.宁波市负责甬江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及辖区内平原河网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洪水预警发布。</w:t>
      </w:r>
    </w:p>
    <w:p>
      <w:pPr>
        <w:widowControl/>
        <w:snapToGrid w:val="0"/>
        <w:spacing w:line="600" w:lineRule="exact"/>
        <w:ind w:firstLine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.温州市负责飞云江、鳌江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楠溪江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辖区内平原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洪水预警发布。</w:t>
      </w:r>
    </w:p>
    <w:p>
      <w:pPr>
        <w:widowControl/>
        <w:snapToGrid w:val="0"/>
        <w:spacing w:line="600" w:lineRule="exact"/>
        <w:ind w:firstLine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.湖州市负责西苕溪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辖区内平原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洪水预警发布。</w:t>
      </w:r>
    </w:p>
    <w:p>
      <w:pPr>
        <w:widowControl/>
        <w:snapToGrid w:val="0"/>
        <w:spacing w:line="600" w:lineRule="exact"/>
        <w:ind w:firstLine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.绍兴市负责曹娥江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辖区内平原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洪水预警发布。</w:t>
      </w:r>
    </w:p>
    <w:p>
      <w:pPr>
        <w:widowControl/>
        <w:snapToGrid w:val="0"/>
        <w:spacing w:line="600" w:lineRule="exact"/>
        <w:ind w:firstLine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.金华市负责辖区内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东阳江、武义江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洪水预警发布。</w:t>
      </w:r>
    </w:p>
    <w:p>
      <w:pPr>
        <w:widowControl/>
        <w:snapToGrid w:val="0"/>
        <w:spacing w:line="600" w:lineRule="exact"/>
        <w:ind w:firstLine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.衢州市负责辖区内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常山港、江山港和乌溪江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洪水预警发布。</w:t>
      </w:r>
    </w:p>
    <w:p>
      <w:pPr>
        <w:widowControl/>
        <w:snapToGrid w:val="0"/>
        <w:spacing w:line="600" w:lineRule="exact"/>
        <w:ind w:firstLine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.台州市负责椒江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辖区内平原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洪水预警发布。</w:t>
      </w:r>
    </w:p>
    <w:p>
      <w:pPr>
        <w:widowControl/>
        <w:snapToGrid w:val="0"/>
        <w:spacing w:line="600" w:lineRule="exact"/>
        <w:ind w:firstLine="6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水市负责辖区内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大溪、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松阴溪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好溪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洪水预警发布。</w:t>
      </w:r>
    </w:p>
    <w:p>
      <w:pPr>
        <w:widowControl/>
        <w:adjustRightInd w:val="0"/>
        <w:snapToGrid w:val="0"/>
        <w:spacing w:line="66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</w:rPr>
        <w:t>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县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（市、区）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水行政主管部门负责辖区内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中小河流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为主的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（省、市负责发布的除外）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  <w:t>洪水预警发布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、预警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标准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七）洪水预警标准以流域或区域预警站水位为主要指标，依据洪水严重程度、发展态势和可能造成的危害程度，由低至高分为蓝色、黄色、橙色和红色四个等级预警标准，分别代表一般（小洪水）、较重（中洪水）、严重（大洪水）和特别严重（特大洪水）影响程度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（八）预警等级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一般参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照以下标准制定：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1.洪水蓝色预警：水位将接近警戒水位，并预测继续上涨。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2.洪水黄色预警：水位将超过警戒水位，并预测继续上涨。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3.洪水橙色预警：水位将超过保证水位，并预测继续上涨。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4.洪水红色预警：水位将超过20年一遇水位，并预测继续上涨。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九）各级水行政主管部门应根据洪水预警发布职责，确定江河代表性水文（水位）站作为洪水预警站。预警站应代表洪水特性，满足测洪能力。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十）各级水行政主管部门结合流域区域洪水灾害的特点和水文（或水位）站网实际情况，综合考虑重要城镇、防洪保护区、重要水利工程等防洪保护对象情况，制定洪水预警标准，经核定公布后执行；定期复核预警标准执行情况，发现预警标准、预警站点代表性不足时，及时调整、公布后执行。</w:t>
      </w:r>
    </w:p>
    <w:p>
      <w:pPr>
        <w:widowControl/>
        <w:snapToGrid w:val="0"/>
        <w:spacing w:line="600" w:lineRule="exact"/>
        <w:ind w:firstLine="600" w:firstLineChars="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、预警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信息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发布</w:t>
      </w:r>
    </w:p>
    <w:p>
      <w:pPr>
        <w:widowControl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洪水预警发布分为向有关部门、单位发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布的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预警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（以下简称“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预警”）和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向社会公众发布的预警信息（以下简称“社会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预警”）。</w:t>
      </w:r>
    </w:p>
    <w:p>
      <w:pPr>
        <w:widowControl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洪水预警依据洪水严重程度、发展态势和可能造成的危害程度，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可跨预警等级发布、调整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widowControl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业预警信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息一般包括预警流域或区域范围、预警时间范围、预警等级（水位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szCs w:val="32"/>
          <w:highlight w:val="none"/>
        </w:rPr>
        <w:t>、流量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）和防御建议等。</w:t>
      </w:r>
    </w:p>
    <w:p>
      <w:pPr>
        <w:widowControl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业预警信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息发布采用预警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的方式，由各级水行政主管部门依据洪水实测或预报情况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向同级防汛指挥机构及相关成员单位、相关区域水行政主管部门和水工程管理单位发布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，并在全省统一预警发布平台共享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共用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。依据洪水实测或预报变化情况，适时调整、更新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预警过程结束后自动解除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十四）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社会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预警信息一般包括发布单位、发布时间、预警时间范围、预警流域或区域范围、预警等级和防御指南等内容。</w:t>
      </w:r>
    </w:p>
    <w:p>
      <w:pPr>
        <w:widowControl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社会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预警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由水行政主管部门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通过广播、电视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网络等手段向社会公众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发布。依据洪水实测或预报变化情况，适时调整、更新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预警过程结束后自动解除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snapToGrid w:val="0"/>
        <w:spacing w:line="620" w:lineRule="exact"/>
        <w:ind w:firstLine="60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各级水行政主管部门和有关单位应依据洪水预警信息，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按照水旱灾害防御应急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预案，及时启动响应，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落实洪水防御工作，最大程度减轻洪涝灾害损失。</w:t>
      </w:r>
    </w:p>
    <w:p>
      <w:pPr>
        <w:widowControl/>
        <w:snapToGrid w:val="0"/>
        <w:spacing w:line="620" w:lineRule="exact"/>
        <w:ind w:firstLine="60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十六）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设区市水行政主管部门可依据本办法，结合本辖区洪水灾害特点，制定洪水预警发布管理办法。</w:t>
      </w:r>
    </w:p>
    <w:p>
      <w:pPr>
        <w:widowControl/>
        <w:snapToGrid w:val="0"/>
        <w:spacing w:line="620" w:lineRule="exact"/>
        <w:ind w:firstLine="640" w:firstLineChars="200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五、附则</w:t>
      </w:r>
    </w:p>
    <w:p>
      <w:pPr>
        <w:widowControl/>
        <w:snapToGrid w:val="0"/>
        <w:spacing w:line="620" w:lineRule="exact"/>
        <w:ind w:firstLine="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十七）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本办法由浙江省水利厅负责解释。</w:t>
      </w:r>
    </w:p>
    <w:p>
      <w:pPr>
        <w:widowControl/>
        <w:snapToGrid w:val="0"/>
        <w:spacing w:line="620" w:lineRule="exact"/>
        <w:ind w:firstLine="600"/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154" w:right="1502" w:bottom="1984" w:left="1502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十八）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本办法自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xxxx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日起施行，原《浙江省洪水预警发布管理办法（试行）》（浙水灾防〔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号）同时废止。</w:t>
      </w:r>
    </w:p>
    <w:p>
      <w:pPr>
        <w:widowControl/>
        <w:shd w:val="clear" w:color="auto" w:fill="FFFFFF"/>
        <w:spacing w:line="249" w:lineRule="atLeast"/>
        <w:jc w:val="center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</w:rPr>
      <w:t xml:space="preserve">— </w:t>
    </w:r>
    <w:r>
      <w:rPr>
        <w:rStyle w:val="10"/>
        <w:rFonts w:ascii="Times New Roman" w:hAnsi="Times New Roman" w:cs="Times New Roman"/>
        <w:sz w:val="28"/>
      </w:rPr>
      <w:fldChar w:fldCharType="begin"/>
    </w:r>
    <w:r>
      <w:rPr>
        <w:rStyle w:val="10"/>
        <w:rFonts w:ascii="Times New Roman" w:hAnsi="Times New Roman" w:cs="Times New Roman"/>
        <w:sz w:val="28"/>
      </w:rPr>
      <w:instrText xml:space="preserve"> PAGE </w:instrText>
    </w:r>
    <w:r>
      <w:rPr>
        <w:rStyle w:val="10"/>
        <w:rFonts w:ascii="Times New Roman" w:hAnsi="Times New Roman" w:cs="Times New Roman"/>
        <w:sz w:val="28"/>
      </w:rPr>
      <w:fldChar w:fldCharType="separate"/>
    </w:r>
    <w:r>
      <w:rPr>
        <w:rStyle w:val="10"/>
        <w:rFonts w:ascii="Times New Roman" w:hAnsi="Times New Roman" w:cs="Times New Roman"/>
        <w:sz w:val="28"/>
      </w:rPr>
      <w:t>7</w:t>
    </w:r>
    <w:r>
      <w:rPr>
        <w:rStyle w:val="10"/>
        <w:rFonts w:ascii="Times New Roman" w:hAnsi="Times New Roman" w:cs="Times New Roman"/>
        <w:sz w:val="28"/>
      </w:rPr>
      <w:fldChar w:fldCharType="end"/>
    </w:r>
    <w:r>
      <w:rPr>
        <w:rFonts w:ascii="Times New Roman" w:hAnsi="Times New Roman" w:cs="Times New Roman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cs="Times New Roman"/>
        <w:sz w:val="28"/>
      </w:rPr>
      <w:t xml:space="preserve">— </w:t>
    </w:r>
    <w:r>
      <w:rPr>
        <w:rStyle w:val="10"/>
        <w:rFonts w:ascii="Times New Roman" w:hAnsi="Times New Roman" w:cs="Times New Roman"/>
        <w:sz w:val="28"/>
      </w:rPr>
      <w:fldChar w:fldCharType="begin"/>
    </w:r>
    <w:r>
      <w:rPr>
        <w:rStyle w:val="10"/>
        <w:rFonts w:ascii="Times New Roman" w:hAnsi="Times New Roman" w:cs="Times New Roman"/>
        <w:sz w:val="28"/>
      </w:rPr>
      <w:instrText xml:space="preserve"> PAGE </w:instrText>
    </w:r>
    <w:r>
      <w:rPr>
        <w:rStyle w:val="10"/>
        <w:rFonts w:ascii="Times New Roman" w:hAnsi="Times New Roman" w:cs="Times New Roman"/>
        <w:sz w:val="28"/>
      </w:rPr>
      <w:fldChar w:fldCharType="separate"/>
    </w:r>
    <w:r>
      <w:rPr>
        <w:rStyle w:val="10"/>
        <w:rFonts w:ascii="Times New Roman" w:hAnsi="Times New Roman" w:cs="Times New Roman"/>
        <w:sz w:val="28"/>
      </w:rPr>
      <w:t>6</w:t>
    </w:r>
    <w:r>
      <w:rPr>
        <w:rStyle w:val="10"/>
        <w:rFonts w:ascii="Times New Roman" w:hAnsi="Times New Roman" w:cs="Times New Roman"/>
        <w:sz w:val="28"/>
      </w:rPr>
      <w:fldChar w:fldCharType="end"/>
    </w:r>
    <w:r>
      <w:rPr>
        <w:rFonts w:ascii="Times New Roman" w:hAnsi="Times New Roman" w:cs="Times New Roman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13"/>
    <w:rsid w:val="000C5B13"/>
    <w:rsid w:val="00105E53"/>
    <w:rsid w:val="00167397"/>
    <w:rsid w:val="0024570F"/>
    <w:rsid w:val="002931D7"/>
    <w:rsid w:val="002B4E60"/>
    <w:rsid w:val="003003F6"/>
    <w:rsid w:val="00324047"/>
    <w:rsid w:val="00531EDE"/>
    <w:rsid w:val="0057361C"/>
    <w:rsid w:val="00611F9E"/>
    <w:rsid w:val="006678DA"/>
    <w:rsid w:val="00747992"/>
    <w:rsid w:val="00786EE6"/>
    <w:rsid w:val="007E119B"/>
    <w:rsid w:val="008121BD"/>
    <w:rsid w:val="0081262E"/>
    <w:rsid w:val="0086322F"/>
    <w:rsid w:val="00980DAD"/>
    <w:rsid w:val="00A2017E"/>
    <w:rsid w:val="00A33CBB"/>
    <w:rsid w:val="00A976DA"/>
    <w:rsid w:val="00AB7FD8"/>
    <w:rsid w:val="00B000EF"/>
    <w:rsid w:val="00C50C02"/>
    <w:rsid w:val="00C63DFD"/>
    <w:rsid w:val="00C932A6"/>
    <w:rsid w:val="00CF3392"/>
    <w:rsid w:val="00D20C54"/>
    <w:rsid w:val="00D578F6"/>
    <w:rsid w:val="00D8191E"/>
    <w:rsid w:val="00E80FDD"/>
    <w:rsid w:val="00EA231C"/>
    <w:rsid w:val="00EA60A9"/>
    <w:rsid w:val="00FB1B5D"/>
    <w:rsid w:val="1B9EA5EB"/>
    <w:rsid w:val="583A7962"/>
    <w:rsid w:val="F79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567"/>
      <w:textAlignment w:val="baseline"/>
    </w:pPr>
  </w:style>
  <w:style w:type="paragraph" w:styleId="3">
    <w:name w:val="toc 8"/>
    <w:basedOn w:val="1"/>
    <w:next w:val="1"/>
    <w:qFormat/>
    <w:uiPriority w:val="0"/>
    <w:pPr>
      <w:widowControl w:val="0"/>
      <w:spacing w:before="100" w:beforeAutospacing="1" w:after="100" w:afterAutospacing="1"/>
      <w:ind w:left="2940" w:leftChars="140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next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font51"/>
    <w:basedOn w:val="9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17">
    <w:name w:val="font21"/>
    <w:basedOn w:val="9"/>
    <w:qFormat/>
    <w:uiPriority w:val="0"/>
    <w:rPr>
      <w:rFonts w:hint="eastAsia" w:ascii="仿宋_GB2312" w:eastAsia="仿宋_GB2312" w:cs="仿宋_GB2312"/>
      <w:color w:val="FF0000"/>
      <w:sz w:val="36"/>
      <w:szCs w:val="36"/>
      <w:u w:val="none"/>
    </w:rPr>
  </w:style>
  <w:style w:type="character" w:customStyle="1" w:styleId="18">
    <w:name w:val="font71"/>
    <w:basedOn w:val="9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60</Words>
  <Characters>345</Characters>
  <Lines>2</Lines>
  <Paragraphs>1</Paragraphs>
  <TotalTime>2</TotalTime>
  <ScaleCrop>false</ScaleCrop>
  <LinksUpToDate>false</LinksUpToDate>
  <CharactersWithSpaces>404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2021-09-24T21:05:00Z</dcterms:created>
  <dc:creator>lenovo</dc:creator>
  <cp:lastModifiedBy>蔡麒麟</cp:lastModifiedBy>
  <cp:lastPrinted>2021-09-26T23:57:00Z</cp:lastPrinted>
  <dcterms:modified xsi:type="dcterms:W3CDTF">2025-03-03T06:14:12Z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4EEDC1A605614307BD15BEC4B1D3860E</vt:lpwstr>
  </property>
</Properties>
</file>