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pacing w:val="-11"/>
          <w:sz w:val="44"/>
          <w:szCs w:val="44"/>
        </w:rPr>
      </w:pPr>
      <w:r>
        <w:rPr>
          <w:rFonts w:hint="default" w:ascii="Times New Roman" w:hAnsi="Times New Roman" w:eastAsia="方正小标宋简体" w:cs="Times New Roman"/>
          <w:spacing w:val="-11"/>
          <w:sz w:val="44"/>
          <w:szCs w:val="44"/>
        </w:rPr>
        <w:t>关于《</w:t>
      </w:r>
      <w:r>
        <w:rPr>
          <w:rFonts w:hint="eastAsia" w:ascii="方正小标宋简体" w:hAnsi="方正小标宋简体" w:eastAsia="方正小标宋简体" w:cs="方正小标宋简体"/>
          <w:spacing w:val="-11"/>
          <w:sz w:val="44"/>
          <w:szCs w:val="44"/>
        </w:rPr>
        <w:t>202</w:t>
      </w:r>
      <w:r>
        <w:rPr>
          <w:rFonts w:hint="default" w:ascii="方正小标宋简体" w:hAnsi="方正小标宋简体" w:eastAsia="方正小标宋简体" w:cs="方正小标宋简体"/>
          <w:spacing w:val="-11"/>
          <w:sz w:val="44"/>
          <w:szCs w:val="44"/>
        </w:rPr>
        <w:t>4</w:t>
      </w:r>
      <w:r>
        <w:rPr>
          <w:rFonts w:hint="eastAsia" w:ascii="方正小标宋简体" w:hAnsi="方正小标宋简体" w:eastAsia="方正小标宋简体" w:cs="方正小标宋简体"/>
          <w:spacing w:val="-11"/>
          <w:sz w:val="44"/>
          <w:szCs w:val="44"/>
        </w:rPr>
        <w:t>年度</w:t>
      </w:r>
      <w:r>
        <w:rPr>
          <w:rFonts w:hint="default" w:ascii="方正小标宋简体" w:hAnsi="方正小标宋简体" w:eastAsia="方正小标宋简体" w:cs="方正小标宋简体"/>
          <w:spacing w:val="-11"/>
          <w:sz w:val="44"/>
          <w:szCs w:val="44"/>
        </w:rPr>
        <w:t>越城区</w:t>
      </w:r>
      <w:r>
        <w:rPr>
          <w:rFonts w:hint="eastAsia" w:ascii="方正小标宋简体" w:hAnsi="方正小标宋简体" w:eastAsia="方正小标宋简体" w:cs="方正小标宋简体"/>
          <w:spacing w:val="-11"/>
          <w:sz w:val="44"/>
          <w:szCs w:val="44"/>
        </w:rPr>
        <w:t>基本医疗保险</w:t>
      </w:r>
      <w:r>
        <w:rPr>
          <w:rFonts w:hint="default" w:ascii="方正小标宋简体" w:hAnsi="方正小标宋简体" w:eastAsia="方正小标宋简体" w:cs="方正小标宋简体"/>
          <w:spacing w:val="-11"/>
          <w:sz w:val="44"/>
          <w:szCs w:val="44"/>
        </w:rPr>
        <w:t>基金</w:t>
      </w:r>
      <w:r>
        <w:rPr>
          <w:rFonts w:hint="eastAsia" w:ascii="方正小标宋简体" w:hAnsi="方正小标宋简体" w:eastAsia="方正小标宋简体" w:cs="方正小标宋简体"/>
          <w:spacing w:val="-11"/>
          <w:sz w:val="44"/>
          <w:szCs w:val="44"/>
        </w:rPr>
        <w:t>总额预算方案</w:t>
      </w:r>
      <w:r>
        <w:rPr>
          <w:rFonts w:hint="eastAsia" w:ascii="方正小标宋简体" w:hAnsi="方正小标宋简体" w:eastAsia="方正小标宋简体" w:cs="方正小标宋简体"/>
          <w:spacing w:val="-11"/>
          <w:sz w:val="44"/>
          <w:szCs w:val="44"/>
          <w:lang w:eastAsia="zh-CN"/>
        </w:rPr>
        <w:t>（</w:t>
      </w:r>
      <w:r>
        <w:rPr>
          <w:rFonts w:hint="eastAsia" w:ascii="方正小标宋简体" w:hAnsi="方正小标宋简体" w:eastAsia="方正小标宋简体" w:cs="方正小标宋简体"/>
          <w:spacing w:val="-11"/>
          <w:sz w:val="44"/>
          <w:szCs w:val="44"/>
          <w:lang w:val="en-US" w:eastAsia="zh-CN"/>
        </w:rPr>
        <w:t>意见征求稿</w:t>
      </w:r>
      <w:r>
        <w:rPr>
          <w:rFonts w:hint="eastAsia" w:ascii="方正小标宋简体" w:hAnsi="方正小标宋简体" w:eastAsia="方正小标宋简体" w:cs="方正小标宋简体"/>
          <w:spacing w:val="-11"/>
          <w:sz w:val="44"/>
          <w:szCs w:val="44"/>
          <w:lang w:eastAsia="zh-CN"/>
        </w:rPr>
        <w:t>）</w:t>
      </w:r>
      <w:r>
        <w:rPr>
          <w:rFonts w:hint="default" w:ascii="Times New Roman" w:hAnsi="Times New Roman" w:eastAsia="方正小标宋简体" w:cs="Times New Roman"/>
          <w:spacing w:val="-11"/>
          <w:sz w:val="44"/>
          <w:szCs w:val="44"/>
        </w:rPr>
        <w:t>》的起草情况说明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default"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一、制定文件必要性、可行性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为切实保障参保人员基本医疗需求和医保基金安全运行，充分发挥医保基金战略性购买作用，协同推动公立医疗机构高质量发展，根据省市医保基金总额预算相关文件，结合我区实际，起草了《</w:t>
      </w:r>
      <w:r>
        <w:rPr>
          <w:rFonts w:hint="default" w:ascii="Times New Roman" w:hAnsi="Times New Roman" w:eastAsia="仿宋_GB2312" w:cs="Times New Roman"/>
          <w:sz w:val="32"/>
          <w:szCs w:val="32"/>
          <w:lang w:eastAsia="zh-CN"/>
        </w:rPr>
        <w:t>越城</w:t>
      </w:r>
      <w:r>
        <w:rPr>
          <w:rFonts w:hint="default" w:ascii="Times New Roman" w:hAnsi="Times New Roman" w:eastAsia="仿宋_GB2312" w:cs="Times New Roman"/>
          <w:sz w:val="32"/>
          <w:szCs w:val="32"/>
          <w:lang w:val="en-US" w:eastAsia="zh-CN"/>
        </w:rPr>
        <w:t>区2024年度基本医疗保险基金总额预算</w:t>
      </w:r>
      <w:r>
        <w:rPr>
          <w:rFonts w:hint="default" w:ascii="Times New Roman" w:hAnsi="Times New Roman" w:eastAsia="仿宋_GB2312" w:cs="Times New Roman"/>
          <w:sz w:val="32"/>
          <w:szCs w:val="32"/>
          <w:lang w:eastAsia="zh-CN"/>
        </w:rPr>
        <w:t>方案</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二、需要解决的主要问题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为了解决医保基金支出增长过快的问题，维护医保基金安全运行，改变单纯按项目付费的支付方式，通过实行对</w:t>
      </w:r>
      <w:r>
        <w:rPr>
          <w:rFonts w:hint="eastAsia" w:ascii="Times New Roman" w:hAnsi="Times New Roman" w:eastAsia="仿宋_GB2312" w:cs="Times New Roman"/>
          <w:sz w:val="32"/>
          <w:szCs w:val="32"/>
          <w:lang w:val="en-US" w:eastAsia="zh-CN"/>
        </w:rPr>
        <w:t>定点</w:t>
      </w:r>
      <w:r>
        <w:rPr>
          <w:rFonts w:hint="default" w:ascii="Times New Roman" w:hAnsi="Times New Roman" w:eastAsia="仿宋_GB2312" w:cs="Times New Roman"/>
          <w:sz w:val="32"/>
          <w:szCs w:val="32"/>
          <w:lang w:val="en-US" w:eastAsia="zh-CN"/>
        </w:rPr>
        <w:t>零售药店</w:t>
      </w:r>
      <w:bookmarkStart w:id="0" w:name="_GoBack"/>
      <w:bookmarkEnd w:id="0"/>
      <w:r>
        <w:rPr>
          <w:rFonts w:hint="default" w:ascii="Times New Roman" w:hAnsi="Times New Roman" w:eastAsia="仿宋_GB2312" w:cs="Times New Roman"/>
          <w:sz w:val="32"/>
          <w:szCs w:val="32"/>
          <w:lang w:val="en-US" w:eastAsia="zh-CN"/>
        </w:rPr>
        <w:t>的总额预算管理和对住院医疗服务的DRGs点数法付费，激发定点医疗机构控费动力，提高医保基金使用效率，减轻群众就医负担。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三、拟规定的主要制度和拟采取的主要措施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市里的2024年度职工医保基金总额预算预下达指标和城乡居民医保基金总额预算指标，制定我区的分配管理方案。一是确定门诊医保基金和住院医保基金的分配方式；二是确定对各定点医疗机构及定点零售药店医保基金的预算额度；三是确定“结余合理留用、超支合理分担”的责任共担机制。</w:t>
      </w:r>
    </w:p>
    <w:p>
      <w:pPr>
        <w:pStyle w:val="3"/>
        <w:numPr>
          <w:ilvl w:val="0"/>
          <w:numId w:val="0"/>
        </w:numPr>
        <w:ind w:leftChars="200"/>
        <w:rPr>
          <w:rFonts w:hint="default"/>
          <w:lang w:eastAsia="zh-CN"/>
        </w:rPr>
      </w:pPr>
    </w:p>
    <w:p/>
    <w:sectPr>
      <w:footerReference r:id="rId3" w:type="default"/>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A2D4D"/>
    <w:rsid w:val="16D865F1"/>
    <w:rsid w:val="290761A5"/>
    <w:rsid w:val="426A081B"/>
    <w:rsid w:val="4CCA2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2024-11-12T01:58:00Z</dcterms:created>
  <dc:creator>紫茵霞薇</dc:creator>
  <cp:lastModifiedBy>紫茵霞薇</cp:lastModifiedBy>
  <dcterms:modified xsi:type="dcterms:W3CDTF">2024-11-12T02:37:22Z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B53EE16A44A54B6E86AC58E71747DF3D</vt:lpwstr>
  </property>
</Properties>
</file>