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BAC6C3">
      <w:pPr>
        <w:keepNext w:val="0"/>
        <w:keepLines w:val="0"/>
        <w:pageBreakBefore w:val="0"/>
        <w:widowControl w:val="0"/>
        <w:kinsoku/>
        <w:wordWrap/>
        <w:overflowPunct/>
        <w:topLinePunct w:val="0"/>
        <w:autoSpaceDE/>
        <w:autoSpaceDN/>
        <w:adjustRightInd/>
        <w:snapToGrid/>
        <w:spacing w:beforeAutospacing="0" w:afterAutospacing="0" w:line="360" w:lineRule="auto"/>
        <w:ind w:left="0"/>
        <w:jc w:val="center"/>
        <w:rPr>
          <w:rFonts w:ascii="Times New Roman" w:hAnsi="Times New Roman" w:eastAsia="国标小标宋"/>
          <w:b w:val="0"/>
          <w:bCs/>
          <w:sz w:val="44"/>
          <w:szCs w:val="44"/>
        </w:rPr>
      </w:pPr>
    </w:p>
    <w:p w14:paraId="59387795">
      <w:pPr>
        <w:keepNext w:val="0"/>
        <w:keepLines w:val="0"/>
        <w:pageBreakBefore w:val="0"/>
        <w:widowControl w:val="0"/>
        <w:kinsoku/>
        <w:wordWrap/>
        <w:overflowPunct/>
        <w:topLinePunct w:val="0"/>
        <w:autoSpaceDE/>
        <w:autoSpaceDN/>
        <w:adjustRightInd/>
        <w:snapToGrid/>
        <w:spacing w:beforeAutospacing="0" w:afterAutospacing="0" w:line="360" w:lineRule="auto"/>
        <w:ind w:left="0"/>
        <w:jc w:val="center"/>
        <w:rPr>
          <w:rFonts w:ascii="Times New Roman" w:hAnsi="Times New Roman" w:eastAsia="国标小标宋"/>
          <w:b w:val="0"/>
          <w:bCs/>
          <w:sz w:val="44"/>
          <w:szCs w:val="44"/>
        </w:rPr>
      </w:pPr>
      <w:r>
        <w:rPr>
          <w:rFonts w:ascii="Times New Roman" w:hAnsi="Times New Roman" w:eastAsia="国标小标宋"/>
          <w:b w:val="0"/>
          <w:bCs/>
          <w:sz w:val="44"/>
          <w:szCs w:val="44"/>
        </w:rPr>
        <w:t>杭州高新区（滨江）</w:t>
      </w:r>
    </w:p>
    <w:p w14:paraId="2BFB682B">
      <w:pPr>
        <w:keepNext w:val="0"/>
        <w:keepLines w:val="0"/>
        <w:pageBreakBefore w:val="0"/>
        <w:widowControl w:val="0"/>
        <w:kinsoku/>
        <w:wordWrap/>
        <w:overflowPunct/>
        <w:topLinePunct w:val="0"/>
        <w:autoSpaceDE/>
        <w:autoSpaceDN/>
        <w:adjustRightInd/>
        <w:snapToGrid/>
        <w:spacing w:beforeAutospacing="0" w:afterAutospacing="0" w:line="360" w:lineRule="auto"/>
        <w:ind w:left="0"/>
        <w:jc w:val="center"/>
        <w:rPr>
          <w:rFonts w:ascii="Times New Roman" w:hAnsi="Times New Roman" w:eastAsia="国标小标宋"/>
          <w:b w:val="0"/>
          <w:bCs/>
          <w:sz w:val="44"/>
          <w:szCs w:val="44"/>
        </w:rPr>
      </w:pPr>
      <w:r>
        <w:rPr>
          <w:rFonts w:ascii="Times New Roman" w:hAnsi="Times New Roman" w:eastAsia="国标小标宋"/>
          <w:b w:val="0"/>
          <w:bCs/>
          <w:sz w:val="44"/>
          <w:szCs w:val="44"/>
        </w:rPr>
        <w:t>建设数字自贸区三年行动计划</w:t>
      </w:r>
      <w:r>
        <w:rPr>
          <w:rFonts w:ascii="Times New Roman" w:hAnsi="Times New Roman" w:eastAsia="国标小标宋"/>
          <w:bCs/>
          <w:sz w:val="44"/>
          <w:szCs w:val="44"/>
        </w:rPr>
        <w:t>（2025-2027年）</w:t>
      </w:r>
    </w:p>
    <w:p w14:paraId="440BDD94">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center"/>
        <w:textAlignment w:val="auto"/>
        <w:rPr>
          <w:rFonts w:ascii="Times New Roman" w:hAnsi="Times New Roman" w:eastAsia="楷体_GB2312"/>
          <w:sz w:val="32"/>
          <w:szCs w:val="32"/>
        </w:rPr>
      </w:pPr>
      <w:r>
        <w:rPr>
          <w:rFonts w:ascii="Times New Roman" w:hAnsi="Times New Roman" w:eastAsia="楷体_GB2312"/>
          <w:sz w:val="32"/>
          <w:szCs w:val="32"/>
        </w:rPr>
        <w:t>（</w:t>
      </w:r>
      <w:r>
        <w:rPr>
          <w:rFonts w:hint="eastAsia" w:ascii="Times New Roman" w:hAnsi="Times New Roman" w:eastAsia="楷体_GB2312"/>
          <w:sz w:val="32"/>
          <w:szCs w:val="32"/>
          <w:lang w:val="en-US" w:eastAsia="zh-CN"/>
        </w:rPr>
        <w:t>征求意见</w:t>
      </w:r>
      <w:r>
        <w:rPr>
          <w:rFonts w:ascii="Times New Roman" w:hAnsi="Times New Roman" w:eastAsia="楷体_GB2312"/>
          <w:sz w:val="32"/>
          <w:szCs w:val="32"/>
        </w:rPr>
        <w:t>稿）</w:t>
      </w:r>
    </w:p>
    <w:p w14:paraId="49CB10F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color w:val="auto"/>
          <w:sz w:val="32"/>
          <w:szCs w:val="32"/>
        </w:rPr>
      </w:pPr>
    </w:p>
    <w:p w14:paraId="17CF44AA">
      <w:pPr>
        <w:keepNext w:val="0"/>
        <w:keepLines w:val="0"/>
        <w:pageBreakBefore w:val="0"/>
        <w:widowControl w:val="0"/>
        <w:kinsoku/>
        <w:wordWrap/>
        <w:overflowPunct/>
        <w:topLinePunct w:val="0"/>
        <w:autoSpaceDE/>
        <w:autoSpaceDN/>
        <w:adjustRightInd/>
        <w:snapToGrid/>
        <w:spacing w:beforeAutospacing="0" w:afterAutospacing="0" w:line="360" w:lineRule="auto"/>
        <w:ind w:firstLine="640" w:firstLineChars="200"/>
        <w:jc w:val="left"/>
        <w:rPr>
          <w:rFonts w:ascii="Times New Roman" w:hAnsi="Times New Roman" w:eastAsia="仿宋_GB2312"/>
          <w:sz w:val="32"/>
          <w:szCs w:val="32"/>
        </w:rPr>
      </w:pPr>
      <w:r>
        <w:rPr>
          <w:rFonts w:ascii="Times New Roman" w:hAnsi="Times New Roman" w:eastAsia="仿宋_GB2312"/>
          <w:sz w:val="32"/>
          <w:szCs w:val="32"/>
        </w:rPr>
        <w:t>为全面实施自贸试验区提升战略，扎实推进中国（浙江）自由贸易试验区杭州片区滨江区块建设，</w:t>
      </w:r>
      <w:bookmarkStart w:id="0" w:name="_GoBack"/>
      <w:bookmarkEnd w:id="0"/>
      <w:r>
        <w:rPr>
          <w:rFonts w:ascii="Times New Roman" w:hAnsi="Times New Roman" w:eastAsia="仿宋_GB2312"/>
          <w:sz w:val="32"/>
          <w:szCs w:val="32"/>
        </w:rPr>
        <w:t>加快打造全球数贸港产业核心承载区和全国数字自贸试验区核心区，</w:t>
      </w:r>
      <w:r>
        <w:rPr>
          <w:rFonts w:ascii="Times New Roman" w:hAnsi="Times New Roman" w:eastAsia="仿宋_GB2312"/>
          <w:sz w:val="32"/>
          <w:szCs w:val="32"/>
          <w:lang w:val="en-US" w:eastAsia="zh-CN"/>
        </w:rPr>
        <w:t>特制定本</w:t>
      </w:r>
      <w:r>
        <w:rPr>
          <w:rFonts w:ascii="Times New Roman" w:hAnsi="Times New Roman" w:eastAsia="仿宋_GB2312"/>
          <w:sz w:val="32"/>
          <w:szCs w:val="32"/>
        </w:rPr>
        <w:t>实施</w:t>
      </w:r>
      <w:r>
        <w:rPr>
          <w:rFonts w:ascii="Times New Roman" w:hAnsi="Times New Roman" w:eastAsia="仿宋_GB2312"/>
          <w:sz w:val="32"/>
          <w:szCs w:val="32"/>
          <w:lang w:val="en-US" w:eastAsia="zh-CN"/>
        </w:rPr>
        <w:t>方案</w:t>
      </w:r>
      <w:r>
        <w:rPr>
          <w:rFonts w:ascii="Times New Roman" w:hAnsi="Times New Roman" w:eastAsia="仿宋_GB2312"/>
          <w:sz w:val="32"/>
          <w:szCs w:val="32"/>
        </w:rPr>
        <w:t>。</w:t>
      </w:r>
    </w:p>
    <w:p w14:paraId="21489BA6">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黑体"/>
          <w:b w:val="0"/>
          <w:bCs/>
          <w:sz w:val="32"/>
          <w:szCs w:val="32"/>
        </w:rPr>
      </w:pPr>
      <w:r>
        <w:rPr>
          <w:rFonts w:ascii="Times New Roman" w:hAnsi="Times New Roman" w:eastAsia="黑体"/>
          <w:b w:val="0"/>
          <w:bCs/>
          <w:sz w:val="32"/>
          <w:szCs w:val="32"/>
        </w:rPr>
        <w:t>一、总体要求</w:t>
      </w:r>
    </w:p>
    <w:p w14:paraId="239685EA">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sz w:val="32"/>
          <w:szCs w:val="32"/>
        </w:rPr>
      </w:pPr>
      <w:r>
        <w:rPr>
          <w:rFonts w:ascii="Times New Roman" w:hAnsi="Times New Roman" w:eastAsia="仿宋_GB2312"/>
          <w:sz w:val="32"/>
          <w:szCs w:val="32"/>
        </w:rPr>
        <w:t>以习近平新时代中国特色社会主义思想为指导，深入贯彻党的二十大和二十届三中全会关于实施自贸试验区提升战略的重大决策，按照市委、市政府高水平建设数字自贸试验区的部署要求，以扩大开放为基本路径，以深化改革为核心动力，对标数字等领域的国际高标准投资贸易规则，提高数字等领域的制度型开放水平，强化数字等领域的制度创新、制度创设、制度供给，营造制度创新与科技创新双向赋能、数字经济与实体经济相互融合、自由贸易试验区与自主创新示范区联动协同的改革氛围，在全国范围内率先形成数字化精准赋能的投资自由、贸易自由、运输物流自由、资金进出自由、人员往来自由和数据跨境流动安全有序便利的制度环境，加快建成“世界领先科技园区”“数字经济第一区”“营商环境最优区”。</w:t>
      </w:r>
    </w:p>
    <w:p w14:paraId="0E1B47B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黑体"/>
          <w:b w:val="0"/>
          <w:bCs/>
          <w:sz w:val="32"/>
          <w:szCs w:val="32"/>
        </w:rPr>
      </w:pPr>
      <w:r>
        <w:rPr>
          <w:rFonts w:ascii="Times New Roman" w:hAnsi="Times New Roman" w:eastAsia="黑体"/>
          <w:b w:val="0"/>
          <w:bCs/>
          <w:sz w:val="32"/>
          <w:szCs w:val="32"/>
        </w:rPr>
        <w:t>二、发展目标</w:t>
      </w:r>
    </w:p>
    <w:p w14:paraId="4191B3A5">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sz w:val="32"/>
          <w:szCs w:val="32"/>
        </w:rPr>
      </w:pPr>
      <w:r>
        <w:rPr>
          <w:rFonts w:ascii="Times New Roman" w:hAnsi="Times New Roman" w:eastAsia="仿宋_GB2312"/>
          <w:sz w:val="32"/>
          <w:szCs w:val="32"/>
        </w:rPr>
        <w:t>对标国际一流水平和国内先进地区，着力在数据要素开放枢纽、数字贸易生态培育、数实融合硬核产业、数字金融服务网络、数字治理营商环境等五个领域形成更加成熟定型的全链条制度创新成果。</w:t>
      </w:r>
    </w:p>
    <w:p w14:paraId="616D612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color w:val="2B2B2B"/>
          <w:sz w:val="32"/>
          <w:szCs w:val="32"/>
        </w:rPr>
      </w:pPr>
      <w:r>
        <w:rPr>
          <w:rFonts w:ascii="Times New Roman" w:hAnsi="Times New Roman" w:eastAsia="仿宋_GB2312"/>
          <w:color w:val="2B2B2B"/>
          <w:sz w:val="32"/>
          <w:szCs w:val="32"/>
        </w:rPr>
        <w:t>——数字贸易发展的比较优势得到进一步巩固，全球数字贸易博览会的溢出效应不断放大，数字服务、数字文化、知识产权、中医药等国家级特色服务出口基地的产业引领功能进一步凸显，原创动漫、游戏等优势内容产业的研发水平和“出海”规模位于国内第一方阵，“直播+电商”等数字订购贸易取得跨越式发展。</w:t>
      </w:r>
    </w:p>
    <w:p w14:paraId="1F7A0386">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sz w:val="32"/>
          <w:szCs w:val="32"/>
        </w:rPr>
      </w:pPr>
      <w:r>
        <w:rPr>
          <w:rFonts w:ascii="Times New Roman" w:hAnsi="Times New Roman" w:eastAsia="仿宋_GB2312"/>
          <w:sz w:val="32"/>
          <w:szCs w:val="32"/>
        </w:rPr>
        <w:t>——“中国数谷”核心区建设取得重大进展，数据和网络等新一代基础设施体系进一步完善，数据作为新型生产要素的功能充分凸显，数据资产的权利界定、估值、定价、入表、交易和数据跨境流动更加规范和便捷，形成有强大数字赋能效应的数据知识产权生态试验区，为国家在数字领域的规则、规制、标准制定和管理创新提供更多案例。</w:t>
      </w:r>
    </w:p>
    <w:p w14:paraId="28F16DB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color w:val="2B2B2B"/>
          <w:sz w:val="32"/>
          <w:szCs w:val="32"/>
        </w:rPr>
      </w:pPr>
      <w:r>
        <w:rPr>
          <w:rFonts w:ascii="Times New Roman" w:hAnsi="Times New Roman" w:eastAsia="仿宋_GB2312"/>
          <w:color w:val="2B2B2B"/>
          <w:sz w:val="32"/>
          <w:szCs w:val="32"/>
        </w:rPr>
        <w:t>——数实融合、双自联动的硬核产业体系加快形成，“一园三谷五镇”产业布局和科创矩阵进一步完善，国际竞争力明显提升，视觉智能作为世界级产业集群的地位进一步巩固，“国际零磁科学谷”作为新的技术策源地对产业的拉动效应逐步凸显，人工智能与集成电路、智能算力、生物医药等产业的结合更加紧密。</w:t>
      </w:r>
    </w:p>
    <w:p w14:paraId="0A2FEEE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color w:val="2B2B2B"/>
          <w:sz w:val="32"/>
          <w:szCs w:val="32"/>
        </w:rPr>
      </w:pPr>
      <w:r>
        <w:rPr>
          <w:rFonts w:ascii="Times New Roman" w:hAnsi="Times New Roman" w:eastAsia="仿宋_GB2312"/>
          <w:color w:val="2B2B2B"/>
          <w:sz w:val="32"/>
          <w:szCs w:val="32"/>
        </w:rPr>
        <w:t>——数字金融服务网络在全球的覆盖面进一步提升，以电商为主要场景的跨境支付结算服务更加高效安全并广泛应用到离岸贸易、服务贸易、个人汇兑等跨境活动中，数字人民币的应用从境内向跨境、从个人向企业、从跨境电商向大宗贸易等不断拓展，科创金融与实体经济的结合更加紧密。</w:t>
      </w:r>
    </w:p>
    <w:p w14:paraId="056DE744">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color w:val="2B2B2B"/>
          <w:sz w:val="32"/>
          <w:szCs w:val="32"/>
        </w:rPr>
      </w:pPr>
      <w:r>
        <w:rPr>
          <w:rFonts w:ascii="Times New Roman" w:hAnsi="Times New Roman" w:eastAsia="仿宋_GB2312"/>
          <w:color w:val="2B2B2B"/>
          <w:sz w:val="32"/>
          <w:szCs w:val="32"/>
        </w:rPr>
        <w:t>——基于数字治理的营商环境更加优化，数据等新型知识产权的保护得到进一步加强，民营经济高质量发展水平进一步提升，优质企业梯度培育取得显著成效，境外人才、国内人才共同打造“国际滨”的格局进一步形成，产业发展的空间结构更加合理。</w:t>
      </w:r>
    </w:p>
    <w:p w14:paraId="29AFFB7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sz w:val="32"/>
          <w:szCs w:val="32"/>
        </w:rPr>
      </w:pPr>
      <w:r>
        <w:rPr>
          <w:rFonts w:ascii="Times New Roman" w:hAnsi="Times New Roman" w:eastAsia="仿宋_GB2312"/>
          <w:sz w:val="32"/>
          <w:szCs w:val="32"/>
        </w:rPr>
        <w:t>在自贸试验区滨江区块的带动下，全区生产总值年均增速高于全省平均增速3个百分点，规上工业增加值总量保持全市第一，全社会研发经费投入相当于生产总值比重保持在</w:t>
      </w:r>
      <w:r>
        <w:rPr>
          <w:rFonts w:ascii="Times New Roman" w:hAnsi="Times New Roman" w:eastAsia="仿宋_GB2312"/>
          <w:sz w:val="32"/>
          <w:szCs w:val="32"/>
          <w:lang w:val="en-US" w:eastAsia="zh-CN"/>
        </w:rPr>
        <w:t>9</w:t>
      </w:r>
      <w:r>
        <w:rPr>
          <w:rFonts w:ascii="Times New Roman" w:hAnsi="Times New Roman" w:eastAsia="仿宋_GB2312"/>
          <w:sz w:val="32"/>
          <w:szCs w:val="32"/>
        </w:rPr>
        <w:t>%左右；外贸进出口总额、实际利用外资总额年均增速分别高于全省平均增速3个百分点，跨境电商出口占外贸出口比重保持在20%左右，高技术产业实际利用外资保持在50%以上。到2027年，全区数字支付贸易占服务贸易比重超过60%，跨境支付结算规模突破3500亿元。</w:t>
      </w:r>
    </w:p>
    <w:p w14:paraId="1CD2FF4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640" w:firstLineChars="200"/>
        <w:jc w:val="left"/>
        <w:textAlignment w:val="auto"/>
        <w:rPr>
          <w:rFonts w:ascii="Times New Roman" w:hAnsi="Times New Roman" w:eastAsia="黑体"/>
          <w:b w:val="0"/>
          <w:bCs/>
          <w:sz w:val="32"/>
          <w:szCs w:val="32"/>
        </w:rPr>
      </w:pPr>
      <w:r>
        <w:rPr>
          <w:rFonts w:ascii="Times New Roman" w:hAnsi="Times New Roman" w:eastAsia="黑体"/>
          <w:b w:val="0"/>
          <w:bCs/>
          <w:sz w:val="32"/>
          <w:szCs w:val="32"/>
          <w:lang w:eastAsia="zh-CN"/>
        </w:rPr>
        <w:t>三、</w:t>
      </w:r>
      <w:r>
        <w:rPr>
          <w:rFonts w:ascii="Times New Roman" w:hAnsi="Times New Roman" w:eastAsia="黑体"/>
          <w:b w:val="0"/>
          <w:bCs/>
          <w:sz w:val="32"/>
          <w:szCs w:val="32"/>
        </w:rPr>
        <w:t>重点任务</w:t>
      </w:r>
    </w:p>
    <w:p w14:paraId="6B5FA45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b/>
          <w:bCs/>
          <w:sz w:val="32"/>
          <w:szCs w:val="32"/>
        </w:rPr>
      </w:pPr>
      <w:r>
        <w:rPr>
          <w:rFonts w:ascii="Times New Roman" w:hAnsi="Times New Roman" w:eastAsia="楷体_GB2312"/>
          <w:b/>
          <w:bCs/>
          <w:sz w:val="32"/>
          <w:szCs w:val="32"/>
        </w:rPr>
        <w:t>（一）加快建设以数字贸易为特色的贸易强国重要节点。</w:t>
      </w:r>
    </w:p>
    <w:p w14:paraId="1D5C207B">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1</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做强数字产品贸易。</w:t>
      </w:r>
      <w:r>
        <w:rPr>
          <w:rFonts w:ascii="Times New Roman" w:hAnsi="Times New Roman" w:eastAsia="仿宋_GB2312"/>
          <w:sz w:val="32"/>
          <w:szCs w:val="32"/>
        </w:rPr>
        <w:t>巩固动漫、游戏等产业先发优势，推动数字音乐、数字影视、网络文学、数字艺术、数字藏品等创新发展，鼓励市场主体推进品牌国际化建设，加强专业语言翻译、国际标准认定、知识产权保护等精准服务，支持以数字化交付方式开展数字产品国际贸易，打造数字产品“出海桥头堡”。发挥国家动画产业基地、中国网络作家村</w:t>
      </w:r>
      <w:r>
        <w:rPr>
          <w:rFonts w:ascii="Times New Roman" w:hAnsi="Times New Roman" w:eastAsia="仿宋_GB2312"/>
          <w:sz w:val="32"/>
          <w:szCs w:val="32"/>
          <w:lang w:eastAsia="zh-CN"/>
        </w:rPr>
        <w:t>、</w:t>
      </w:r>
      <w:r>
        <w:rPr>
          <w:rFonts w:ascii="Times New Roman" w:hAnsi="Times New Roman" w:eastAsia="仿宋_GB2312"/>
          <w:sz w:val="32"/>
          <w:szCs w:val="32"/>
        </w:rPr>
        <w:t>浙江数字文化国际合作区等平台功能，强化对数字文化企业发展和产品出海的政策扶持，鼓励彰显中华文化、浙江特色、滨江韵味的原创优秀文化作品出海。支持元宇宙、区块链、人工智能、云计算等新技术的集成应用，创新发展数字内容加工等业务。利用虚拟现实等技术打造沉浸式旅游体验场景，培育数字文旅新业态。协助重点企业向上争取简化游戏等数字内容发行许可审批流程。支持企业研发原创数字内容作品，支持公开出版发行的原创文学作品IP改编成影视、动漫、广播剧、游戏等，促进数字内容转化和产业化。</w:t>
      </w:r>
      <w:r>
        <w:rPr>
          <w:rFonts w:ascii="Times New Roman" w:hAnsi="Times New Roman" w:eastAsia="仿宋_GB2312"/>
          <w:sz w:val="32"/>
          <w:szCs w:val="32"/>
          <w:lang w:eastAsia="zh-CN"/>
        </w:rPr>
        <w:t>支持动漫游戏和电竞服务平台建设发展</w:t>
      </w:r>
      <w:r>
        <w:rPr>
          <w:rFonts w:ascii="Times New Roman" w:hAnsi="Times New Roman" w:eastAsia="仿宋_GB2312"/>
          <w:sz w:val="32"/>
          <w:szCs w:val="32"/>
        </w:rPr>
        <w:t>。支持滨江创意小镇推动“文创+科创”融合发展，重点发展数字传媒、数字创意、数字设计、网络文学等优势产业。</w:t>
      </w:r>
      <w:r>
        <w:rPr>
          <w:rFonts w:ascii="Times New Roman" w:hAnsi="Times New Roman" w:eastAsia="楷体_GB2312"/>
          <w:sz w:val="32"/>
          <w:szCs w:val="32"/>
        </w:rPr>
        <w:t>（</w:t>
      </w:r>
      <w:r>
        <w:rPr>
          <w:rFonts w:ascii="Times New Roman" w:hAnsi="Times New Roman" w:eastAsia="楷体_GB2312"/>
          <w:sz w:val="32"/>
          <w:szCs w:val="32"/>
          <w:lang w:eastAsia="zh-CN"/>
        </w:rPr>
        <w:t>责任单位：宣传部</w:t>
      </w:r>
      <w:r>
        <w:rPr>
          <w:rFonts w:ascii="Times New Roman" w:hAnsi="Times New Roman" w:eastAsia="楷体_GB2312"/>
          <w:sz w:val="32"/>
          <w:szCs w:val="32"/>
        </w:rPr>
        <w:t>、商务局、文广旅体局）</w:t>
      </w:r>
    </w:p>
    <w:p w14:paraId="6ABE09FC">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2</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做优数字服务贸易。</w:t>
      </w:r>
      <w:r>
        <w:rPr>
          <w:rFonts w:ascii="Times New Roman" w:hAnsi="Times New Roman" w:eastAsia="仿宋_GB2312"/>
          <w:sz w:val="32"/>
          <w:szCs w:val="32"/>
        </w:rPr>
        <w:t>鼓励智慧医疗、智慧物流、在线教育、远程办公、语言翻译、在线展览、在线文旅等数字服务贸易发展。争取增值电信业务有序开放。发挥中国国际服务外包交易博览会等平台功能，建设国际离岸服务外包接发包中心和交付中心，发展众包、云外包、平台分包等模式，创新“科技资本+技术交易+离岸外包”的新型孵化和加速模式。推动数字技术与传统服务贸易深度融合，利用5G、物联网等发展制造业服务外包和推动生产性服务业出海，培育数字化制造、工业互联网、产业大脑、未来工厂、数字化车间等解决方案总包供应商，打造辐射全球的智能制造服务方案输出高地。支持开展远程医疗、人工智能、无人机飞行管理、无人驾驶等数字领域伦理准则研究。</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发改局、经信局、商务局）</w:t>
      </w:r>
    </w:p>
    <w:p w14:paraId="09D2691E">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3</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做大数字技术贸易。</w:t>
      </w:r>
      <w:r>
        <w:rPr>
          <w:rFonts w:ascii="Times New Roman" w:hAnsi="Times New Roman" w:eastAsia="仿宋_GB2312"/>
          <w:sz w:val="32"/>
          <w:szCs w:val="32"/>
        </w:rPr>
        <w:t>支持人工智能、大数据、云计算、区块链、隐私计算等数字技术贸易发展。推进国家知识产权服务出口基地建设，组建重点产业知识产权创新联合体，开展全球专利导航分析，培育高价值专利组合，构建运营专利池，引育高水平涉外知识产权服务机构，布局一批海外知识产权公益服务站点，优化知识产权对外转让服务机制，引导企业通过专利合作条约、马德里体系、海牙体系等途径加强海外知识产权布局，开展海外专利、商标预警分析。支持发展与高端装备配套的设计、研发、算法训练、软件维护、远程服务等数字技术，鼓励企</w:t>
      </w:r>
      <w:r>
        <w:rPr>
          <w:rFonts w:hint="eastAsia" w:ascii="Times New Roman" w:hAnsi="Times New Roman" w:eastAsia="仿宋_GB2312"/>
          <w:sz w:val="32"/>
          <w:szCs w:val="32"/>
          <w:lang w:val="en-US" w:eastAsia="zh-CN"/>
        </w:rPr>
        <w:t>业</w:t>
      </w:r>
      <w:r>
        <w:rPr>
          <w:rFonts w:ascii="Times New Roman" w:hAnsi="Times New Roman" w:eastAsia="仿宋_GB2312"/>
          <w:sz w:val="32"/>
          <w:szCs w:val="32"/>
        </w:rPr>
        <w:t>以“硬件+软件+服务”一体化模式向国内外输出数字技术整体解决方案。加快新一代人工智能创新发展，鼓励行业龙头企业投资建设面向人工智能的场景化开放服务平台，以“模型券”等方式鼓励企业采购使用研发模型，鼓励制造业企业利用人工智能技术实现全要素、全流程智能化升级，推动大模型、垂直大模型出海。重点推动基础软件和工业软件攻坚突破，支持企业参与制订软件国际标准，促进数据库、计算框架、AI框架、研发设计软件、数据安全软件等出口。提升IaaS等云计算服务全球市场份额。完善数字科技成果交易与进出口机制，引导技术熟化，加快数字技术标准化、商用化、产业化进程。</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经信局、市场监管局）</w:t>
      </w:r>
    </w:p>
    <w:p w14:paraId="346DEAD4">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4</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优化提升数字订购贸易。</w:t>
      </w:r>
      <w:r>
        <w:rPr>
          <w:rFonts w:ascii="Times New Roman" w:hAnsi="Times New Roman" w:eastAsia="仿宋_GB2312"/>
          <w:sz w:val="32"/>
          <w:szCs w:val="32"/>
        </w:rPr>
        <w:t>推进跨境电商与直播经济融合发展，牵头开展国家级</w:t>
      </w:r>
      <w:r>
        <w:rPr>
          <w:rFonts w:ascii="Times New Roman" w:hAnsi="Times New Roman" w:eastAsia="仿宋_GB2312"/>
          <w:i w:val="0"/>
          <w:caps w:val="0"/>
          <w:smallCaps w:val="0"/>
          <w:color w:val="464646"/>
          <w:spacing w:val="0"/>
          <w:sz w:val="32"/>
          <w:szCs w:val="32"/>
          <w:shd w:val="clear" w:color="auto" w:fill="FFFFFF"/>
        </w:rPr>
        <w:t>数字零售电子商务标准化试点，</w:t>
      </w:r>
      <w:r>
        <w:rPr>
          <w:rFonts w:ascii="Times New Roman" w:hAnsi="Times New Roman" w:eastAsia="仿宋_GB2312"/>
          <w:sz w:val="32"/>
          <w:szCs w:val="32"/>
        </w:rPr>
        <w:t>优化跨境电商直播网络服务，健全支持直播经济政策体系，鼓励跨境电商企业应用新技术开发沉浸式消费场景和借助社交媒体、搜索引擎等开展自主品牌推广，加强产业带和供应链培育，引导“跨境电商+直播+产业带”“独立站+智慧供应链+品牌化发展”等新业态新模式发展，依托互联网小镇、阿里巴巴滨江跨境直播产业园区等跨境电商直播园区（基地），打造“中国浙江跨境直播第一街”品牌。支持跨境电商企业在主体培育、品牌培育、仓储物流建设、人才培育、服务生态建设等加快发展，鼓励共建共享海外仓，支持企业保护自身海外权益。培育集聚电商平台、多频道网络（MCN）机构、新国货品牌以及软件服务、培训教育、知识产权、营销推广、行业资讯、法律支持等专业电商服务企业发展。推动传统外贸转型升级，提升传统外贸数字化水平，支持市场主体创新货物在途、在仓、交易、交付等数字化动态追踪管理模式，支持签发区块链电子提单，参与建设全球数字供应链体系。</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商务局、网信办、市场监管局、各平台、各街道）</w:t>
      </w:r>
    </w:p>
    <w:p w14:paraId="5223CB2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b/>
          <w:bCs/>
          <w:sz w:val="32"/>
          <w:szCs w:val="32"/>
        </w:rPr>
      </w:pPr>
      <w:r>
        <w:rPr>
          <w:rFonts w:ascii="Times New Roman" w:hAnsi="Times New Roman" w:eastAsia="楷体_GB2312"/>
          <w:b/>
          <w:bCs/>
          <w:sz w:val="32"/>
          <w:szCs w:val="32"/>
        </w:rPr>
        <w:t>（二）加快建设面向全球的数据要素开放枢纽。</w:t>
      </w:r>
    </w:p>
    <w:p w14:paraId="086DF87D">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5</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构建数据新型基础设施体系。</w:t>
      </w:r>
      <w:r>
        <w:rPr>
          <w:rFonts w:ascii="Times New Roman" w:hAnsi="Times New Roman" w:eastAsia="仿宋_GB2312"/>
          <w:sz w:val="32"/>
          <w:szCs w:val="32"/>
        </w:rPr>
        <w:t>高质量建设“中国数谷”核心区，协同推进技术、模式、业态和制度创新，建设具有全球影响力的数据要素交易流通集聚地、数据要素服务生态样板区、数据要素应用场景示范区、数据要素治理创新引领区。加快“三数一链”数据可信流通基础设施框架和治理体系市场化部署，在数据基础设施市场化应用上取得突破。以数据要素联合创新中心、数据基础设施评测中心建设为抓手，积极参与国家数据基础设施相关标准制定，推进“三数一链”标准体系与国家数据基础设施标准体系的兼容互通。加快打造行业大模型与数据要素协同创新中心，促进社会数据融合汇聚，形成一批行业高质量数据集。优化智算中心合理布局，扩容绿色智算设施，构建多元异构、算网协同、融合调度、绿色低碳的算力支撑体系，鼓励高效边缘智算中心布局以满足低时延、高可靠业务应用需求。推进数据标注产业基地和数据资源集散地建设，构建数据采集、数据标注等基础数据服务产业体系。在工业制造、商贸流通、金融服务、科技创新、城市治理、绿色低碳等行业和领域，发掘一批“数据要素×”特色应用场景。组织数据要素领域杭州峰会等活动，持续扩大“中国数谷”IP影响力。</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发改局、</w:t>
      </w:r>
      <w:r>
        <w:rPr>
          <w:rFonts w:ascii="Times New Roman" w:hAnsi="Times New Roman" w:eastAsia="楷体_GB2312"/>
          <w:sz w:val="32"/>
          <w:szCs w:val="32"/>
          <w:highlight w:val="none"/>
        </w:rPr>
        <w:t>经信局</w:t>
      </w:r>
      <w:r>
        <w:rPr>
          <w:rFonts w:ascii="Times New Roman" w:hAnsi="Times New Roman" w:eastAsia="楷体_GB2312"/>
          <w:sz w:val="32"/>
          <w:szCs w:val="32"/>
        </w:rPr>
        <w:t>、</w:t>
      </w:r>
      <w:r>
        <w:rPr>
          <w:rFonts w:ascii="Times New Roman" w:hAnsi="Times New Roman" w:eastAsia="楷体_GB2312"/>
          <w:sz w:val="32"/>
          <w:szCs w:val="32"/>
          <w:lang w:eastAsia="zh-CN"/>
        </w:rPr>
        <w:t>科技局、</w:t>
      </w:r>
      <w:r>
        <w:rPr>
          <w:rFonts w:ascii="Times New Roman" w:hAnsi="Times New Roman" w:eastAsia="楷体_GB2312"/>
          <w:sz w:val="32"/>
          <w:szCs w:val="32"/>
        </w:rPr>
        <w:t>大数据治理中心</w:t>
      </w:r>
      <w:r>
        <w:rPr>
          <w:rFonts w:ascii="Times New Roman" w:hAnsi="Times New Roman" w:eastAsia="楷体_GB2312"/>
          <w:sz w:val="32"/>
          <w:szCs w:val="32"/>
          <w:lang w:eastAsia="zh-CN"/>
        </w:rPr>
        <w:t>、高新科创集团</w:t>
      </w:r>
      <w:r>
        <w:rPr>
          <w:rFonts w:ascii="Times New Roman" w:hAnsi="Times New Roman" w:eastAsia="楷体_GB2312"/>
          <w:sz w:val="32"/>
          <w:szCs w:val="32"/>
        </w:rPr>
        <w:t>）</w:t>
      </w:r>
    </w:p>
    <w:p w14:paraId="6425CFE7">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6</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促进数据资产合规交易。</w:t>
      </w:r>
      <w:r>
        <w:rPr>
          <w:rFonts w:ascii="Times New Roman" w:hAnsi="Times New Roman" w:eastAsia="仿宋_GB2312"/>
          <w:sz w:val="32"/>
          <w:szCs w:val="32"/>
        </w:rPr>
        <w:t>推进“中国数谷”数据知识产权生态试验区建设，打通数据知识产权权属登记、流通交易、权益保护、安全治理全链条。高质量推进浙江大数据交易中心、杭州数据交易所建设，培育基石数商、星火数商等数商企业梯队，鼓励基石数商向中小微企业开放用户、流量、接口、技术等资源，支持龙头企业设立行业数据交易平台。支持市场主体开展数据资产登记、评估、入表、质押融资、进场交易等活动。推动公共数据安全有序实现分级分领域脱敏开放，鼓励市场主体参与公共数据资源开发利用，构建公共数据产品和服务价格形成、收益分享机制。支持第三方机构开展数据采集、数据标注、数据经纪、数据保险、数据托管以及合规、认证、审计、评估、法律等专业服务。</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发改局、商务局、网信办）</w:t>
      </w:r>
    </w:p>
    <w:p w14:paraId="38578066">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7</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积极探索数据跨境流动。</w:t>
      </w:r>
      <w:r>
        <w:rPr>
          <w:rFonts w:ascii="Times New Roman" w:hAnsi="Times New Roman" w:eastAsia="仿宋_GB2312"/>
          <w:sz w:val="32"/>
          <w:szCs w:val="32"/>
        </w:rPr>
        <w:t>配合制订自贸试验区数据跨境流动负面清单，支持企业开展数据出境评估，制定数据分类分级制度、重要数据目录，推动数据跨境流动安全、有序、便利。发挥国际互联网数据专用通道和国家（杭州）新型互联网交换中心等功能，以专用网络为支撑审慎开展数据跨境传输安全管理试点，促进贸易、制造、研发、学术等领域数据跨境互联。探索建设国际离岸数据中心和离岸数据服务外包试验区，支持市场主体开展境外数据在境内的存储、加工、贸易等服务经营，培育“来数加工”、“外数中算”等新业态。</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发改局、经信局、商务局、网信办）</w:t>
      </w:r>
    </w:p>
    <w:p w14:paraId="4C505BF8">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8</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对接数字等领域国际高标准经贸规则。</w:t>
      </w:r>
      <w:r>
        <w:rPr>
          <w:rFonts w:ascii="Times New Roman" w:hAnsi="Times New Roman" w:eastAsia="仿宋_GB2312"/>
          <w:sz w:val="32"/>
          <w:szCs w:val="32"/>
        </w:rPr>
        <w:t>主动对标数字经济伙伴关系协定（DEPA）、全面与进步跨太平洋伙伴关系协定（CPTPP）等规则，用好全球数字贸易博览会等平台，积极参与软件实名认证、数据产地标签识别、数据产品进出口等数字规则的国际交流，支持企业参与制定数据跨境流动、数据存储、数字产品非歧视性待遇、数字产品版权保护、新兴数字技术等规则和标准，支持企业就数据交互、业务互通、服务共享、数字证书和电子签名的互认等议题开展国际合作，鼓励企业参与“数字丝绸之路”建设。申报国家级数字贸易标准化技术委员会，推进数字贸易重点领域国际、国家、行业标准的制定和应用，形成数字贸易标准领域的标志性成果，建立数字贸易标准体系。推进特殊进口商品免予办理强制性认证（以下简称：CCC免办）试点提质扩面增效，推动CCC免办长三角一体化发展和共享共用贸易便利化措施，实现延期备案办理事项和证后监管服务长三角互通互认。研究制定数字贸易领域电子合同磋商和签署、电子印章和档案管理、业务信息系统建设等关键环节的标准规范和指引。</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发改局、经信局、商务局、网信办）</w:t>
      </w:r>
    </w:p>
    <w:p w14:paraId="67872391">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bCs/>
          <w:sz w:val="32"/>
          <w:szCs w:val="32"/>
        </w:rPr>
      </w:pPr>
      <w:r>
        <w:rPr>
          <w:rFonts w:ascii="Times New Roman" w:hAnsi="Times New Roman" w:eastAsia="楷体_GB2312"/>
          <w:b/>
          <w:bCs/>
          <w:sz w:val="32"/>
          <w:szCs w:val="32"/>
        </w:rPr>
        <w:t>（三）加快形成具有国际竞争力、数实融合、双自联动的硬核产业体系</w:t>
      </w:r>
      <w:r>
        <w:rPr>
          <w:rFonts w:ascii="Times New Roman" w:hAnsi="Times New Roman" w:eastAsia="楷体_GB2312"/>
          <w:b w:val="0"/>
          <w:bCs/>
          <w:sz w:val="32"/>
          <w:szCs w:val="32"/>
        </w:rPr>
        <w:t>。</w:t>
      </w:r>
    </w:p>
    <w:p w14:paraId="57F6EBA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9</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着力构建开放创新体系。</w:t>
      </w:r>
      <w:r>
        <w:rPr>
          <w:rFonts w:ascii="Times New Roman" w:hAnsi="Times New Roman" w:eastAsia="仿宋_GB2312"/>
          <w:sz w:val="32"/>
          <w:szCs w:val="32"/>
        </w:rPr>
        <w:t>持续加强与国内外高校、科研院所创新协作，加快白马湖实验室等建设，鼓励区块链与数据安全、经血管植入器械等全国重点实验室、研究院高效转化科研成果。深化科技成果“先用后转”模式，建立产学研合作和科技成果转化风险补偿机制。推动贯通“科学-技术-产业”创新转化全链条，支持科技骨干企业牵头或参与组建创新联合体、产业链上下游企业共同体、产业联盟、制造业创新中心、工程研究中心等新型产业创新组织。指导各类企业用好研发费用加计抵扣等政策，扶持一批研发强度高、研发投入大、研发效果好的“高研值”高新技术企业。谋划推进人工智能、量子传感、工业互联网等重大科学装置及验证平台建设，实施基础研究专项和产业关键核心技术攻坚工程。鼓励外资企业投资设立研发中心，鼓励建设外国专家工作站。支持企业通过并购、自建等方式在海外设立研发机构，建立海外创新孵化中心培育库，支持各类主体建设海外孵化器。</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科技局、经信局、发改局、商务局）</w:t>
      </w:r>
    </w:p>
    <w:p w14:paraId="0109266A">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10</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全力打造视觉智能世界级产业集群。</w:t>
      </w:r>
      <w:r>
        <w:rPr>
          <w:rFonts w:ascii="Times New Roman" w:hAnsi="Times New Roman" w:eastAsia="仿宋_GB2312"/>
          <w:sz w:val="32"/>
          <w:szCs w:val="32"/>
        </w:rPr>
        <w:t>高标准建设“中国视谷”承载区。发挥海康威视等头部企业在视觉智能领域的链主功能，打通“数字安防-视觉智能-智能物联”迭代跃升路径，重点发展数字安防、工业视觉、医学影像、自动驾驶、智能生活及办公、虚拟现实及元宇宙、特殊成像等场景应用服务。支持建设视觉智能国家级产业联盟和概念验证中心，鼓励企业在高端专用芯片、基础软件、智能传感器等核心器件、跨媒体感知计算、混合增强智能、类脑计算、高级机器学习等技术领域取得突破，加强首台（套）、首版次产品推广应用。</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经信局、发改局、商务局</w:t>
      </w:r>
      <w:r>
        <w:rPr>
          <w:rFonts w:ascii="Times New Roman" w:hAnsi="Times New Roman" w:eastAsia="楷体_GB2312"/>
          <w:sz w:val="32"/>
          <w:szCs w:val="32"/>
          <w:highlight w:val="none"/>
          <w:lang w:eastAsia="zh-CN"/>
        </w:rPr>
        <w:t>、</w:t>
      </w:r>
      <w:r>
        <w:rPr>
          <w:rFonts w:ascii="Times New Roman" w:hAnsi="Times New Roman" w:eastAsia="楷体_GB2312"/>
          <w:sz w:val="32"/>
          <w:szCs w:val="32"/>
          <w:highlight w:val="none"/>
        </w:rPr>
        <w:t>科技局</w:t>
      </w:r>
      <w:r>
        <w:rPr>
          <w:rFonts w:ascii="Times New Roman" w:hAnsi="Times New Roman" w:eastAsia="楷体_GB2312"/>
          <w:sz w:val="32"/>
          <w:szCs w:val="32"/>
        </w:rPr>
        <w:t>）</w:t>
      </w:r>
    </w:p>
    <w:p w14:paraId="7F4FFCF6">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11</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积极突破零磁等新兴产业。</w:t>
      </w:r>
      <w:r>
        <w:rPr>
          <w:rFonts w:ascii="Times New Roman" w:hAnsi="Times New Roman" w:eastAsia="仿宋_GB2312"/>
          <w:sz w:val="32"/>
          <w:szCs w:val="32"/>
        </w:rPr>
        <w:t>加快建设“国际零磁科学谷”，推进大型磁屏蔽空间技术等交叉研究平台、量子传感和零磁医疗设备等产业创新中心建设，重点攻克芯片化量子传感器在设计、封装、集成、测试中的关键问题，加快建设超高灵敏极弱磁场和惯性测量等大科学装置并服务保障其正常运营，开展大科学装置缩比模型验证及交叉研究平台技术验证，环大科学装置创新生态圈</w:t>
      </w:r>
      <w:r>
        <w:rPr>
          <w:rFonts w:ascii="Times New Roman" w:hAnsi="Times New Roman" w:eastAsia="仿宋_GB2312"/>
          <w:sz w:val="32"/>
          <w:szCs w:val="32"/>
          <w:lang w:eastAsia="zh-CN"/>
        </w:rPr>
        <w:t>初具雏形</w:t>
      </w:r>
      <w:r>
        <w:rPr>
          <w:rFonts w:ascii="Times New Roman" w:hAnsi="Times New Roman" w:eastAsia="仿宋_GB2312"/>
          <w:sz w:val="32"/>
          <w:szCs w:val="32"/>
        </w:rPr>
        <w:t>。依托极弱磁环境和极端检测手段，开展航空航天、深空探测、生命健康等前沿科学研究，开拓零磁医疗装备、量子信息等新赛道。</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highlight w:val="none"/>
        </w:rPr>
        <w:t>科技局、</w:t>
      </w:r>
      <w:r>
        <w:rPr>
          <w:rFonts w:ascii="Times New Roman" w:hAnsi="Times New Roman" w:eastAsia="楷体_GB2312"/>
          <w:sz w:val="32"/>
          <w:szCs w:val="32"/>
        </w:rPr>
        <w:t>经信局、发改局、商务局）</w:t>
      </w:r>
    </w:p>
    <w:p w14:paraId="5C4B93B8">
      <w:pPr>
        <w:pStyle w:val="15"/>
        <w:keepNext w:val="0"/>
        <w:keepLines w:val="0"/>
        <w:pageBreakBefore w:val="0"/>
        <w:widowControl w:val="0"/>
        <w:kinsoku/>
        <w:wordWrap/>
        <w:overflowPunct/>
        <w:topLinePunct w:val="0"/>
        <w:autoSpaceDE/>
        <w:autoSpaceDN/>
        <w:adjustRightInd/>
        <w:snapToGrid/>
        <w:spacing w:beforeAutospacing="0" w:afterAutospacing="0" w:line="360" w:lineRule="auto"/>
        <w:ind w:firstLine="643" w:firstLineChars="200"/>
        <w:jc w:val="left"/>
        <w:rPr>
          <w:rFonts w:ascii="Times New Roman" w:hAnsi="Times New Roman" w:eastAsia="楷体_GB2312"/>
          <w:sz w:val="32"/>
          <w:szCs w:val="32"/>
        </w:rPr>
      </w:pPr>
      <w:r>
        <w:rPr>
          <w:rFonts w:ascii="Times New Roman" w:hAnsi="Times New Roman" w:eastAsia="仿宋_GB2312"/>
          <w:b/>
          <w:sz w:val="32"/>
          <w:szCs w:val="32"/>
        </w:rPr>
        <w:t>12</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加快发展集成电路产业。</w:t>
      </w:r>
      <w:r>
        <w:rPr>
          <w:rFonts w:ascii="Times New Roman" w:hAnsi="Times New Roman" w:eastAsia="仿宋_GB2312"/>
          <w:sz w:val="32"/>
          <w:szCs w:val="32"/>
        </w:rPr>
        <w:t>支持集成电路核心器件、关键芯片、关键材料、核心设备、EDA工具等重大攻关，加快智能制造、软件集成应用，支持“芯机联动”，鼓励终端厂商、系统集成商试用本土企业自主研发的设备、材料、芯片或模组，促进终端应用。以关键芯片设计制造为先导，推动云、网、端以及集成电路、高端软件、人工智能等产业交融并进。</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经信局、发改局、商务局</w:t>
      </w:r>
      <w:r>
        <w:rPr>
          <w:rFonts w:ascii="Times New Roman" w:hAnsi="Times New Roman" w:eastAsia="楷体_GB2312"/>
          <w:sz w:val="32"/>
          <w:szCs w:val="32"/>
          <w:lang w:eastAsia="zh-CN"/>
        </w:rPr>
        <w:t>、</w:t>
      </w:r>
      <w:r>
        <w:rPr>
          <w:rFonts w:ascii="Times New Roman" w:hAnsi="Times New Roman" w:eastAsia="楷体_GB2312"/>
          <w:sz w:val="32"/>
          <w:szCs w:val="32"/>
        </w:rPr>
        <w:t>科技局）</w:t>
      </w:r>
    </w:p>
    <w:p w14:paraId="626EBE5A">
      <w:pPr>
        <w:pStyle w:val="15"/>
        <w:keepNext w:val="0"/>
        <w:keepLines w:val="0"/>
        <w:pageBreakBefore w:val="0"/>
        <w:widowControl w:val="0"/>
        <w:kinsoku/>
        <w:wordWrap/>
        <w:overflowPunct/>
        <w:topLinePunct w:val="0"/>
        <w:autoSpaceDE/>
        <w:autoSpaceDN/>
        <w:adjustRightInd/>
        <w:snapToGrid/>
        <w:spacing w:beforeAutospacing="0" w:afterAutospacing="0" w:line="360" w:lineRule="auto"/>
        <w:ind w:firstLine="643" w:firstLineChars="200"/>
        <w:jc w:val="left"/>
        <w:rPr>
          <w:rFonts w:ascii="Times New Roman" w:hAnsi="Times New Roman" w:eastAsia="楷体_GB2312"/>
          <w:sz w:val="32"/>
          <w:szCs w:val="32"/>
        </w:rPr>
      </w:pPr>
      <w:r>
        <w:rPr>
          <w:rFonts w:ascii="Times New Roman" w:hAnsi="Times New Roman" w:eastAsia="仿宋_GB2312"/>
          <w:b/>
          <w:sz w:val="32"/>
          <w:szCs w:val="32"/>
        </w:rPr>
        <w:t>13</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大力培育生命健康产业。</w:t>
      </w:r>
      <w:r>
        <w:rPr>
          <w:rFonts w:ascii="Times New Roman" w:hAnsi="Times New Roman" w:eastAsia="仿宋_GB2312"/>
          <w:sz w:val="32"/>
          <w:szCs w:val="32"/>
        </w:rPr>
        <w:t>加快数字技术与生物技术融合，催生面向生命健康领域的突破性新技术、新工具、新产品，支持生物大数据、医药大数据、医疗人工智能、数字健康、数字疗法等发展。以抗体药物、免疫治疗药物、细胞和基因治疗为核心，优先发展生物药等创新药物。以重大疾病和临床急需为核心，优化提升化学药，鼓励医药企业延伸发展新技术、新品种。做优做强分子诊断、免疫诊断等体外诊断产品（IVD），支持具有自主知识产权的高端医疗装备及核心部件实现国产替代，前瞻布局高精尖的植（介）入产品和高值耗材器械。</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经信局、发改局、商务局</w:t>
      </w:r>
      <w:r>
        <w:rPr>
          <w:rFonts w:ascii="Times New Roman" w:hAnsi="Times New Roman" w:eastAsia="楷体_GB2312"/>
          <w:sz w:val="32"/>
          <w:szCs w:val="32"/>
          <w:highlight w:val="none"/>
          <w:lang w:eastAsia="zh-CN"/>
        </w:rPr>
        <w:t>、</w:t>
      </w:r>
      <w:r>
        <w:rPr>
          <w:rFonts w:ascii="Times New Roman" w:hAnsi="Times New Roman" w:eastAsia="楷体_GB2312"/>
          <w:sz w:val="32"/>
          <w:szCs w:val="32"/>
          <w:highlight w:val="none"/>
        </w:rPr>
        <w:t>科技局</w:t>
      </w:r>
      <w:r>
        <w:rPr>
          <w:rFonts w:ascii="Times New Roman" w:hAnsi="Times New Roman" w:eastAsia="楷体_GB2312"/>
          <w:sz w:val="32"/>
          <w:szCs w:val="32"/>
        </w:rPr>
        <w:t>）</w:t>
      </w:r>
    </w:p>
    <w:p w14:paraId="069F191A">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b/>
          <w:bCs/>
          <w:sz w:val="32"/>
          <w:szCs w:val="32"/>
        </w:rPr>
      </w:pPr>
      <w:r>
        <w:rPr>
          <w:rFonts w:ascii="Times New Roman" w:hAnsi="Times New Roman" w:eastAsia="楷体_GB2312"/>
          <w:b/>
          <w:bCs/>
          <w:sz w:val="32"/>
          <w:szCs w:val="32"/>
        </w:rPr>
        <w:t>（四）加快构建以跨境支付和科创金融为特色的金融开放高地。</w:t>
      </w:r>
    </w:p>
    <w:p w14:paraId="7FC0C477">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sz w:val="32"/>
          <w:szCs w:val="32"/>
        </w:rPr>
      </w:pPr>
      <w:r>
        <w:rPr>
          <w:rFonts w:ascii="Times New Roman" w:hAnsi="Times New Roman" w:eastAsia="仿宋_GB2312"/>
          <w:b/>
          <w:sz w:val="32"/>
          <w:szCs w:val="32"/>
        </w:rPr>
        <w:t>14</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构建以小额高频交易为特色的全球支付结算中心。</w:t>
      </w:r>
      <w:r>
        <w:rPr>
          <w:rFonts w:hint="eastAsia" w:ascii="Times New Roman" w:hAnsi="Times New Roman" w:eastAsia="仿宋_GB2312"/>
          <w:sz w:val="32"/>
          <w:szCs w:val="32"/>
        </w:rPr>
        <w:t>支持跨境结算领域头部企业加强移动支付跨境结算网络建设</w:t>
      </w:r>
      <w:r>
        <w:rPr>
          <w:rFonts w:ascii="Times New Roman" w:hAnsi="Times New Roman" w:eastAsia="仿宋_GB2312"/>
          <w:sz w:val="32"/>
          <w:szCs w:val="32"/>
        </w:rPr>
        <w:t>，进一步织密全球支付结算网，为跨境电商等小额高频资金结算和留学生、海外务工人员、华侨等个人跨境资金结算提供更多便利。鼓励支付机构与银行等金融机构加强合作，共同为全球采购、离岸转手买卖、委托境外加工、承包工程境外采购等新型离岸贸易和跨境消费、跨境交付、自然人移动等跨境服务贸易提供便捷和安全的资金结算服务。支持从事数字金融的市场主体在境外开展经营活动，推动数字金融技术、产品和服务在境外应用，扩大数字金融品牌的国际影响，推进市场主体国际化发展。加快“移动支付之区”建设，在国家统一部署下依法依规探索数字人民币衍生技术创新，丰富数字人民币在跨境电商、大宗商品贸易、供应链管理等领域的跨境应用场景。允许政务数据、行业数据面向金融机构和金融科技企业审慎开放，加强多维度交易真实性技术验证，为资金跨境流动提供有力支撑。</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金融办、发改局、商务局）</w:t>
      </w:r>
    </w:p>
    <w:p w14:paraId="281C1F8D">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15</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持续完善科创金融机制。</w:t>
      </w:r>
      <w:r>
        <w:rPr>
          <w:rFonts w:ascii="Times New Roman" w:hAnsi="Times New Roman" w:eastAsia="仿宋_GB2312"/>
          <w:sz w:val="32"/>
          <w:szCs w:val="32"/>
        </w:rPr>
        <w:t>配合推进国家级科创金融改革试验区建设，提升科技金融创新服务中心功能，打造一站式综合金融服务平台。探索“基地+基金+产业”投资运营体系，建立涵盖产业全周期差异化的基金投资体系，</w:t>
      </w:r>
      <w:r>
        <w:rPr>
          <w:rFonts w:ascii="Times New Roman" w:hAnsi="Times New Roman" w:eastAsia="仿宋_GB2312"/>
          <w:b/>
          <w:sz w:val="32"/>
          <w:szCs w:val="32"/>
        </w:rPr>
        <w:t xml:space="preserve"> </w:t>
      </w:r>
      <w:r>
        <w:rPr>
          <w:rFonts w:ascii="Times New Roman" w:hAnsi="Times New Roman" w:eastAsia="仿宋_GB2312"/>
          <w:sz w:val="32"/>
          <w:szCs w:val="32"/>
        </w:rPr>
        <w:t>引导金融资本投早、投小、投长期、投硬科技。放大数谷基金、零磁装备基金等国资产业基金的带动效应，探索政策性投资与市场化投资双轨并行，改进考核评价机制，适度增加容错容亏空间，大力培育耐心资本。推动链主企业组建行业基金，扶持产业链上下游创新企业。鼓励科技型企业境内外上市、并购重组和发行科创债、可转债等创新型融资工具，发展供应链融资、知识产权质押融资、资产证券化、专精特新贷、创新积分贷等业务。加强与银行系金融资产投资公司（AIC）的合作，鼓励银行通过投贷联动、股债联动等形式支持科技型企业发展。引导保险机构在集成电路、零磁、生物医药等领域开展科技保险业务，推广网络安全保险，扩大出口信用保险对数字服务出口的承保覆盖面。</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金融办、科技局、发改局、商务局）</w:t>
      </w:r>
    </w:p>
    <w:p w14:paraId="17109E2E">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16</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积极利用境外金融资源。</w:t>
      </w:r>
      <w:r>
        <w:rPr>
          <w:rFonts w:ascii="Times New Roman" w:hAnsi="Times New Roman" w:eastAsia="仿宋_GB2312"/>
          <w:sz w:val="32"/>
          <w:szCs w:val="32"/>
        </w:rPr>
        <w:t>鼓励跨国公司和民企集团依托银行开展本外币一体化资金池业务，在经常项下实现资金集中收付和轧差净额结算，在资本项下集中境内成员企业外债额度和境外放款额度，集中运营管理境内外资金，降低操作成本和财务成本。落实全口径跨境融资宏观审慎管理等政策，鼓励企业从境外或向非居民融入本外币资金，鼓励行业地位显著、信用优良、对促进实体经济高质量发展具有带动引领作用的优质企业借用外债。探索在上海自贸试验区、香港特别行政区等地分别发行明珠债、玉兰债、点心债等离岸性质本外币债券。鼓励境外资金以合格境外有限合伙人（QFLP）等途径，通过直投、设立母基金、参与子基金等方式开展境内科技型企业投资。</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金融办、发改局、商务局）</w:t>
      </w:r>
    </w:p>
    <w:p w14:paraId="053FA08E">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楷体_GB2312"/>
          <w:b/>
          <w:bCs/>
          <w:sz w:val="32"/>
          <w:szCs w:val="32"/>
        </w:rPr>
      </w:pPr>
      <w:r>
        <w:rPr>
          <w:rFonts w:ascii="Times New Roman" w:hAnsi="Times New Roman" w:eastAsia="楷体_GB2312"/>
          <w:b/>
          <w:bCs/>
          <w:sz w:val="32"/>
          <w:szCs w:val="32"/>
        </w:rPr>
        <w:t>（五）加快形成以数字治理为核心、以成就企业和人才为根本的营商环境。</w:t>
      </w:r>
    </w:p>
    <w:p w14:paraId="522C0017">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17</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深入推进数字治理创新。</w:t>
      </w:r>
      <w:r>
        <w:rPr>
          <w:rFonts w:ascii="Times New Roman" w:hAnsi="Times New Roman" w:eastAsia="仿宋_GB2312"/>
          <w:sz w:val="32"/>
          <w:szCs w:val="32"/>
        </w:rPr>
        <w:t>充分运用数字化手段，推动营商环境从便利服务向增值服务升级、政府有为向企业有感升级、资源集成向制度创新升级，完善产权保护、市场准入、破产退出等市场经济基础制度，确保“无感监测”营商环境指数持续位居全省前列。</w:t>
      </w:r>
      <w:r>
        <w:rPr>
          <w:rFonts w:ascii="Times New Roman" w:hAnsi="Times New Roman" w:eastAsia="仿宋_GB2312"/>
          <w:sz w:val="32"/>
          <w:szCs w:val="32"/>
          <w:lang w:val="en-US" w:eastAsia="zh-CN"/>
        </w:rPr>
        <w:t>迭代升级城市大脑，加快打造政务垂直领域大模型，完善政务服务“一网通办”、城市运行“一网统管”、社会治理“一网共治”体系架构，着力打造产业社区软件平台，构建覆盖区街社三级的产业社区一体化服务、监测、治理的统一平台，在智慧城区（园区）建设上形成更多可推广的经验。</w:t>
      </w:r>
      <w:r>
        <w:rPr>
          <w:rFonts w:ascii="Times New Roman" w:hAnsi="Times New Roman" w:eastAsia="仿宋_GB2312"/>
          <w:sz w:val="32"/>
          <w:szCs w:val="32"/>
        </w:rPr>
        <w:t>深化线上线下一体政务服务增值化改革，加强“滨好办”人才·企业综合服务平台推广运营，拓宽人才·企业服务站服务半径，优化上门“为企办实事”助企服务，强化涉企问题高效闭环解决实效，持续扩大“滨好办”政务服务品牌影响力。集成和强化政策智能搜索引擎的功能，落实和迭代总部经济、集成电路、生物医药、人工智能、数商企业、零磁产业等支持政策，持续丰富政策矩阵，推进“免申即享”“即申即享”“分批快享”，提高政策实施的精准度、实效性。</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审管办、发改局、财政局、商务局、大数据治理中心</w:t>
      </w:r>
      <w:r>
        <w:rPr>
          <w:rFonts w:ascii="Times New Roman" w:hAnsi="Times New Roman" w:eastAsia="楷体_GB2312"/>
          <w:sz w:val="32"/>
          <w:szCs w:val="32"/>
          <w:lang w:eastAsia="zh-CN"/>
        </w:rPr>
        <w:t>、综合行政执法局</w:t>
      </w:r>
      <w:r>
        <w:rPr>
          <w:rFonts w:ascii="Times New Roman" w:hAnsi="Times New Roman" w:eastAsia="楷体_GB2312"/>
          <w:sz w:val="32"/>
          <w:szCs w:val="32"/>
        </w:rPr>
        <w:t>）</w:t>
      </w:r>
    </w:p>
    <w:p w14:paraId="3951CAAE">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18</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强化知识产权保护。</w:t>
      </w:r>
      <w:r>
        <w:rPr>
          <w:rFonts w:ascii="Times New Roman" w:hAnsi="Times New Roman" w:eastAsia="仿宋_GB2312"/>
          <w:b w:val="0"/>
          <w:sz w:val="32"/>
          <w:szCs w:val="32"/>
        </w:rPr>
        <w:t>推进国家知识产权服务出口基地建设，健全海外知识产权风险预警、防控体系，指导企业积极应对海外商标抢注、临时禁令等问题，完善维权援助机制，拓展海外知识产权公益服务站点，为企业提供境外数字贸易知识产权维权指导，持续编制重点国别知识产权服务手册，发布海外知识产权法律和实务动态，探索开展跨境数据知识产权保护和运营。推广海外保险，鼓励企业海外知识产权布局和维权，加强跨境电商知识产权保护和合规指导。支持司法机关健全大数据、人工智能、基因技术等新领域新业态知识产权司法保护规则，研究完善算法、商业秘密、人工智能产出物、开源知识产权、大数据、直播电商等司法保护规则和指引。加强企业商业秘密管理，探索商业秘密保护新机制。强化知识产权保护行政司法衔接，优化全链条知识产权协同保护机制。</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市场监管局、司法局）</w:t>
      </w:r>
    </w:p>
    <w:p w14:paraId="5139FE56">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19</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促进民营经济高质量发展。</w:t>
      </w:r>
      <w:r>
        <w:rPr>
          <w:rFonts w:ascii="Times New Roman" w:hAnsi="Times New Roman" w:eastAsia="仿宋_GB2312"/>
          <w:sz w:val="32"/>
          <w:szCs w:val="32"/>
        </w:rPr>
        <w:t>以扎实举措激发企业家精神、提振企业家信心，巩固和深化商事主体登记确认制改革，持续优化政府采购环境，制订中小民营企业采购需求清单，落实采购项目预留中小企业份额的要求，优先采购符合条件的首台（套）科技创新产品或服务。健全优质企业梯度培育机制，支持民营企业申报认定国家高新技术企业，引导“高新企业规上化，规上企业高新化”，实施“雄鹰行动”“凤凰计划”，做大做强“雄鹰”“小巨人”“专精特新”“瞪羚”“单项冠军”“隐形冠军”等优质企业群体，筛选建立科技型中小企业培育库，精准动员企业自评入库，构建“大中小+上下游”企业矩阵，培育世界级创新型企业、本土跨国公司、总部企业等大企业大集团。支持小微工业企业上规提质，支持大企业大集团业务部门、分公司转为规上独立法人企业，优化“个转企”直接变更便利化登记，支持个体经济降低发展成本。鼓励民营企业“走出去”打开海外市场，支持专业机构提供融资、法律等跨境支持服务。</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市场监管局、发改局、经信局）</w:t>
      </w:r>
    </w:p>
    <w:p w14:paraId="1D6B42CA">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20</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吸引天下英才共同打造“国际滨”。</w:t>
      </w:r>
      <w:r>
        <w:rPr>
          <w:rFonts w:ascii="Times New Roman" w:hAnsi="Times New Roman" w:eastAsia="仿宋_GB2312"/>
          <w:sz w:val="32"/>
          <w:szCs w:val="32"/>
        </w:rPr>
        <w:t>落实跨境服务贸易负面清单制度，优化境外职业资格单向认可工作程序，允许境外专业人员经备案后向境内市场主体提供专业服务。优化海外高端人才停居留政策、外国人工作许可制度和出入境便利措施，布局国际人才促进中心、海外人才工作站等海外人才飞地，办好世界青年科学家峰会等活动，加快集聚全球顶尖创新人才。</w:t>
      </w:r>
      <w:r>
        <w:rPr>
          <w:rFonts w:ascii="Times New Roman" w:hAnsi="Times New Roman" w:eastAsia="仿宋_GB2312"/>
          <w:sz w:val="32"/>
          <w:szCs w:val="32"/>
          <w:lang w:val="en-US" w:eastAsia="zh-CN"/>
        </w:rPr>
        <w:t>深入实施“才链全球”，推动国际人才交流合作，高质量做好人才工程遴选。深化区级人才分类改革，将自贸领域人才纳入区级目录。完善人才引育机制，持续完善“5050”政策，每年遴选引进高层次人才创新创业项目50个以上。</w:t>
      </w:r>
      <w:r>
        <w:rPr>
          <w:rFonts w:ascii="Times New Roman" w:hAnsi="Times New Roman" w:eastAsia="仿宋_GB2312"/>
          <w:sz w:val="32"/>
          <w:szCs w:val="32"/>
        </w:rPr>
        <w:t>建立人才培育梯队，丰富人才服务体系，着力打造人才心向往之的“青”爱的城。探索与数实融合、数字经济发展相适应的灵活就业</w:t>
      </w:r>
      <w:r>
        <w:rPr>
          <w:rFonts w:ascii="Times New Roman" w:hAnsi="Times New Roman" w:eastAsia="仿宋_GB2312"/>
          <w:sz w:val="32"/>
          <w:szCs w:val="32"/>
          <w:lang w:eastAsia="zh-CN"/>
        </w:rPr>
        <w:t>模式</w:t>
      </w:r>
      <w:r>
        <w:rPr>
          <w:rFonts w:ascii="Times New Roman" w:hAnsi="Times New Roman" w:eastAsia="仿宋_GB2312"/>
          <w:sz w:val="32"/>
          <w:szCs w:val="32"/>
        </w:rPr>
        <w:t>，引进培育多层次数字化人才，培育大批青年数字双创英才。用好“企业人才服务站”等平台，提供“创业陪跑、帮办代办、诉求兜底”等一揽子便利服务，深化“杭帮彩·滨才荟”服务机制和人才创新创业全生命周期“一件事”改革。推进教育科技人才一体改革，健全科教融合、产教协同育人机制，支持创新平台和企业联合培养科技领军人才、卓越工程师、高技能人才。</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highlight w:val="none"/>
          <w:lang w:eastAsia="zh-CN"/>
        </w:rPr>
        <w:t>商务局、</w:t>
      </w:r>
      <w:r>
        <w:rPr>
          <w:rFonts w:ascii="Times New Roman" w:hAnsi="Times New Roman" w:eastAsia="楷体_GB2312"/>
          <w:sz w:val="32"/>
          <w:szCs w:val="32"/>
        </w:rPr>
        <w:t>人才办、发改局、经信局、科技局、人力社保局、市场监管局</w:t>
      </w:r>
      <w:r>
        <w:rPr>
          <w:rFonts w:ascii="Times New Roman" w:hAnsi="Times New Roman" w:eastAsia="楷体_GB2312"/>
          <w:sz w:val="32"/>
          <w:szCs w:val="32"/>
          <w:lang w:eastAsia="zh-CN"/>
        </w:rPr>
        <w:t>、审管办</w:t>
      </w:r>
      <w:r>
        <w:rPr>
          <w:rFonts w:ascii="Times New Roman" w:hAnsi="Times New Roman" w:eastAsia="楷体_GB2312"/>
          <w:sz w:val="32"/>
          <w:szCs w:val="32"/>
        </w:rPr>
        <w:t>）</w:t>
      </w:r>
    </w:p>
    <w:p w14:paraId="07F38483">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仿宋_GB2312"/>
          <w:b/>
          <w:sz w:val="32"/>
          <w:szCs w:val="32"/>
        </w:rPr>
        <w:t>21</w:t>
      </w:r>
      <w:r>
        <w:rPr>
          <w:rFonts w:ascii="Times New Roman" w:hAnsi="Times New Roman" w:eastAsia="仿宋_GB2312"/>
          <w:b/>
          <w:sz w:val="32"/>
          <w:szCs w:val="32"/>
          <w:lang w:val="en-US" w:eastAsia="zh-CN"/>
        </w:rPr>
        <w:t xml:space="preserve">. </w:t>
      </w:r>
      <w:r>
        <w:rPr>
          <w:rFonts w:ascii="Times New Roman" w:hAnsi="Times New Roman" w:eastAsia="仿宋_GB2312"/>
          <w:b/>
          <w:sz w:val="32"/>
          <w:szCs w:val="32"/>
        </w:rPr>
        <w:t>创新优化城市空间利用结构。</w:t>
      </w:r>
      <w:r>
        <w:rPr>
          <w:rFonts w:ascii="Times New Roman" w:hAnsi="Times New Roman" w:eastAsia="仿宋_GB2312"/>
          <w:sz w:val="32"/>
          <w:szCs w:val="32"/>
        </w:rPr>
        <w:t>衔接落实“工业上楼”地下空间开发利用等管理办法，加强地下地上空间综合开发、复合利用，形成“上下楼”与“上下游”联动。加快推广工业综合体模式，满足轻量化生产制造、定制化小批量生产、柔性化研发设计等需求。创新土地复合开发利用模式，保障新产业、新业态多样化空间需求。推进以存量换增量、以地下换地上、以资金技术换发展空间，实施供地供楼并举、工业商业并推，推进</w:t>
      </w:r>
      <w:r>
        <w:rPr>
          <w:rFonts w:ascii="Times New Roman" w:hAnsi="Times New Roman" w:eastAsia="仿宋_GB2312"/>
          <w:sz w:val="32"/>
          <w:szCs w:val="32"/>
          <w:lang w:eastAsia="zh-CN"/>
        </w:rPr>
        <w:t>存量工业用地盘活行动</w:t>
      </w:r>
      <w:r>
        <w:rPr>
          <w:rFonts w:ascii="Times New Roman" w:hAnsi="Times New Roman" w:eastAsia="仿宋_GB2312"/>
          <w:sz w:val="32"/>
          <w:szCs w:val="32"/>
        </w:rPr>
        <w:t>，合理降低用能、物流、租金等制造业综合成本，持续开展工业企业亩均综合评价。</w:t>
      </w:r>
      <w:r>
        <w:rPr>
          <w:rFonts w:ascii="Times New Roman" w:hAnsi="Times New Roman" w:eastAsia="仿宋_GB2312"/>
          <w:sz w:val="32"/>
          <w:szCs w:val="32"/>
          <w:lang w:eastAsia="zh-CN"/>
        </w:rPr>
        <w:t>积极发挥特别合作园管理局的纽带作用，</w:t>
      </w:r>
      <w:r>
        <w:rPr>
          <w:rFonts w:ascii="Times New Roman" w:hAnsi="Times New Roman" w:eastAsia="仿宋_GB2312"/>
          <w:sz w:val="32"/>
          <w:szCs w:val="32"/>
        </w:rPr>
        <w:t>持续深化“一区多园”模式创新，完善滨萧、滨富协同发展机制，构建特点鲜明、相互协同的发展格局。</w:t>
      </w:r>
      <w:r>
        <w:rPr>
          <w:rFonts w:ascii="Times New Roman" w:hAnsi="Times New Roman" w:eastAsia="楷体_GB2312"/>
          <w:sz w:val="32"/>
          <w:szCs w:val="32"/>
        </w:rPr>
        <w:t>（</w:t>
      </w:r>
      <w:r>
        <w:rPr>
          <w:rFonts w:ascii="Times New Roman" w:hAnsi="Times New Roman" w:eastAsia="楷体_GB2312"/>
          <w:sz w:val="32"/>
          <w:szCs w:val="32"/>
          <w:lang w:eastAsia="zh-CN"/>
        </w:rPr>
        <w:t>责任单位：</w:t>
      </w:r>
      <w:r>
        <w:rPr>
          <w:rFonts w:ascii="Times New Roman" w:hAnsi="Times New Roman" w:eastAsia="楷体_GB2312"/>
          <w:sz w:val="32"/>
          <w:szCs w:val="32"/>
        </w:rPr>
        <w:t>规划资源分局、经信局、住建局、特别合作园管理局）</w:t>
      </w:r>
    </w:p>
    <w:p w14:paraId="4B3ECB95">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黑体"/>
          <w:b w:val="0"/>
          <w:bCs/>
          <w:sz w:val="32"/>
          <w:szCs w:val="32"/>
        </w:rPr>
      </w:pPr>
      <w:r>
        <w:rPr>
          <w:rFonts w:ascii="Times New Roman" w:hAnsi="Times New Roman" w:eastAsia="黑体"/>
          <w:b w:val="0"/>
          <w:bCs/>
          <w:sz w:val="32"/>
          <w:szCs w:val="32"/>
        </w:rPr>
        <w:t>四、保障措施</w:t>
      </w:r>
    </w:p>
    <w:p w14:paraId="0D6F3FAC">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643" w:firstLineChars="200"/>
        <w:jc w:val="left"/>
        <w:textAlignment w:val="auto"/>
        <w:rPr>
          <w:rFonts w:ascii="Times New Roman" w:hAnsi="Times New Roman" w:eastAsia="仿宋_GB2312"/>
          <w:sz w:val="32"/>
          <w:szCs w:val="32"/>
        </w:rPr>
      </w:pPr>
      <w:r>
        <w:rPr>
          <w:rFonts w:ascii="Times New Roman" w:hAnsi="Times New Roman" w:eastAsia="楷体_GB2312"/>
          <w:b/>
          <w:bCs/>
          <w:sz w:val="32"/>
          <w:szCs w:val="32"/>
        </w:rPr>
        <w:t>1</w:t>
      </w:r>
      <w:r>
        <w:rPr>
          <w:rFonts w:ascii="Times New Roman" w:hAnsi="Times New Roman" w:eastAsia="楷体_GB2312"/>
          <w:b/>
          <w:bCs/>
          <w:sz w:val="32"/>
          <w:szCs w:val="32"/>
          <w:lang w:val="en-US" w:eastAsia="zh-CN"/>
        </w:rPr>
        <w:t xml:space="preserve">. </w:t>
      </w:r>
      <w:r>
        <w:rPr>
          <w:rFonts w:ascii="Times New Roman" w:hAnsi="Times New Roman" w:eastAsia="楷体_GB2312"/>
          <w:b/>
          <w:bCs/>
          <w:sz w:val="32"/>
          <w:szCs w:val="32"/>
        </w:rPr>
        <w:t>加强统筹领导。</w:t>
      </w:r>
      <w:r>
        <w:rPr>
          <w:rFonts w:ascii="Times New Roman" w:hAnsi="Times New Roman" w:eastAsia="仿宋_GB2312"/>
          <w:sz w:val="32"/>
          <w:szCs w:val="32"/>
        </w:rPr>
        <w:t>各单位、各部门要进一步确立“全域自贸”理念，主动融入数字自贸区建设工作大局，按照各自职责认真落实本方案确定的重点任务。区商务局要切实发挥牵头协调作用，工作亮点和优秀案例及时在区内复制推广，推进中的难点堵点及时提交区委、区政府研究。</w:t>
      </w:r>
    </w:p>
    <w:p w14:paraId="51469B45">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楷体_GB2312"/>
          <w:b/>
          <w:bCs/>
          <w:sz w:val="32"/>
          <w:szCs w:val="32"/>
        </w:rPr>
        <w:t>2</w:t>
      </w:r>
      <w:r>
        <w:rPr>
          <w:rFonts w:ascii="Times New Roman" w:hAnsi="Times New Roman" w:eastAsia="楷体_GB2312"/>
          <w:b/>
          <w:bCs/>
          <w:sz w:val="32"/>
          <w:szCs w:val="32"/>
          <w:lang w:val="en-US" w:eastAsia="zh-CN"/>
        </w:rPr>
        <w:t xml:space="preserve">. </w:t>
      </w:r>
      <w:r>
        <w:rPr>
          <w:rFonts w:ascii="Times New Roman" w:hAnsi="Times New Roman" w:eastAsia="楷体_GB2312"/>
          <w:b/>
          <w:bCs/>
          <w:sz w:val="32"/>
          <w:szCs w:val="32"/>
        </w:rPr>
        <w:t>加强统计监测。</w:t>
      </w:r>
      <w:r>
        <w:rPr>
          <w:rFonts w:ascii="Times New Roman" w:hAnsi="Times New Roman" w:eastAsia="仿宋_GB2312"/>
          <w:sz w:val="32"/>
          <w:szCs w:val="32"/>
        </w:rPr>
        <w:t>区统计局会同区商务局等部门进一步摸清我区数字产业化和产业数字化、可数字化交付的服务进出口、跨境电商等数字订购贸易等底数，推进重点企业数据直报和测度评估，定期开展统计分析，适时发布发展指数，科学测度数字自贸区建设成效。</w:t>
      </w:r>
    </w:p>
    <w:p w14:paraId="0AD86AA5">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3" w:firstLineChars="200"/>
        <w:jc w:val="left"/>
        <w:textAlignment w:val="auto"/>
        <w:rPr>
          <w:rFonts w:ascii="Times New Roman" w:hAnsi="Times New Roman" w:eastAsia="仿宋_GB2312"/>
          <w:sz w:val="32"/>
          <w:szCs w:val="32"/>
        </w:rPr>
      </w:pPr>
      <w:r>
        <w:rPr>
          <w:rFonts w:ascii="Times New Roman" w:hAnsi="Times New Roman" w:eastAsia="楷体_GB2312"/>
          <w:b/>
          <w:bCs/>
          <w:sz w:val="32"/>
          <w:szCs w:val="32"/>
        </w:rPr>
        <w:t>3</w:t>
      </w:r>
      <w:r>
        <w:rPr>
          <w:rFonts w:ascii="Times New Roman" w:hAnsi="Times New Roman" w:eastAsia="楷体_GB2312"/>
          <w:b/>
          <w:bCs/>
          <w:sz w:val="32"/>
          <w:szCs w:val="32"/>
          <w:lang w:val="en-US" w:eastAsia="zh-CN"/>
        </w:rPr>
        <w:t xml:space="preserve">. </w:t>
      </w:r>
      <w:r>
        <w:rPr>
          <w:rFonts w:ascii="Times New Roman" w:hAnsi="Times New Roman" w:eastAsia="楷体_GB2312"/>
          <w:b/>
          <w:bCs/>
          <w:sz w:val="32"/>
          <w:szCs w:val="32"/>
        </w:rPr>
        <w:t>加强风险防控。</w:t>
      </w:r>
      <w:r>
        <w:rPr>
          <w:rFonts w:ascii="Times New Roman" w:hAnsi="Times New Roman" w:eastAsia="仿宋_GB2312"/>
          <w:sz w:val="32"/>
          <w:szCs w:val="32"/>
        </w:rPr>
        <w:t>按照“既要放得开，又要管得住”的原则，主动加大压力测试，加强新业态、新产业、新技术、新模式的跟踪服务和事中事后监管，在意识形态、金融、互联网、平台经济等重点领域、重点环节与国家大政方针保持高度一致，确保守住底线。</w:t>
      </w:r>
    </w:p>
    <w:p w14:paraId="583EB725">
      <w:pPr>
        <w:pStyle w:val="15"/>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640" w:firstLineChars="200"/>
        <w:jc w:val="left"/>
        <w:textAlignment w:val="auto"/>
        <w:rPr>
          <w:rFonts w:ascii="Times New Roman" w:hAnsi="Times New Roman" w:eastAsia="仿宋_GB2312"/>
          <w:sz w:val="32"/>
          <w:szCs w:val="32"/>
        </w:rPr>
      </w:pPr>
    </w:p>
    <w:sectPr>
      <w:footerReference r:id="rId3" w:type="default"/>
      <w:pgSz w:w="11906" w:h="16838"/>
      <w:pgMar w:top="1701" w:right="1701" w:bottom="1417" w:left="170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国标小标宋">
    <w:panose1 w:val="02000500000000000000"/>
    <w:charset w:val="86"/>
    <w:family w:val="script"/>
    <w:pitch w:val="default"/>
    <w:sig w:usb0="00000001" w:usb1="08000000" w:usb2="00000000" w:usb3="00000000" w:csb0="00060007" w:csb1="00000000"/>
  </w:font>
  <w:font w:name="楷体_GB2312">
    <w:panose1 w:val="02010609030101010101"/>
    <w:charset w:val="86"/>
    <w:family w:val="swiss"/>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D079C7">
    <w:pPr>
      <w:pStyle w:val="5"/>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95910" cy="204470"/>
              <wp:effectExtent l="0" t="0" r="0" b="0"/>
              <wp:wrapNone/>
              <wp:docPr id="2049" name="_x0000_s2049"/>
              <wp:cNvGraphicFramePr/>
              <a:graphic xmlns:a="http://schemas.openxmlformats.org/drawingml/2006/main">
                <a:graphicData uri="http://schemas.microsoft.com/office/word/2010/wordprocessingShape">
                  <wps:wsp>
                    <wps:cNvSpPr/>
                    <wps:spPr>
                      <a:xfrm>
                        <a:off x="0" y="0"/>
                        <a:ext cx="296217" cy="204452"/>
                      </a:xfrm>
                      <a:prstGeom prst="rect">
                        <a:avLst/>
                      </a:prstGeom>
                      <a:noFill/>
                      <a:ln w="9525" cap="flat" cmpd="sng">
                        <a:noFill/>
                        <a:prstDash val="solid"/>
                        <a:miter/>
                      </a:ln>
                    </wps:spPr>
                    <wps:txbx>
                      <w:txbxContent>
                        <w:p w14:paraId="3409BEA9">
                          <w:pPr>
                            <w:pStyle w:val="5"/>
                            <w:jc w:val="center"/>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19</w:t>
                          </w:r>
                          <w:r>
                            <w:rPr>
                              <w:rFonts w:ascii="Times New Roman" w:hAnsi="Times New Roman" w:cs="Times New Roman"/>
                              <w:sz w:val="28"/>
                              <w:szCs w:val="28"/>
                              <w:lang w:val="zh-CN"/>
                            </w:rPr>
                            <w:fldChar w:fldCharType="end"/>
                          </w:r>
                        </w:p>
                      </w:txbxContent>
                    </wps:txbx>
                    <wps:bodyPr vert="horz" wrap="none" lIns="0" tIns="0" rIns="0" bIns="0" anchor="t" anchorCtr="0" upright="1">
                      <a:spAutoFit/>
                    </wps:bodyPr>
                  </wps:wsp>
                </a:graphicData>
              </a:graphic>
            </wp:anchor>
          </w:drawing>
        </mc:Choice>
        <mc:Fallback>
          <w:pict>
            <v:rect id="_x0000_s2049" o:spid="_x0000_s1026" o:spt="1" style="position:absolute;left:0pt;margin-top:0pt;height:16.1pt;width:23.3pt;mso-position-horizontal:center;mso-position-horizontal-relative:margin;mso-wrap-style:none;z-index:251659264;mso-width-relative:page;mso-height-relative:page;" filled="f" stroked="f" coordsize="21600,21600" o:gfxdata="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SdzjR9IAAAADAQAADwAAAAAAAAABACAAAAAiAAAAZHJzL2Rvd25yZXYueG1sUEsBAhQA&#10;FAAAAAgAh07iQHEPAwj4AQAA+AMAAA4AAAAAAAAAAQAgAAAAIQEAAGRycy9lMm9Eb2MueG1sUEsF&#10;BgAAAAAGAAYAWQEAAIsFAAAAAA==&#10;">
              <v:fill on="f" focussize="0,0"/>
              <v:stroke on="f" joinstyle="miter"/>
              <v:imagedata o:title=""/>
              <o:lock v:ext="edit" aspectratio="f"/>
              <v:textbox inset="0mm,0mm,0mm,0mm" style="mso-fit-shape-to-text:t;">
                <w:txbxContent>
                  <w:p w14:paraId="3409BEA9">
                    <w:pPr>
                      <w:pStyle w:val="5"/>
                      <w:jc w:val="center"/>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19</w:t>
                    </w:r>
                    <w:r>
                      <w:rPr>
                        <w:rFonts w:ascii="Times New Roman" w:hAnsi="Times New Roman" w:cs="Times New Roman"/>
                        <w:sz w:val="28"/>
                        <w:szCs w:val="28"/>
                        <w:lang w:val="zh-CN"/>
                      </w:rPr>
                      <w:fldChar w:fldCharType="end"/>
                    </w:r>
                  </w:p>
                </w:txbxContent>
              </v:textbox>
            </v:rect>
          </w:pict>
        </mc:Fallback>
      </mc:AlternateContent>
    </w:r>
  </w:p>
  <w:p w14:paraId="156311B0">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2"/>
  </w:compat>
  <w:rsids>
    <w:rsidRoot w:val="00000000"/>
    <w:rsid w:val="0D155257"/>
    <w:rsid w:val="38732163"/>
    <w:rsid w:val="4EDA328D"/>
    <w:rsid w:val="521F6C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2"/>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3"/>
    <w:qFormat/>
    <w:uiPriority w:val="0"/>
    <w:pPr>
      <w:keepNext/>
      <w:keepLines/>
      <w:spacing w:before="260" w:after="260" w:line="415" w:lineRule="auto"/>
      <w:outlineLvl w:val="1"/>
    </w:pPr>
    <w:rPr>
      <w:rFonts w:ascii="Times New Roman" w:hAnsi="Times New Roman" w:eastAsia="黑体"/>
      <w:b/>
      <w:bCs/>
      <w:sz w:val="32"/>
      <w:szCs w:val="32"/>
    </w:rPr>
  </w:style>
  <w:style w:type="paragraph" w:styleId="4">
    <w:name w:val="heading 3"/>
    <w:basedOn w:val="1"/>
    <w:link w:val="14"/>
    <w:qFormat/>
    <w:uiPriority w:val="0"/>
    <w:pPr>
      <w:widowControl/>
      <w:spacing w:before="100" w:beforeAutospacing="1" w:after="100" w:afterAutospacing="1"/>
      <w:jc w:val="left"/>
      <w:outlineLvl w:val="2"/>
    </w:pPr>
    <w:rPr>
      <w:rFonts w:ascii="宋体" w:hAnsi="宋体" w:cs="宋体"/>
      <w:b/>
      <w:bCs/>
      <w:kern w:val="0"/>
      <w:sz w:val="27"/>
      <w:szCs w:val="27"/>
    </w:rPr>
  </w:style>
  <w:style w:type="character" w:default="1" w:styleId="9">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cs="宋体"/>
      <w:kern w:val="0"/>
      <w:sz w:val="24"/>
      <w:szCs w:val="24"/>
    </w:rPr>
  </w:style>
  <w:style w:type="character" w:styleId="10">
    <w:name w:val="Strong"/>
    <w:basedOn w:val="9"/>
    <w:qFormat/>
    <w:uiPriority w:val="0"/>
    <w:rPr>
      <w:b/>
      <w:bCs/>
    </w:rPr>
  </w:style>
  <w:style w:type="character" w:styleId="11">
    <w:name w:val="Emphasis"/>
    <w:basedOn w:val="9"/>
    <w:qFormat/>
    <w:uiPriority w:val="0"/>
    <w:rPr>
      <w:i/>
      <w:iCs/>
    </w:rPr>
  </w:style>
  <w:style w:type="character" w:customStyle="1" w:styleId="12">
    <w:name w:val="heading 1 Char"/>
    <w:basedOn w:val="9"/>
    <w:link w:val="2"/>
    <w:qFormat/>
    <w:uiPriority w:val="0"/>
    <w:rPr>
      <w:rFonts w:ascii="Calibri" w:hAnsi="Calibri" w:eastAsia="宋体" w:cs="Times New Roman"/>
      <w:b/>
      <w:bCs/>
      <w:kern w:val="44"/>
      <w:sz w:val="44"/>
      <w:szCs w:val="44"/>
      <w:lang w:val="en-US" w:eastAsia="zh-CN" w:bidi="ar-SA"/>
    </w:rPr>
  </w:style>
  <w:style w:type="character" w:customStyle="1" w:styleId="13">
    <w:name w:val="heading 2 Char"/>
    <w:basedOn w:val="9"/>
    <w:link w:val="3"/>
    <w:qFormat/>
    <w:uiPriority w:val="0"/>
    <w:rPr>
      <w:rFonts w:ascii="Times New Roman" w:hAnsi="Calibri" w:eastAsia="黑体" w:cs="Times New Roman"/>
      <w:b/>
      <w:bCs/>
      <w:kern w:val="2"/>
      <w:sz w:val="32"/>
      <w:szCs w:val="32"/>
      <w:lang w:val="en-US" w:eastAsia="zh-CN" w:bidi="ar-SA"/>
    </w:rPr>
  </w:style>
  <w:style w:type="character" w:customStyle="1" w:styleId="14">
    <w:name w:val="heading 3 Char"/>
    <w:basedOn w:val="9"/>
    <w:link w:val="4"/>
    <w:qFormat/>
    <w:uiPriority w:val="0"/>
    <w:rPr>
      <w:rFonts w:ascii="宋体" w:hAnsi="宋体" w:eastAsia="宋体" w:cs="宋体"/>
      <w:b/>
      <w:bCs/>
      <w:kern w:val="0"/>
      <w:sz w:val="27"/>
      <w:szCs w:val="27"/>
      <w:lang w:val="en-US" w:eastAsia="zh-CN" w:bidi="ar-SA"/>
    </w:rPr>
  </w:style>
  <w:style w:type="paragraph" w:styleId="15">
    <w:name w:val="List Paragraph"/>
    <w:basedOn w:val="1"/>
    <w:qFormat/>
    <w:uiPriority w:val="0"/>
    <w:pPr>
      <w:ind w:firstLine="200" w:firstLineChars="200"/>
    </w:pPr>
  </w:style>
  <w:style w:type="paragraph" w:customStyle="1" w:styleId="16">
    <w:name w:val="text-tag"/>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ap="flat" cmpd="sng">
          <a:solidFill>
            <a:schemeClr val="phClr">
              <a:shade val="95000"/>
              <a:satMod val="105000"/>
            </a:schemeClr>
          </a:solidFill>
          <a:prstDash val="solid"/>
          <a:round/>
        </a:ln>
        <a:ln w="25400" cap="flat" cmpd="sng">
          <a:solidFill>
            <a:schemeClr val="phClr"/>
          </a:solidFill>
          <a:prstDash val="solid"/>
          <a:round/>
        </a:ln>
        <a:ln w="38100" cap="flat" cmpd="sng">
          <a:solidFill>
            <a:schemeClr val="phClr"/>
          </a:solidFill>
          <a:prstDash val="solid"/>
          <a:round/>
        </a:ln>
      </a:lnStyleLst>
      <a:effectStyleLst>
        <a:effectStyle>
          <a:effectLst>
            <a:outerShdw blurRad="40000" dist="20000" dir="5400000" rotWithShape="0">
              <a:srgbClr val="000000">
                <a:alpha val="37647"/>
              </a:srgbClr>
            </a:outerShdw>
          </a:effectLst>
        </a:effectStyle>
        <a:effectStyle>
          <a:effectLst>
            <a:outerShdw blurRad="40000" dist="23000" dir="5400000" rotWithShape="0">
              <a:srgbClr val="000000">
                <a:alpha val="34509"/>
              </a:srgbClr>
            </a:outerShdw>
          </a:effectLst>
        </a:effectStyle>
        <a:effectStyle>
          <a:effectLst>
            <a:outerShdw blurRad="40000" dist="23000" dir="5400000" rotWithShape="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customData xmlns="http://www.yozosoft.com.cn/officeDocument/2016/customData">
  <customProps>
    <docPr revisions="3 0 5 0 0 0 1 0 0 0 3000 0 1 1 1 1"/>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38B2D8-C4A5-471F-A17F-D070CB12BC77}">
  <ds:schemaRefs/>
</ds:datastoreItem>
</file>

<file path=docProps/app.xml><?xml version="1.0" encoding="utf-8"?>
<Properties xmlns="http://schemas.openxmlformats.org/officeDocument/2006/extended-properties" xmlns:vt="http://schemas.openxmlformats.org/officeDocument/2006/docPropsVTypes">
  <Template>Normal.eit</Template>
  <Pages>18</Pages>
  <Words>9889</Words>
  <Characters>10000</Characters>
  <Lines>0</Lines>
  <Paragraphs>48</Paragraphs>
  <TotalTime>199</TotalTime>
  <ScaleCrop>false</ScaleCrop>
  <LinksUpToDate>false</LinksUpToDate>
  <CharactersWithSpaces>10025</CharactersWithSpaces>
  <Application>WPS Office_12.1.0.21171_F1E327BC-269C-435d-A152-05C5408002CA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2024-12-13T20:44:00Z</dcterms:created>
  <dc:creator>yong zhang</dc:creator>
  <cp:lastModifiedBy>zhou</cp:lastModifiedBy>
  <cp:lastPrinted>2025-02-06T04:05:00Z</cp:lastPrinted>
  <dcterms:modified xsi:type="dcterms:W3CDTF">2025-05-26T09:06:48Z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87DDA1259FD62CB16ABF686736A49A15</vt:lpwstr>
  </property>
  <property fmtid="{D5CDD505-2E9C-101B-9397-08002B2CF9AE}" pid="4" name="KSOTemplateDocerSaveRecord">
    <vt:lpwstr>eyJoZGlkIjoiMDQ5NDVmYTU1OWUyZjdiMTYyODIzODRiMmNlMTA5YjgiLCJ1c2VySWQiOiIxMDgyNTkzNTgzIn0=</vt:lpwstr>
  </property>
</Properties>
</file>