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CESI小标宋-GB2312" w:hAnsi="CESI小标宋-GB2312" w:eastAsia="方正小标宋_GBK" w:cs="CESI小标宋-GB2312"/>
          <w:b w:val="0"/>
          <w:bCs w:val="0"/>
          <w:color w:val="auto"/>
          <w:sz w:val="44"/>
          <w:szCs w:val="44"/>
          <w:lang w:val="en-US" w:eastAsia="zh-CN"/>
        </w:rPr>
      </w:pPr>
      <w:r>
        <w:rPr>
          <w:rFonts w:hint="eastAsia" w:ascii="CESI小标宋-GB2312" w:hAnsi="CESI小标宋-GB2312" w:eastAsia="方正小标宋_GBK" w:cs="CESI小标宋-GB2312"/>
          <w:b w:val="0"/>
          <w:bCs w:val="0"/>
          <w:color w:val="auto"/>
          <w:sz w:val="44"/>
          <w:szCs w:val="44"/>
          <w:lang w:val="en-US" w:eastAsia="zh-CN"/>
        </w:rPr>
        <w:t>金华市预拌混凝土企业分级评价管理办法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CESI小标宋-GB2312" w:hAnsi="CESI小标宋-GB2312" w:eastAsia="CESI小标宋-GB2312" w:cs="CESI小标宋-GB2312"/>
          <w:b w:val="0"/>
          <w:bCs w:val="0"/>
          <w:color w:val="auto"/>
          <w:sz w:val="44"/>
          <w:szCs w:val="44"/>
          <w:lang w:val="en-US" w:eastAsia="zh-CN"/>
        </w:rPr>
      </w:pPr>
      <w:r>
        <w:rPr>
          <w:rFonts w:hint="eastAsia" w:ascii="CESI小标宋-GB2312" w:hAnsi="CESI小标宋-GB2312" w:eastAsia="方正小标宋_GBK" w:cs="CESI小标宋-GB2312"/>
          <w:b w:val="0"/>
          <w:bCs w:val="0"/>
          <w:color w:val="auto"/>
          <w:sz w:val="44"/>
          <w:szCs w:val="44"/>
          <w:lang w:val="en-US" w:eastAsia="zh-CN"/>
        </w:rPr>
        <w:t>（征求意见稿）</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为加强预拌混凝土质量管控，进一步规范预拌混凝土市场秩序，促进预拌混凝土行业科学、有序、合理、健康发展，结合我市实际，制定本办法。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本办法适用范围包括注册地在金华市行政区域内的以及为本地的房屋建筑、市政基础设施、城际轨道交通工程提供混凝土的金华市外的预拌混凝土企业。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考核组织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金华市住房和城乡建设局负责全市预拌混凝土企业的质量考核评价管理工作。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县（市、区）住房和城乡建设主管部门负责注册地址在本行政区域内的预拌混凝土企业以及为本行政区域内的房屋建筑、市政基础设施、城际轨道交通工程提供混凝土的金华市外的预拌混凝土企业的具体质量考核评价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考核方法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拌混凝土企业质量考核评价按双随机方式进行。各县（市、区）住房和城乡建设主管部门按季度对预拌混凝土企业进行考评，本行政区域内的预拌混凝土企业数（不包括停产企业）不足10家的，每季度考评企业数量不应少于总数的50%，每个预拌混凝土企业年度考核评价次数不少于2次；本行政区域内的预拌混凝土企业数（不包括停产企业）超过10家（含10家）的，每季度考评企业数量不应少于总数的25%，每个预拌混凝土企业年度考核评价次数不少于1次。金华市住房和城乡建设局每季考核评价预拌混凝土企业数量不少于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各县（市、区）住房和城乡建设主管部门按季度向金华市住房和城乡建设局报送非本行政区域内及金华市外的预拌混凝土企业质量投诉、奖惩情况等信息。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预拌混凝土企业质量考核评价结果每季度在金华市住房和城乡建设局官方网站公布。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原材料质量。抽查粗骨料、细骨料、水泥、掺合料、外加剂等，得分按30%计入综合得分（预拌混凝土原材料质量考核评价评分标准详见附表1）。</w:t>
      </w:r>
    </w:p>
    <w:p>
      <w:pPr>
        <w:keepNext w:val="0"/>
        <w:keepLines w:val="0"/>
        <w:pageBreakBefore w:val="0"/>
        <w:widowControl w:val="0"/>
        <w:numPr>
          <w:ilvl w:val="0"/>
          <w:numId w:val="0"/>
        </w:numPr>
        <w:tabs>
          <w:tab w:val="left" w:pos="5933"/>
        </w:tabs>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施工现场预拌混凝土拌合物质量。抽查拌合物骨料观感质量、坍落度等指标，并现场取样制作试块，得分按40%计入综合得分（施工现场预拌混凝土拌合物质量考核评价标准详见附表2）。</w:t>
      </w:r>
    </w:p>
    <w:p>
      <w:pPr>
        <w:keepNext w:val="0"/>
        <w:keepLines w:val="0"/>
        <w:pageBreakBefore w:val="0"/>
        <w:widowControl w:val="0"/>
        <w:numPr>
          <w:ilvl w:val="0"/>
          <w:numId w:val="0"/>
        </w:numPr>
        <w:tabs>
          <w:tab w:val="left" w:pos="5933"/>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混凝土结构实体质量。对预拌混凝土企业供货的在建工地达到等效养护龄期的混凝土结构实体强度进行抽样检测（构件数不少于10个），同步检查预拌混凝土企业质量回访情况，得分按30%计入综合得分（混凝土结构实体质量考核评价标准详见附表3）。</w:t>
      </w:r>
    </w:p>
    <w:p>
      <w:pPr>
        <w:keepNext w:val="0"/>
        <w:keepLines w:val="0"/>
        <w:pageBreakBefore w:val="0"/>
        <w:widowControl w:val="0"/>
        <w:numPr>
          <w:ilvl w:val="0"/>
          <w:numId w:val="0"/>
        </w:numPr>
        <w:tabs>
          <w:tab w:val="left" w:pos="5933"/>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其他项。预拌混凝土企业的质量投诉、奖惩情况、信息化管理等（其他项考核评价标准详见附表4）。</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企业质量回访</w:t>
      </w:r>
    </w:p>
    <w:p>
      <w:pPr>
        <w:keepNext w:val="0"/>
        <w:keepLines w:val="0"/>
        <w:pageBreakBefore w:val="0"/>
        <w:widowControl w:val="0"/>
        <w:numPr>
          <w:ilvl w:val="0"/>
          <w:numId w:val="0"/>
        </w:numPr>
        <w:tabs>
          <w:tab w:val="left" w:pos="5933"/>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拌混凝土企业应对供货项目的每一批次混凝土结构实体强度按7天、28天龄期进行质量回访抽测，每一批次且不大于2000㎡随机抽取不少于10个构件（单测区）进行检测，检测结果在构件上进行标识（具体格式：时间、龄期、设计强度/实测强度、单位），并做好记录归档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等级确定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预拌混凝土企业质量等级分为A、B、C三个等级，首次考核评价前综合得分均为80分。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单次综合得分=原材料抽查得分</w:t>
      </w:r>
      <w:r>
        <w:rPr>
          <w:rFonts w:hint="default" w:ascii="Arial" w:hAnsi="Arial" w:eastAsia="仿宋" w:cs="Arial"/>
          <w:color w:val="auto"/>
          <w:sz w:val="32"/>
          <w:szCs w:val="32"/>
          <w:lang w:val="en-US" w:eastAsia="zh-CN"/>
        </w:rPr>
        <w:t>×</w:t>
      </w:r>
      <w:r>
        <w:rPr>
          <w:rFonts w:hint="eastAsia" w:ascii="仿宋" w:hAnsi="仿宋" w:eastAsia="仿宋" w:cs="仿宋"/>
          <w:color w:val="auto"/>
          <w:sz w:val="32"/>
          <w:szCs w:val="32"/>
          <w:lang w:val="en-US" w:eastAsia="zh-CN"/>
        </w:rPr>
        <w:t>0.3+施工现场拌合物质量抽查考核得分</w:t>
      </w:r>
      <w:r>
        <w:rPr>
          <w:rFonts w:hint="default" w:ascii="Arial" w:hAnsi="Arial" w:eastAsia="仿宋" w:cs="Arial"/>
          <w:color w:val="auto"/>
          <w:sz w:val="32"/>
          <w:szCs w:val="32"/>
          <w:lang w:val="en-US" w:eastAsia="zh-CN"/>
        </w:rPr>
        <w:t>×</w:t>
      </w:r>
      <w:r>
        <w:rPr>
          <w:rFonts w:hint="eastAsia" w:ascii="仿宋" w:hAnsi="仿宋" w:eastAsia="仿宋" w:cs="仿宋"/>
          <w:color w:val="auto"/>
          <w:sz w:val="32"/>
          <w:szCs w:val="32"/>
          <w:lang w:val="en-US" w:eastAsia="zh-CN"/>
        </w:rPr>
        <w:t>0.4+实体质量抽查考核得分</w:t>
      </w:r>
      <w:r>
        <w:rPr>
          <w:rFonts w:hint="default" w:ascii="Arial" w:hAnsi="Arial" w:eastAsia="仿宋" w:cs="Arial"/>
          <w:color w:val="auto"/>
          <w:sz w:val="32"/>
          <w:szCs w:val="32"/>
          <w:lang w:val="en-US" w:eastAsia="zh-CN"/>
        </w:rPr>
        <w:t>×</w:t>
      </w:r>
      <w:r>
        <w:rPr>
          <w:rFonts w:hint="eastAsia" w:ascii="仿宋" w:hAnsi="仿宋" w:eastAsia="仿宋" w:cs="仿宋"/>
          <w:color w:val="auto"/>
          <w:sz w:val="32"/>
          <w:szCs w:val="32"/>
          <w:lang w:val="en-US" w:eastAsia="zh-CN"/>
        </w:rPr>
        <w:t>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（三）预拌混凝土企业综合得分取本次与相邻上次综合得分的算术平均值。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（四）下一季度未被列为考核评价对象的，其综合得分不变。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仿宋" w:hAnsi="仿宋" w:eastAsia="仿宋" w:cs="仿宋"/>
          <w:color w:val="auto"/>
          <w:sz w:val="32"/>
          <w:szCs w:val="32"/>
          <w:lang w:val="en-US" w:eastAsia="zh-CN"/>
        </w:rPr>
        <w:t>（五）评价得分=综合得分+其他项加减分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（六）根据评价得分对预拌混凝土企业进行分级调整，评价得分</w:t>
      </w:r>
      <w:r>
        <w:rPr>
          <w:rFonts w:hint="default" w:ascii="仿宋" w:hAnsi="仿宋" w:eastAsia="仿宋" w:cs="仿宋"/>
          <w:color w:val="auto"/>
          <w:sz w:val="32"/>
          <w:szCs w:val="32"/>
          <w:lang w:val="en-US" w:eastAsia="zh-CN"/>
        </w:rPr>
        <w:t>≥</w:t>
      </w:r>
      <w:r>
        <w:rPr>
          <w:rFonts w:hint="default" w:ascii="仿宋" w:hAnsi="仿宋" w:eastAsia="仿宋" w:cs="仿宋"/>
          <w:color w:val="auto"/>
          <w:sz w:val="32"/>
          <w:szCs w:val="32"/>
          <w:lang w:val="en" w:eastAsia="zh-CN"/>
        </w:rPr>
        <w:t>85</w:t>
      </w:r>
      <w:r>
        <w:rPr>
          <w:rFonts w:hint="eastAsia" w:ascii="仿宋" w:hAnsi="仿宋" w:eastAsia="仿宋" w:cs="仿宋"/>
          <w:color w:val="auto"/>
          <w:sz w:val="32"/>
          <w:szCs w:val="32"/>
          <w:lang w:val="en-US" w:eastAsia="zh-CN"/>
        </w:rPr>
        <w:t>的为A级，</w:t>
      </w:r>
      <w:r>
        <w:rPr>
          <w:rFonts w:hint="default" w:ascii="仿宋" w:hAnsi="仿宋" w:eastAsia="仿宋" w:cs="仿宋"/>
          <w:color w:val="auto"/>
          <w:sz w:val="32"/>
          <w:szCs w:val="32"/>
          <w:lang w:val="en" w:eastAsia="zh-CN"/>
        </w:rPr>
        <w:t>85</w:t>
      </w:r>
      <w:r>
        <w:rPr>
          <w:rFonts w:hint="eastAsia" w:ascii="仿宋" w:hAnsi="仿宋" w:eastAsia="仿宋" w:cs="仿宋"/>
          <w:color w:val="auto"/>
          <w:sz w:val="32"/>
          <w:szCs w:val="32"/>
          <w:lang w:val="en-US" w:eastAsia="zh-CN"/>
        </w:rPr>
        <w:t>&gt;评价得分</w:t>
      </w:r>
      <w:r>
        <w:rPr>
          <w:rFonts w:hint="default" w:ascii="仿宋" w:hAnsi="仿宋" w:eastAsia="仿宋" w:cs="仿宋"/>
          <w:color w:val="auto"/>
          <w:sz w:val="32"/>
          <w:szCs w:val="32"/>
          <w:lang w:val="en-US" w:eastAsia="zh-CN"/>
        </w:rPr>
        <w:t>≥</w:t>
      </w:r>
      <w:r>
        <w:rPr>
          <w:rFonts w:hint="default" w:ascii="仿宋" w:hAnsi="仿宋" w:eastAsia="仿宋" w:cs="仿宋"/>
          <w:color w:val="auto"/>
          <w:sz w:val="32"/>
          <w:szCs w:val="32"/>
          <w:lang w:val="en" w:eastAsia="zh-CN"/>
        </w:rPr>
        <w:t>70</w:t>
      </w:r>
      <w:r>
        <w:rPr>
          <w:rFonts w:hint="eastAsia" w:ascii="Arial" w:hAnsi="Arial" w:eastAsia="仿宋" w:cs="Arial"/>
          <w:color w:val="auto"/>
          <w:sz w:val="32"/>
          <w:szCs w:val="32"/>
          <w:lang w:val="en-US" w:eastAsia="zh-CN"/>
        </w:rPr>
        <w:t>的为</w:t>
      </w:r>
      <w:r>
        <w:rPr>
          <w:rFonts w:hint="default" w:ascii="仿宋" w:hAnsi="仿宋" w:eastAsia="仿宋" w:cs="仿宋"/>
          <w:color w:val="auto"/>
          <w:sz w:val="32"/>
          <w:szCs w:val="32"/>
          <w:lang w:val="en-US" w:eastAsia="zh-CN"/>
        </w:rPr>
        <w:t>B</w:t>
      </w:r>
      <w:r>
        <w:rPr>
          <w:rFonts w:hint="eastAsia" w:ascii="Arial" w:hAnsi="Arial" w:eastAsia="仿宋" w:cs="Arial"/>
          <w:color w:val="auto"/>
          <w:sz w:val="32"/>
          <w:szCs w:val="32"/>
          <w:lang w:val="en-US" w:eastAsia="zh-CN"/>
        </w:rPr>
        <w:t>级，</w:t>
      </w:r>
      <w:r>
        <w:rPr>
          <w:rFonts w:hint="eastAsia" w:ascii="仿宋" w:hAnsi="仿宋" w:eastAsia="仿宋" w:cs="仿宋"/>
          <w:color w:val="auto"/>
          <w:sz w:val="32"/>
          <w:szCs w:val="32"/>
          <w:lang w:val="en-US" w:eastAsia="zh-CN"/>
        </w:rPr>
        <w:t>评价得分&lt;</w:t>
      </w:r>
      <w:r>
        <w:rPr>
          <w:rFonts w:hint="default" w:ascii="仿宋" w:hAnsi="仿宋" w:eastAsia="仿宋" w:cs="仿宋"/>
          <w:color w:val="auto"/>
          <w:sz w:val="32"/>
          <w:szCs w:val="32"/>
          <w:lang w:val="en" w:eastAsia="zh-CN"/>
        </w:rPr>
        <w:t>70</w:t>
      </w:r>
      <w:r>
        <w:rPr>
          <w:rFonts w:hint="eastAsia" w:ascii="仿宋" w:hAnsi="仿宋" w:eastAsia="仿宋" w:cs="仿宋"/>
          <w:color w:val="auto"/>
          <w:sz w:val="32"/>
          <w:szCs w:val="32"/>
          <w:lang w:val="en-US" w:eastAsia="zh-CN"/>
        </w:rPr>
        <w:t>的为C级。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结果运用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价等级为A级的预拌混凝土企业，减少日常检查频次，频次由各县（市、区）住房和城乡建设主管部门视实际情况决定;评价等级为B级的预拌混凝土企业，检查频次不变;评价为C级的预拌混凝土企业，列为重点监管对象，抽查频次加倍，企业质量回访比例提高至每批次全数检测，期限从评价结果公布为C级之日起至评价结果公布为B级及以上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本办法由金华市住房和城乡建设局负责解释。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本办法自202x年x月x日实施。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附件：1.预拌混凝土原材料质量考核评价评分标准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2.施工现场预拌混凝土拌合物质量考核评价标准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3.混凝土结构实体质量考核评价标准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4.其他项考核评价标准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金华市住房和城乡建设局</w:t>
      </w:r>
    </w:p>
    <w:p>
      <w:pPr>
        <w:pStyle w:val="2"/>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2023年  月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rPr>
          <w:rFonts w:hint="default" w:ascii="仿宋" w:hAnsi="仿宋" w:eastAsia="仿宋" w:cs="仿宋"/>
          <w:color w:val="auto"/>
          <w:sz w:val="32"/>
          <w:szCs w:val="32"/>
          <w:lang w:val="en-US" w:eastAsia="zh-CN"/>
        </w:rPr>
      </w:pPr>
    </w:p>
    <w:p>
      <w:pPr>
        <w:pStyle w:val="2"/>
        <w:rPr>
          <w:rFonts w:hint="eastAsia"/>
          <w:lang w:val="en-US" w:eastAsia="zh-CN"/>
        </w:rPr>
      </w:pPr>
    </w:p>
    <w:p>
      <w:pPr>
        <w:jc w:val="left"/>
        <w:rPr>
          <w:rFonts w:hint="eastAsia" w:ascii="仿宋" w:hAnsi="仿宋" w:eastAsia="仿宋" w:cs="仿宋"/>
          <w:color w:val="auto"/>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预拌混凝土原材料质量考核评价评分标准</w:t>
      </w:r>
    </w:p>
    <w:tbl>
      <w:tblPr>
        <w:tblStyle w:val="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63"/>
        <w:gridCol w:w="505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检查项目</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检查要点</w:t>
            </w:r>
          </w:p>
        </w:tc>
        <w:tc>
          <w:tcPr>
            <w:tcW w:w="5050"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评分标准</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原材料检验情况（100分）</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水泥</w:t>
            </w:r>
          </w:p>
        </w:tc>
        <w:tc>
          <w:tcPr>
            <w:tcW w:w="5050"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水泥的强度、安定性、凝结时间任一指标不符合要求的，或有其他违反《通用硅酸盐水泥》GB175强制性条文项的，每项扣25分；</w:t>
            </w:r>
            <w:r>
              <w:rPr>
                <w:rFonts w:hint="eastAsia" w:ascii="仿宋" w:hAnsi="仿宋" w:eastAsia="仿宋" w:cs="仿宋"/>
                <w:color w:val="auto"/>
                <w:sz w:val="28"/>
                <w:szCs w:val="28"/>
                <w:vertAlign w:val="baseline"/>
                <w:lang w:val="en-US" w:eastAsia="zh-CN"/>
              </w:rPr>
              <w:t>其余常规指标任一项不符合要求的，每项扣10分；预拌混凝土企业未按规定复验的，每项扣10分。</w:t>
            </w:r>
          </w:p>
        </w:tc>
        <w:tc>
          <w:tcPr>
            <w:tcW w:w="1525" w:type="dxa"/>
            <w:vMerge w:val="restart"/>
            <w:vAlign w:val="center"/>
          </w:tcPr>
          <w:p>
            <w:pPr>
              <w:keepNext w:val="0"/>
              <w:keepLines w:val="0"/>
              <w:pageBreakBefore w:val="0"/>
              <w:widowControl w:val="0"/>
              <w:tabs>
                <w:tab w:val="center" w:pos="471"/>
              </w:tabs>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外加剂</w:t>
            </w:r>
          </w:p>
        </w:tc>
        <w:tc>
          <w:tcPr>
            <w:tcW w:w="505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违反《混凝土外加剂》GB8076或《混凝土外加剂应用技术规范》GB50119强制性条文项的，每项扣25分；</w:t>
            </w:r>
            <w:r>
              <w:rPr>
                <w:rFonts w:hint="eastAsia" w:ascii="仿宋" w:hAnsi="仿宋" w:eastAsia="仿宋" w:cs="仿宋"/>
                <w:color w:val="auto"/>
                <w:sz w:val="28"/>
                <w:szCs w:val="28"/>
                <w:vertAlign w:val="baseline"/>
                <w:lang w:val="en-US" w:eastAsia="zh-CN"/>
              </w:rPr>
              <w:t>其余常规指标任一项不符合要求的扣10分，每项扣10分；预拌混凝土企业未按规定复验的，每项扣10分。</w:t>
            </w: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掺合料</w:t>
            </w:r>
          </w:p>
        </w:tc>
        <w:tc>
          <w:tcPr>
            <w:tcW w:w="5050"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常规指标任一项不符合要求的扣10分；预拌混凝土企业未按规定复验的扣10分。</w:t>
            </w: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粗骨料、细骨料</w:t>
            </w:r>
          </w:p>
        </w:tc>
        <w:tc>
          <w:tcPr>
            <w:tcW w:w="5050"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常规指标任一指标不符合要求的扣10分；预拌混凝土企业未按规定复验的扣10分。</w:t>
            </w: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p>
    <w:p>
      <w:pPr>
        <w:jc w:val="left"/>
        <w:rPr>
          <w:rFonts w:hint="eastAsia" w:ascii="仿宋" w:hAnsi="仿宋" w:eastAsia="仿宋" w:cs="仿宋"/>
          <w:color w:val="auto"/>
          <w:sz w:val="32"/>
          <w:szCs w:val="32"/>
          <w:lang w:val="en-US" w:eastAsia="zh-CN"/>
        </w:rPr>
      </w:pPr>
    </w:p>
    <w:p>
      <w:pPr>
        <w:jc w:val="left"/>
        <w:rPr>
          <w:rFonts w:hint="eastAsia" w:ascii="仿宋" w:hAnsi="仿宋" w:eastAsia="仿宋" w:cs="仿宋"/>
          <w:color w:val="auto"/>
          <w:sz w:val="32"/>
          <w:szCs w:val="32"/>
          <w:lang w:val="en-US" w:eastAsia="zh-CN"/>
        </w:rPr>
      </w:pPr>
    </w:p>
    <w:p>
      <w:pPr>
        <w:jc w:val="left"/>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施工现场预拌混凝土拌合物质量考核评价标准</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082"/>
        <w:gridCol w:w="1937"/>
        <w:gridCol w:w="383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序号</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检查项目</w:t>
            </w: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检查要点</w:t>
            </w:r>
          </w:p>
        </w:tc>
        <w:tc>
          <w:tcPr>
            <w:tcW w:w="383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扣分标准（满分100分）</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交货检验情况（60分）</w:t>
            </w: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坍落度应符合要求</w:t>
            </w:r>
          </w:p>
        </w:tc>
        <w:tc>
          <w:tcPr>
            <w:tcW w:w="383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坍落度小于设计值30mm或大于设计值的每发现一次扣10分</w:t>
            </w:r>
          </w:p>
        </w:tc>
        <w:tc>
          <w:tcPr>
            <w:tcW w:w="995"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082"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交货检验资料应齐全</w:t>
            </w:r>
          </w:p>
        </w:tc>
        <w:tc>
          <w:tcPr>
            <w:tcW w:w="383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出厂质量证明书、发货单等质量保证资料不齐全的每发现一次扣5分；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无资料的扣10分</w:t>
            </w:r>
          </w:p>
        </w:tc>
        <w:tc>
          <w:tcPr>
            <w:tcW w:w="99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082"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泵车进料口不得加水</w:t>
            </w:r>
          </w:p>
        </w:tc>
        <w:tc>
          <w:tcPr>
            <w:tcW w:w="383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每发现一次泵车存在加水现象的扣50分</w:t>
            </w:r>
          </w:p>
        </w:tc>
        <w:tc>
          <w:tcPr>
            <w:tcW w:w="99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082"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预拌混凝土技术交底</w:t>
            </w:r>
          </w:p>
        </w:tc>
        <w:tc>
          <w:tcPr>
            <w:tcW w:w="383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未进行技术交底的，每发现一次扣5分</w:t>
            </w:r>
          </w:p>
        </w:tc>
        <w:tc>
          <w:tcPr>
            <w:tcW w:w="99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其他情况（40分）</w:t>
            </w: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抽查在建工程现场试块强度</w:t>
            </w:r>
          </w:p>
        </w:tc>
        <w:tc>
          <w:tcPr>
            <w:tcW w:w="383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强度未达到设计要求的，每发现一组扣20分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995"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jc w:val="left"/>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附件3</w:t>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混凝土结构实体质量考核评价标准</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76"/>
        <w:gridCol w:w="2965"/>
        <w:gridCol w:w="204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序号</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检查项目</w:t>
            </w:r>
          </w:p>
        </w:tc>
        <w:tc>
          <w:tcPr>
            <w:tcW w:w="296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检查要点</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扣分标准（满分100分）</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抽查混凝土实体回弹情况（60分）</w:t>
            </w: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砼单个构件回弹强度小于90%的（碳化大于2.0mm的除外）</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每发现一个扣5分</w:t>
            </w:r>
          </w:p>
        </w:tc>
        <w:tc>
          <w:tcPr>
            <w:tcW w:w="115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676"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砼批量检测回弹强度90%~100%的</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每发现一批扣10分</w:t>
            </w:r>
          </w:p>
        </w:tc>
        <w:tc>
          <w:tcPr>
            <w:tcW w:w="1159"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676"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砼批量检测回弹强度80%~90%的</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每发现一批扣20分</w:t>
            </w:r>
          </w:p>
        </w:tc>
        <w:tc>
          <w:tcPr>
            <w:tcW w:w="1159"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676"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砼批量检测回弹强度70%~80%的</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每发现一批扣40分</w:t>
            </w:r>
          </w:p>
        </w:tc>
        <w:tc>
          <w:tcPr>
            <w:tcW w:w="1159"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1676"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砼批量检测回弹强度&lt;70%的</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每发现一批扣50分</w:t>
            </w:r>
          </w:p>
        </w:tc>
        <w:tc>
          <w:tcPr>
            <w:tcW w:w="1159"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其他情况（40分）</w:t>
            </w: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存在混凝土其他质量问题</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每发现一次扣10分</w:t>
            </w:r>
          </w:p>
        </w:tc>
        <w:tc>
          <w:tcPr>
            <w:tcW w:w="1159"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1676"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296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预拌混凝土企业未按本办法开展质量回访的</w:t>
            </w:r>
          </w:p>
        </w:tc>
        <w:tc>
          <w:tcPr>
            <w:tcW w:w="2045"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每发现一次扣20分</w:t>
            </w:r>
          </w:p>
        </w:tc>
        <w:tc>
          <w:tcPr>
            <w:tcW w:w="1159" w:type="dxa"/>
            <w:vMerge w:val="continue"/>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p>
      <w:pPr>
        <w:jc w:val="left"/>
        <w:rPr>
          <w:rFonts w:hint="eastAsia" w:ascii="仿宋" w:hAnsi="仿宋" w:eastAsia="仿宋" w:cs="仿宋"/>
          <w:color w:val="auto"/>
          <w:sz w:val="32"/>
          <w:szCs w:val="32"/>
          <w:lang w:val="en-US" w:eastAsia="zh-CN"/>
        </w:rPr>
      </w:pPr>
    </w:p>
    <w:p>
      <w:pPr>
        <w:jc w:val="left"/>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32"/>
          <w:szCs w:val="32"/>
          <w:lang w:val="en-US" w:eastAsia="zh-CN"/>
        </w:rPr>
        <w:t>其他项考核评价标准</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70"/>
        <w:gridCol w:w="2461"/>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序号</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项目</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检查要点</w:t>
            </w:r>
          </w:p>
        </w:tc>
        <w:tc>
          <w:tcPr>
            <w:tcW w:w="3659"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加扣分标准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加分项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（单周期加分上限15分，追溯期为一年）</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通报表彰情况</w:t>
            </w:r>
          </w:p>
        </w:tc>
        <w:tc>
          <w:tcPr>
            <w:tcW w:w="3659"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市级及以上主管部门通报表扬一次加5分。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县级主管部门通报表扬一次加2分；该项同一追溯期加分不超过4次。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770"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扣分项</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质量投诉</w:t>
            </w:r>
          </w:p>
        </w:tc>
        <w:tc>
          <w:tcPr>
            <w:tcW w:w="3659"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每出现一起并经查实属预拌混凝土企业质量问题的扣5分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信息化报送</w:t>
            </w:r>
          </w:p>
        </w:tc>
        <w:tc>
          <w:tcPr>
            <w:tcW w:w="3659"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视频联网、供货信息等上传不到位的扣2分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通报批评情况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（追溯期为一年）</w:t>
            </w:r>
          </w:p>
        </w:tc>
        <w:tc>
          <w:tcPr>
            <w:tcW w:w="3659"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市级及以上主管部门通报批评一次扣5分。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县级主管部门通报不良信息一次扣2分；同一县级行政区域不良信息同一追溯期内扣分不超过4次。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主管部门整改通知单回复情况</w:t>
            </w:r>
          </w:p>
        </w:tc>
        <w:tc>
          <w:tcPr>
            <w:tcW w:w="3659"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整改回复逾期的，每次扣2分；未整改的，每次扣5分。</w:t>
            </w:r>
          </w:p>
        </w:tc>
      </w:tr>
    </w:tbl>
    <w:p>
      <w:p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注：未注明时效的扣分项目，追溯期均为当季度。</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altName w:val="宋体"/>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eastAsiaTheme="minorEastAsia"/>
                              <w:sz w:val="28"/>
                              <w:lang w:eastAsia="zh-CN"/>
                            </w:rPr>
                            <w:fldChar w:fldCharType="begin"/>
                          </w:r>
                          <w:r>
                            <w:rPr>
                              <w:rFonts w:hint="eastAsia" w:eastAsiaTheme="minorEastAsia"/>
                              <w:sz w:val="28"/>
                              <w:lang w:eastAsia="zh-CN"/>
                            </w:rPr>
                            <w:instrText xml:space="preserve"> PAGE  \* MERGEFORMAT </w:instrText>
                          </w:r>
                          <w:r>
                            <w:rPr>
                              <w:rFonts w:hint="eastAsia" w:eastAsiaTheme="minorEastAsia"/>
                              <w:sz w:val="28"/>
                              <w:lang w:eastAsia="zh-CN"/>
                            </w:rPr>
                            <w:fldChar w:fldCharType="separate"/>
                          </w:r>
                          <w:r>
                            <w:rPr>
                              <w:rFonts w:hint="eastAsia" w:eastAsiaTheme="minorEastAsia"/>
                              <w:sz w:val="28"/>
                              <w:lang w:eastAsia="zh-CN"/>
                            </w:rPr>
                            <w:t>1</w:t>
                          </w:r>
                          <w:r>
                            <w:rPr>
                              <w:rFonts w:hint="eastAsia" w:eastAsiaTheme="minorEastAsia"/>
                              <w:sz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eastAsiaTheme="minorEastAsia"/>
                        <w:sz w:val="28"/>
                        <w:lang w:eastAsia="zh-CN"/>
                      </w:rPr>
                      <w:fldChar w:fldCharType="begin"/>
                    </w:r>
                    <w:r>
                      <w:rPr>
                        <w:rFonts w:hint="eastAsia" w:eastAsiaTheme="minorEastAsia"/>
                        <w:sz w:val="28"/>
                        <w:lang w:eastAsia="zh-CN"/>
                      </w:rPr>
                      <w:instrText xml:space="preserve"> PAGE  \* MERGEFORMAT </w:instrText>
                    </w:r>
                    <w:r>
                      <w:rPr>
                        <w:rFonts w:hint="eastAsia" w:eastAsiaTheme="minorEastAsia"/>
                        <w:sz w:val="28"/>
                        <w:lang w:eastAsia="zh-CN"/>
                      </w:rPr>
                      <w:fldChar w:fldCharType="separate"/>
                    </w:r>
                    <w:r>
                      <w:rPr>
                        <w:rFonts w:hint="eastAsia" w:eastAsiaTheme="minorEastAsia"/>
                        <w:sz w:val="28"/>
                        <w:lang w:eastAsia="zh-CN"/>
                      </w:rPr>
                      <w:t>1</w:t>
                    </w:r>
                    <w:r>
                      <w:rPr>
                        <w:rFonts w:hint="eastAsia" w:eastAsiaTheme="minorEastAsia"/>
                        <w:sz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E6031"/>
    <w:multiLevelType w:val="singleLevel"/>
    <w:tmpl w:val="6DDE6031"/>
    <w:lvl w:ilvl="0" w:tentative="0">
      <w:start w:val="1"/>
      <w:numFmt w:val="chineseCounting"/>
      <w:suff w:val="nothing"/>
      <w:lvlText w:val="%1、"/>
      <w:lvlJc w:val="left"/>
      <w:rPr>
        <w:rFonts w:hint="eastAsia"/>
      </w:rPr>
    </w:lvl>
  </w:abstractNum>
  <w:abstractNum w:abstractNumId="1">
    <w:nsid w:val="7BFBFEFF"/>
    <w:multiLevelType w:val="singleLevel"/>
    <w:tmpl w:val="7BFBFE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WIzNzkzMmJjNzA5OWUxMjI2MDk0ZmM2NGEwOGIifQ=="/>
  </w:docVars>
  <w:rsids>
    <w:rsidRoot w:val="00000000"/>
    <w:rsid w:val="00B55F17"/>
    <w:rsid w:val="057F3E10"/>
    <w:rsid w:val="07A13E64"/>
    <w:rsid w:val="08775D40"/>
    <w:rsid w:val="09394E66"/>
    <w:rsid w:val="0A760A06"/>
    <w:rsid w:val="0BDA4C4A"/>
    <w:rsid w:val="0FDD284A"/>
    <w:rsid w:val="0FFA20FD"/>
    <w:rsid w:val="101F271D"/>
    <w:rsid w:val="111F4DFF"/>
    <w:rsid w:val="11D86D11"/>
    <w:rsid w:val="140A546A"/>
    <w:rsid w:val="14B16504"/>
    <w:rsid w:val="15336E95"/>
    <w:rsid w:val="15F60D4B"/>
    <w:rsid w:val="16050BE4"/>
    <w:rsid w:val="161F391E"/>
    <w:rsid w:val="1633763B"/>
    <w:rsid w:val="17F7EC47"/>
    <w:rsid w:val="190A3D39"/>
    <w:rsid w:val="1959043B"/>
    <w:rsid w:val="1A171C52"/>
    <w:rsid w:val="1B09657E"/>
    <w:rsid w:val="1BC07FCB"/>
    <w:rsid w:val="1BE8A5AC"/>
    <w:rsid w:val="1D91621B"/>
    <w:rsid w:val="1F330832"/>
    <w:rsid w:val="1F652A28"/>
    <w:rsid w:val="1FFFA29A"/>
    <w:rsid w:val="1FFFB8C1"/>
    <w:rsid w:val="21EEF3F7"/>
    <w:rsid w:val="22D87876"/>
    <w:rsid w:val="234E7F62"/>
    <w:rsid w:val="23D955FC"/>
    <w:rsid w:val="26A92F49"/>
    <w:rsid w:val="29B76CF7"/>
    <w:rsid w:val="2AFC253F"/>
    <w:rsid w:val="2D105EE0"/>
    <w:rsid w:val="2D272DEF"/>
    <w:rsid w:val="2EF5AB71"/>
    <w:rsid w:val="2EFA6829"/>
    <w:rsid w:val="2F013B76"/>
    <w:rsid w:val="2F3E5609"/>
    <w:rsid w:val="308F4B9B"/>
    <w:rsid w:val="31515091"/>
    <w:rsid w:val="3299410F"/>
    <w:rsid w:val="33BD1306"/>
    <w:rsid w:val="33E04919"/>
    <w:rsid w:val="35743117"/>
    <w:rsid w:val="35DD258B"/>
    <w:rsid w:val="364C2C9F"/>
    <w:rsid w:val="37CC1B26"/>
    <w:rsid w:val="37DFF18B"/>
    <w:rsid w:val="37FF792A"/>
    <w:rsid w:val="381D6AE3"/>
    <w:rsid w:val="387177F1"/>
    <w:rsid w:val="39667792"/>
    <w:rsid w:val="3A8532EB"/>
    <w:rsid w:val="3DD72B86"/>
    <w:rsid w:val="3E3B116C"/>
    <w:rsid w:val="3E775887"/>
    <w:rsid w:val="3ED7DB26"/>
    <w:rsid w:val="3EFF868C"/>
    <w:rsid w:val="3F256E76"/>
    <w:rsid w:val="3F3D8188"/>
    <w:rsid w:val="3F7499FD"/>
    <w:rsid w:val="3FDB7F14"/>
    <w:rsid w:val="3FDDC677"/>
    <w:rsid w:val="3FE6450B"/>
    <w:rsid w:val="3FF71C98"/>
    <w:rsid w:val="3FF7FAE4"/>
    <w:rsid w:val="3FFD7771"/>
    <w:rsid w:val="4002127D"/>
    <w:rsid w:val="404169C1"/>
    <w:rsid w:val="41881411"/>
    <w:rsid w:val="43378E44"/>
    <w:rsid w:val="441B1153"/>
    <w:rsid w:val="455A5068"/>
    <w:rsid w:val="4A630EBA"/>
    <w:rsid w:val="4B180D0E"/>
    <w:rsid w:val="4B511911"/>
    <w:rsid w:val="4BA235E3"/>
    <w:rsid w:val="4BF1FAFB"/>
    <w:rsid w:val="4C7B59D4"/>
    <w:rsid w:val="4CFEB9CD"/>
    <w:rsid w:val="4E125961"/>
    <w:rsid w:val="4F2926A4"/>
    <w:rsid w:val="4FDD0A19"/>
    <w:rsid w:val="54712E22"/>
    <w:rsid w:val="55FF0873"/>
    <w:rsid w:val="55FF72AA"/>
    <w:rsid w:val="56FA1023"/>
    <w:rsid w:val="57CF5B13"/>
    <w:rsid w:val="59247A81"/>
    <w:rsid w:val="59AB7EE4"/>
    <w:rsid w:val="5A196C0F"/>
    <w:rsid w:val="5BF6F772"/>
    <w:rsid w:val="5DE79666"/>
    <w:rsid w:val="5E0B6262"/>
    <w:rsid w:val="5ED837FA"/>
    <w:rsid w:val="5F051EAE"/>
    <w:rsid w:val="5F776FCF"/>
    <w:rsid w:val="5FFD20DC"/>
    <w:rsid w:val="5FFFC724"/>
    <w:rsid w:val="601A6C4F"/>
    <w:rsid w:val="607A076E"/>
    <w:rsid w:val="621B0D25"/>
    <w:rsid w:val="64DE2991"/>
    <w:rsid w:val="64F6061B"/>
    <w:rsid w:val="6503465D"/>
    <w:rsid w:val="652C7F84"/>
    <w:rsid w:val="65FEC83E"/>
    <w:rsid w:val="65FF2068"/>
    <w:rsid w:val="66A43BD5"/>
    <w:rsid w:val="67413D60"/>
    <w:rsid w:val="67A1463F"/>
    <w:rsid w:val="67E0317D"/>
    <w:rsid w:val="694457EE"/>
    <w:rsid w:val="6AC125BB"/>
    <w:rsid w:val="6BE59B9F"/>
    <w:rsid w:val="6C577B7D"/>
    <w:rsid w:val="6C7A0588"/>
    <w:rsid w:val="6C7F9869"/>
    <w:rsid w:val="6DDF38C6"/>
    <w:rsid w:val="6DFB3F9E"/>
    <w:rsid w:val="6E2D580D"/>
    <w:rsid w:val="6EAF0AA2"/>
    <w:rsid w:val="6F7E0768"/>
    <w:rsid w:val="6FDDE060"/>
    <w:rsid w:val="6FFDA3C7"/>
    <w:rsid w:val="71102DA3"/>
    <w:rsid w:val="73FE9C2C"/>
    <w:rsid w:val="75D7BE95"/>
    <w:rsid w:val="76DF3C37"/>
    <w:rsid w:val="77A272EF"/>
    <w:rsid w:val="77B231AE"/>
    <w:rsid w:val="77EB386B"/>
    <w:rsid w:val="78634921"/>
    <w:rsid w:val="788F2EEA"/>
    <w:rsid w:val="78D947C7"/>
    <w:rsid w:val="78DB32C9"/>
    <w:rsid w:val="7A7E26A2"/>
    <w:rsid w:val="7BDDDD6A"/>
    <w:rsid w:val="7CEDB0BA"/>
    <w:rsid w:val="7CFFDC51"/>
    <w:rsid w:val="7D2A7DD9"/>
    <w:rsid w:val="7E4AD491"/>
    <w:rsid w:val="7EFEEF6E"/>
    <w:rsid w:val="7EFFA6DE"/>
    <w:rsid w:val="7FF590F5"/>
    <w:rsid w:val="7FF786A5"/>
    <w:rsid w:val="86FA49A9"/>
    <w:rsid w:val="9B734C7B"/>
    <w:rsid w:val="A9FFB26D"/>
    <w:rsid w:val="AB9AC8BB"/>
    <w:rsid w:val="ACE7ACD0"/>
    <w:rsid w:val="AEFBCC32"/>
    <w:rsid w:val="AF456142"/>
    <w:rsid w:val="B5BEB6BD"/>
    <w:rsid w:val="B5F2E13A"/>
    <w:rsid w:val="B7BDC525"/>
    <w:rsid w:val="BDF38DCB"/>
    <w:rsid w:val="BE5FE1C8"/>
    <w:rsid w:val="BEFA0C47"/>
    <w:rsid w:val="C3F6065A"/>
    <w:rsid w:val="CAED6966"/>
    <w:rsid w:val="CCDF9595"/>
    <w:rsid w:val="D7BA5153"/>
    <w:rsid w:val="D7EF8EB3"/>
    <w:rsid w:val="D7FFEE8F"/>
    <w:rsid w:val="DCDDE859"/>
    <w:rsid w:val="DF5D5CFB"/>
    <w:rsid w:val="DFD226CD"/>
    <w:rsid w:val="DFEF3EB1"/>
    <w:rsid w:val="DFFF49C5"/>
    <w:rsid w:val="E3B2E5F7"/>
    <w:rsid w:val="E69FB453"/>
    <w:rsid w:val="ECEFF058"/>
    <w:rsid w:val="ED7868B8"/>
    <w:rsid w:val="EDDD5D29"/>
    <w:rsid w:val="EF6BA49C"/>
    <w:rsid w:val="EFB39500"/>
    <w:rsid w:val="F374E57F"/>
    <w:rsid w:val="F4FDD466"/>
    <w:rsid w:val="F4FFB894"/>
    <w:rsid w:val="F5259253"/>
    <w:rsid w:val="F57E5A3C"/>
    <w:rsid w:val="F779FD4B"/>
    <w:rsid w:val="F78E246D"/>
    <w:rsid w:val="F7FF7A26"/>
    <w:rsid w:val="FA4F8593"/>
    <w:rsid w:val="FAF30FEC"/>
    <w:rsid w:val="FB7B6216"/>
    <w:rsid w:val="FBE14E79"/>
    <w:rsid w:val="FD3DB6C5"/>
    <w:rsid w:val="FDAE6649"/>
    <w:rsid w:val="FDD70F65"/>
    <w:rsid w:val="FE677733"/>
    <w:rsid w:val="FEBD31B5"/>
    <w:rsid w:val="FEF7862D"/>
    <w:rsid w:val="FFB721C6"/>
    <w:rsid w:val="FFBFAD80"/>
    <w:rsid w:val="FFD77426"/>
    <w:rsid w:val="FFDD593C"/>
    <w:rsid w:val="FFF6CCF7"/>
    <w:rsid w:val="FFFAB81A"/>
    <w:rsid w:val="FFFAC8AC"/>
    <w:rsid w:val="FFFF305C"/>
    <w:rsid w:val="FFFFC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2653</Words>
  <Characters>2784</Characters>
  <Lines>0</Lines>
  <Paragraphs>0</Paragraphs>
  <TotalTime>19</TotalTime>
  <ScaleCrop>false</ScaleCrop>
  <LinksUpToDate>false</LinksUpToDate>
  <CharactersWithSpaces>2791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2020-09-05T14:46:00Z</dcterms:created>
  <dc:creator>ASUS</dc:creator>
  <cp:lastModifiedBy>安哥</cp:lastModifiedBy>
  <cp:lastPrinted>2023-05-23T20:57:00Z</cp:lastPrinted>
  <dcterms:modified xsi:type="dcterms:W3CDTF">2023-06-02T08:22:00Z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64F7672DD8AD4B2EAABE9D05343C4D4C_12</vt:lpwstr>
  </property>
</Properties>
</file>