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fill="FFFFFF"/>
        </w:rPr>
        <w:t>石塘朱村吴氏宗祠迁建工程设计方案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一、《工程设计方案》制定的背景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吴氏宗祠存续时间较久，是浙南地区地方性乡土建筑之一，对研究本地的祠堂机组祭祀文化、社会人口结构变迁、宗族迁徙历程及文化习俗活动等研究都具有一定的历史价值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因235项目涉及石塘镇朱村村吴氏宗祠文保政策处理问题，特制定该迁建设计方案。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二、《工程设计方案》制定的依据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《中华人民共和国文物保护法》、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《中华人民共和国文物保护法实施条例》、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《浙江省文物保护管理条例》、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《文物保护工程管理办法》、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《古建筑消防管理规则》、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《国务院关于进一步加强文物工作的指导意见》、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《中国文物古迹保护准则》、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《文物建筑防雷技术规范》、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《文物建筑防火设计导则》、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《关于加强文化遗迹的通知》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《丽水市传统村落保护条例》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三、《工程设计方案》制定的目标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在保证结构安全、良好经济性能前提下，充分尊重历史，实事求是的结合现状，最大程度还原吴氏宗祠原有外形，造型、庸才装饰、细部构造等面貌特征，高度复原袁来结构特征、形体尺寸，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迁建完成后能为吴氏宗亲祭祀延续使用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努力实现其原有的历史、建筑和文化价值的保留和延续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812F2E"/>
    <w:multiLevelType w:val="singleLevel"/>
    <w:tmpl w:val="97812F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63589"/>
    <w:rsid w:val="2B3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2023-12-12T02:49:00Z</dcterms:created>
  <dc:creator>Administrator</dc:creator>
  <cp:lastModifiedBy>Administrator</cp:lastModifiedBy>
  <dcterms:modified xsi:type="dcterms:W3CDTF">2023-12-12T07:46:41Z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