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9FEF2">
      <w:pPr>
        <w:overflowPunct w:val="0"/>
        <w:spacing w:line="560" w:lineRule="exact"/>
        <w:jc w:val="center"/>
        <w:rPr>
          <w:rFonts w:ascii="方正小标宋简体" w:hAnsi="方正小标宋简体" w:eastAsia="方正小标宋简体"/>
          <w:sz w:val="36"/>
          <w:szCs w:val="36"/>
        </w:rPr>
      </w:pPr>
      <w:bookmarkStart w:id="0" w:name="_Hlk127958672"/>
      <w:bookmarkStart w:id="7" w:name="_GoBack"/>
      <w:bookmarkEnd w:id="7"/>
      <w:r>
        <w:rPr>
          <w:rFonts w:hint="eastAsia" w:ascii="方正小标宋简体" w:hAnsi="方正小标宋简体" w:eastAsia="方正小标宋简体"/>
          <w:sz w:val="36"/>
          <w:szCs w:val="36"/>
        </w:rPr>
        <w:t>嵊州市构建因病致贫返贫防范长效机制实施方案（</w:t>
      </w:r>
      <w:r>
        <w:rPr>
          <w:rFonts w:ascii="方正小标宋简体" w:hAnsi="方正小标宋简体" w:eastAsia="方正小标宋简体"/>
          <w:sz w:val="36"/>
          <w:szCs w:val="36"/>
        </w:rPr>
        <w:t>2022—2025</w:t>
      </w:r>
      <w:r>
        <w:rPr>
          <w:rFonts w:hint="eastAsia" w:ascii="方正小标宋简体" w:hAnsi="方正小标宋简体" w:eastAsia="方正小标宋简体"/>
          <w:sz w:val="36"/>
          <w:szCs w:val="36"/>
        </w:rPr>
        <w:t>年）</w:t>
      </w:r>
      <w:bookmarkEnd w:id="0"/>
    </w:p>
    <w:p w14:paraId="7C965859">
      <w:pPr>
        <w:keepNext/>
        <w:wordWrap w:val="0"/>
        <w:topLinePunct/>
        <w:adjustRightInd w:val="0"/>
        <w:snapToGrid w:val="0"/>
        <w:jc w:val="center"/>
        <w:textAlignment w:val="baseline"/>
        <w:rPr>
          <w:rFonts w:ascii="方正公文小标宋" w:hAnsi="方正公文小标宋" w:eastAsia="方正公文小标宋" w:cs="方正公文小标宋"/>
          <w:sz w:val="44"/>
          <w:szCs w:val="44"/>
        </w:rPr>
      </w:pPr>
      <w:r>
        <w:rPr>
          <w:rFonts w:hint="eastAsia" w:ascii="方正小标宋简体" w:hAnsi="方正小标宋简体" w:eastAsia="方正小标宋简体" w:cs="方正小标宋简体"/>
          <w:snapToGrid w:val="0"/>
          <w:kern w:val="0"/>
          <w:sz w:val="44"/>
          <w:szCs w:val="44"/>
        </w:rPr>
        <w:t>（征求意见稿）</w:t>
      </w:r>
    </w:p>
    <w:p w14:paraId="5F6557C0">
      <w:pPr>
        <w:overflowPunct w:val="0"/>
        <w:jc w:val="center"/>
        <w:rPr>
          <w:rFonts w:ascii="仿宋_GB2312"/>
          <w:szCs w:val="32"/>
        </w:rPr>
      </w:pPr>
    </w:p>
    <w:p w14:paraId="3F087B0C">
      <w:pPr>
        <w:overflowPunct w:val="0"/>
        <w:ind w:firstLine="640" w:firstLineChars="200"/>
        <w:rPr>
          <w:rFonts w:ascii="仿宋_GB2312" w:hAnsi="仿宋_GB2312" w:cs="仿宋_GB2312"/>
          <w:szCs w:val="32"/>
        </w:rPr>
      </w:pPr>
      <w:r>
        <w:rPr>
          <w:rFonts w:hint="eastAsia" w:ascii="仿宋_GB2312" w:hAnsi="仿宋_GB2312" w:cs="仿宋_GB2312"/>
          <w:szCs w:val="32"/>
        </w:rPr>
        <w:t>为进一步巩固脱贫攻坚成果，促进高质量建设共同富裕示范区，建立健全因病致贫返贫防范长效机制，切实减轻困难群众看病就医后顾之忧，根据《浙江省构建因病致贫返贫防范长效机制实施方案（2022—2025年）》（浙政办发〔2022〕42号）、《绍兴市人民政府办公室关于贯彻落实&lt;浙江省构建因病致贫返贫防范长效机制实施方案（2022—2025年）&gt;的通知》（绍政办综〔2023〕1号）等文件要求，结合我市实际，制定本实施方案。</w:t>
      </w:r>
    </w:p>
    <w:p w14:paraId="36DE4513">
      <w:pPr>
        <w:pStyle w:val="4"/>
        <w:keepNext w:val="0"/>
        <w:keepLines w:val="0"/>
        <w:numPr>
          <w:ilvl w:val="0"/>
          <w:numId w:val="1"/>
        </w:numPr>
        <w:overflowPunct w:val="0"/>
        <w:spacing w:before="0" w:after="0" w:line="540" w:lineRule="exact"/>
        <w:ind w:left="0" w:firstLine="640" w:firstLineChars="200"/>
        <w:rPr>
          <w:b w:val="0"/>
          <w:bCs w:val="0"/>
          <w:sz w:val="32"/>
          <w:szCs w:val="32"/>
        </w:rPr>
      </w:pPr>
      <w:r>
        <w:rPr>
          <w:rFonts w:hint="eastAsia"/>
          <w:b w:val="0"/>
          <w:bCs w:val="0"/>
          <w:sz w:val="32"/>
          <w:szCs w:val="32"/>
        </w:rPr>
        <w:t>总体要求</w:t>
      </w:r>
    </w:p>
    <w:p w14:paraId="2B386BFA">
      <w:pPr>
        <w:pStyle w:val="21"/>
        <w:numPr>
          <w:ilvl w:val="0"/>
          <w:numId w:val="2"/>
        </w:numPr>
        <w:overflowPunct w:val="0"/>
        <w:ind w:left="0" w:firstLine="641"/>
        <w:rPr>
          <w:rFonts w:ascii="仿宋_GB2312" w:hAnsi="仿宋_GB2312" w:cs="仿宋_GB2312"/>
          <w:szCs w:val="32"/>
        </w:rPr>
      </w:pPr>
      <w:r>
        <w:rPr>
          <w:rFonts w:hint="eastAsia" w:ascii="楷体_GB2312" w:hAnsi="楷体_GB2312" w:eastAsia="楷体_GB2312" w:cs="楷体_GB2312"/>
          <w:b/>
          <w:bCs/>
          <w:szCs w:val="32"/>
        </w:rPr>
        <w:t>指导思想</w:t>
      </w:r>
      <w:r>
        <w:rPr>
          <w:rFonts w:hint="eastAsia" w:ascii="楷体_GB2312" w:hAnsi="楷体_GB2312" w:eastAsia="楷体_GB2312" w:cs="楷体_GB2312"/>
          <w:szCs w:val="32"/>
        </w:rPr>
        <w:t>。</w:t>
      </w:r>
      <w:r>
        <w:rPr>
          <w:rFonts w:hint="eastAsia" w:ascii="仿宋_GB2312" w:hAnsi="仿宋_GB2312" w:cs="仿宋_GB2312"/>
          <w:szCs w:val="32"/>
        </w:rPr>
        <w:t>以习近平新时代中国特色社会主义思想为指导，贯彻落实党中央、国务院扎实推动共同富裕重大战略部署，按照省委、省政府“扩中”“提低”和收入分配制度改革要求，坚持以人民为中心，以数字化改革为引领，尽力而为、量力而行，加快构建纵向接力、横向互补、多跨协同的因病致贫返贫防范长效机制，减轻困难群众看病就医后顾之忧，进一步提升人民群众获得感、幸福感和安全感。</w:t>
      </w:r>
    </w:p>
    <w:p w14:paraId="6C28FCAC">
      <w:pPr>
        <w:pStyle w:val="21"/>
        <w:numPr>
          <w:ilvl w:val="0"/>
          <w:numId w:val="2"/>
        </w:numPr>
        <w:overflowPunct w:val="0"/>
        <w:ind w:left="0" w:firstLine="641"/>
        <w:rPr>
          <w:rFonts w:ascii="仿宋_GB2312" w:hAnsi="仿宋_GB2312" w:cs="仿宋_GB2312"/>
          <w:szCs w:val="32"/>
        </w:rPr>
      </w:pPr>
      <w:r>
        <w:rPr>
          <w:rFonts w:hint="eastAsia" w:ascii="楷体_GB2312" w:hAnsi="楷体_GB2312" w:eastAsia="楷体_GB2312" w:cs="楷体_GB2312"/>
          <w:b/>
          <w:bCs/>
          <w:szCs w:val="32"/>
        </w:rPr>
        <w:t>主要目标</w:t>
      </w:r>
      <w:r>
        <w:rPr>
          <w:rFonts w:hint="eastAsia" w:ascii="楷体_GB2312" w:hAnsi="楷体_GB2312" w:eastAsia="楷体_GB2312" w:cs="楷体_GB2312"/>
          <w:szCs w:val="32"/>
        </w:rPr>
        <w:t>。</w:t>
      </w:r>
      <w:r>
        <w:rPr>
          <w:rFonts w:hint="eastAsia" w:ascii="仿宋_GB2312" w:hAnsi="仿宋_GB2312" w:cs="仿宋_GB2312"/>
          <w:szCs w:val="32"/>
        </w:rPr>
        <w:t>到2023年底，进一步夯实基本医保、大病保险、医疗救助（以下统称三重制度）综合保障基础，初步建成因病致贫返贫防范长效机制，充分应用“浙里病贫共济”等场景应用，实现主动发现、精准识别、梯次减负、保障兜底闭环管理；确保资助困难群众参加基本医疗保险率达到100%，符合条件的因病困难群众基本生活保障率达到100%，困难群众医疗费用综合保障率达到82%以上、医疗费用个人负担率控制在18%以内、高额医疗费用动态清零化解率达到100%。</w:t>
      </w:r>
    </w:p>
    <w:p w14:paraId="7CD69DA0">
      <w:pPr>
        <w:overflowPunct w:val="0"/>
        <w:ind w:firstLine="640" w:firstLineChars="200"/>
        <w:rPr>
          <w:rFonts w:ascii="仿宋_GB2312" w:hAnsi="仿宋_GB2312" w:cs="仿宋_GB2312"/>
          <w:szCs w:val="32"/>
        </w:rPr>
      </w:pPr>
      <w:r>
        <w:rPr>
          <w:rFonts w:hint="eastAsia" w:ascii="仿宋_GB2312" w:hAnsi="仿宋_GB2312" w:cs="仿宋_GB2312"/>
          <w:szCs w:val="32"/>
        </w:rPr>
        <w:t>到2025年，实现因病致贫返贫防范长效机制全面重塑，三重制度综合保障与慈善救助、商业健康保险等协同发展、有效衔接，基本建成政府主导、多方参与、共建共享的多层次医疗保障体系；确保困难群众医疗费用综合保障率提高到85%以上，医疗费用个人负担率下降到15%以内。</w:t>
      </w:r>
    </w:p>
    <w:p w14:paraId="0202AC93">
      <w:pPr>
        <w:pStyle w:val="4"/>
        <w:keepNext w:val="0"/>
        <w:keepLines w:val="0"/>
        <w:numPr>
          <w:ilvl w:val="0"/>
          <w:numId w:val="1"/>
        </w:numPr>
        <w:overflowPunct w:val="0"/>
        <w:spacing w:before="0" w:after="0" w:line="540" w:lineRule="exact"/>
        <w:ind w:left="0" w:firstLine="640" w:firstLineChars="200"/>
        <w:rPr>
          <w:b w:val="0"/>
          <w:bCs w:val="0"/>
          <w:sz w:val="32"/>
          <w:szCs w:val="32"/>
        </w:rPr>
      </w:pPr>
      <w:r>
        <w:rPr>
          <w:rFonts w:hint="eastAsia"/>
          <w:b w:val="0"/>
          <w:bCs w:val="0"/>
          <w:sz w:val="32"/>
          <w:szCs w:val="32"/>
        </w:rPr>
        <w:t>主要任务</w:t>
      </w:r>
    </w:p>
    <w:p w14:paraId="423E13F9">
      <w:pPr>
        <w:pStyle w:val="21"/>
        <w:numPr>
          <w:ilvl w:val="0"/>
          <w:numId w:val="3"/>
        </w:numPr>
        <w:overflowPunct w:val="0"/>
        <w:ind w:left="0" w:firstLine="641"/>
        <w:rPr>
          <w:rFonts w:ascii="楷体_GB2312" w:hAnsi="楷体_GB2312" w:eastAsia="楷体_GB2312" w:cs="楷体_GB2312"/>
          <w:b/>
          <w:bCs/>
        </w:rPr>
      </w:pPr>
      <w:r>
        <w:rPr>
          <w:rFonts w:hint="eastAsia" w:ascii="楷体_GB2312" w:hAnsi="楷体_GB2312" w:eastAsia="楷体_GB2312" w:cs="楷体_GB2312"/>
          <w:b/>
          <w:bCs/>
        </w:rPr>
        <w:t>健全主动发现机制</w:t>
      </w:r>
    </w:p>
    <w:p w14:paraId="77A9EE1D">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建立因病致贫与因病</w:t>
      </w:r>
      <w:bookmarkStart w:id="1" w:name="_Hlk128898438"/>
      <w:r>
        <w:rPr>
          <w:rFonts w:hint="eastAsia" w:ascii="仿宋_GB2312" w:hAnsi="仿宋_GB2312" w:cs="仿宋_GB2312"/>
          <w:b/>
          <w:bCs/>
          <w:szCs w:val="32"/>
        </w:rPr>
        <w:t>返贫</w:t>
      </w:r>
      <w:bookmarkEnd w:id="1"/>
      <w:r>
        <w:rPr>
          <w:rFonts w:hint="eastAsia" w:ascii="仿宋_GB2312" w:hAnsi="仿宋_GB2312" w:cs="仿宋_GB2312"/>
          <w:b/>
          <w:bCs/>
          <w:szCs w:val="32"/>
        </w:rPr>
        <w:t>双预警机制。</w:t>
      </w:r>
      <w:r>
        <w:rPr>
          <w:rFonts w:hint="eastAsia" w:ascii="仿宋_GB2312" w:hAnsi="仿宋_GB2312" w:cs="仿宋_GB2312"/>
          <w:szCs w:val="32"/>
        </w:rPr>
        <w:t>对困难人员和因病致贫返贫潜在风险对象，实行分类监测预警。（1）重点对象：特困人员、低保对象、低边对象、因病纳入低保或低边的支出型困难人员和因病致贫纳入临时救助对象；（2）关注对象：社会散居孤儿、享受基本生活费的困境儿童、民政部门在册的农村“三老”人员（中华人民共和国成立前老党员、老游击队员、老交通员）、原精减职工享受定期定量补助人员、持有《中华人民共和国残疾人证》且残疾等级在二级及以上的人员、重点优抚对象、严重精神障碍患者和年满60周岁且无固定收入的嵊州市级及以上农业劳动模范；（3）潜在对象：自负医疗费用达到一定标准的低保、低边家庭一年渐退期内人员，自负医疗费用达到一定标准的其他人员。（医保局牵头，民政局、卫生健康局、退役军人事务局、总工会、残联按职责分工负责）</w:t>
      </w:r>
    </w:p>
    <w:p w14:paraId="32BE067E">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建立“政策找人”工作机制。</w:t>
      </w:r>
      <w:r>
        <w:rPr>
          <w:rFonts w:hint="eastAsia" w:ascii="仿宋_GB2312" w:hAnsi="仿宋_GB2312" w:cs="仿宋_GB2312"/>
          <w:szCs w:val="32"/>
        </w:rPr>
        <w:t>根据医保局提供的自负医疗费用达到一定标准的三类对象名单，民政局和属地乡镇（街道）应发挥乡镇（街道）村（社区）两级干部、基层网格员、民政助理员、社会组织、社会志愿者等力量，主动上门调查收入、家庭条件等情况，对符合因病致贫、低保及低边条件的，应及时帮助办理申请，民政局应及时予以认定。乡镇（街道）、村（社区）需强化主体责任，主动及时了解辖区内困难人员医疗费用情况和产生大额医疗费用的群众情况，及时将相关信息转交医保局和民政局，实现从“人找政策”到“政策找人”的转变。（民政局牵头，医保局、各乡镇&lt;街道&gt;按职责分工负责）</w:t>
      </w:r>
    </w:p>
    <w:p w14:paraId="0E3339EB">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进一步完善部门信息共享与动态管理机制。</w:t>
      </w:r>
      <w:r>
        <w:rPr>
          <w:rFonts w:hint="eastAsia" w:ascii="仿宋_GB2312" w:hAnsi="仿宋_GB2312" w:cs="仿宋_GB2312"/>
          <w:szCs w:val="32"/>
        </w:rPr>
        <w:t>各有关部门要将相关对象的详细信息及救助、补助信息每月定期固化，及时归集至大数据中心平台，做到数据正确，专人负责。大数据中心需及时数据清洗、比对，实现对监测对象的分类入库和动态管理。各单位通过智能系统查询救助数据，进行数据共享。（医保局牵头，民政局、农业农村局、卫生健康局、退役军人事务局、大数据中心、总工会、妇联、残联、红十字会按职责分工负责）</w:t>
      </w:r>
    </w:p>
    <w:p w14:paraId="2A89A6D4">
      <w:pPr>
        <w:pStyle w:val="21"/>
        <w:numPr>
          <w:ilvl w:val="0"/>
          <w:numId w:val="3"/>
        </w:numPr>
        <w:overflowPunct w:val="0"/>
        <w:ind w:left="0" w:firstLine="641"/>
        <w:rPr>
          <w:rFonts w:ascii="楷体_GB2312" w:hAnsi="楷体_GB2312" w:eastAsia="楷体_GB2312" w:cs="楷体_GB2312"/>
          <w:b/>
          <w:bCs/>
        </w:rPr>
      </w:pPr>
      <w:r>
        <w:rPr>
          <w:rFonts w:hint="eastAsia" w:ascii="楷体_GB2312" w:hAnsi="楷体_GB2312" w:eastAsia="楷体_GB2312" w:cs="楷体_GB2312"/>
          <w:b/>
          <w:bCs/>
        </w:rPr>
        <w:t>健全精准识别机制</w:t>
      </w:r>
    </w:p>
    <w:p w14:paraId="32B1285E">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建立自动标识提前介入。</w:t>
      </w:r>
      <w:r>
        <w:rPr>
          <w:rFonts w:hint="eastAsia" w:ascii="仿宋_GB2312" w:hAnsi="仿宋_GB2312" w:cs="仿宋_GB2312"/>
          <w:szCs w:val="32"/>
        </w:rPr>
        <w:t>通过信息系统改造，实现对人员类别标识，实时向定点医疗机构进行推送，实时在医生工作站进行提示。医疗机构应按照安全有效、经济适宜、保障基本的原则，优先选择同质优价治疗方案。</w:t>
      </w:r>
      <w:bookmarkStart w:id="2" w:name="_Hlk130045815"/>
      <w:r>
        <w:rPr>
          <w:rFonts w:hint="eastAsia" w:ascii="仿宋_GB2312" w:hAnsi="仿宋_GB2312" w:cs="仿宋_GB2312"/>
          <w:szCs w:val="32"/>
        </w:rPr>
        <w:t>（医保局牵头，卫生健康局配合）</w:t>
      </w:r>
    </w:p>
    <w:bookmarkEnd w:id="2"/>
    <w:p w14:paraId="41512828">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推动健康管理常态化。</w:t>
      </w:r>
      <w:r>
        <w:rPr>
          <w:rFonts w:hint="eastAsia" w:ascii="仿宋_GB2312" w:hAnsi="仿宋_GB2312" w:cs="仿宋_GB2312"/>
          <w:szCs w:val="32"/>
        </w:rPr>
        <w:t>规范家庭医生责任制，推进医疗救助服务工作和家庭医师签约服务有机结合，进一步加强家庭医生在慢病管理、健康知识方面的一对一宣传，指导做好自身健康管理。（卫生健康局牵头，医保局配合）</w:t>
      </w:r>
    </w:p>
    <w:p w14:paraId="7F186555">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深化医保改革。</w:t>
      </w:r>
      <w:r>
        <w:rPr>
          <w:rFonts w:hint="eastAsia" w:ascii="仿宋_GB2312" w:hAnsi="仿宋_GB2312" w:cs="仿宋_GB2312"/>
          <w:szCs w:val="32"/>
        </w:rPr>
        <w:t>深化医药服务供给侧改革，推动集中带量采购中选药品、国家谈判药品等政策落实，开展总额预算下复合式支付方式改革，推动医学检验检查结果互认。推动优质医疗资源扩容和均衡布局、完善医疗机构功能定位、规范诊疗行为，强化医保差别化支付政策、双向转诊服务等联动协同，促进分级诊疗。加强基层医疗卫生机构能力建设，提升基层医疗卫生服务水平，促进医疗资源均衡配置。（医保局牵头，卫生健康局配合）</w:t>
      </w:r>
    </w:p>
    <w:p w14:paraId="73AAC432">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提高医保服务。</w:t>
      </w:r>
      <w:r>
        <w:rPr>
          <w:rFonts w:hint="eastAsia" w:ascii="仿宋_GB2312" w:hAnsi="仿宋_GB2312" w:cs="仿宋_GB2312"/>
          <w:szCs w:val="32"/>
        </w:rPr>
        <w:t>推进医保公共服务事项掌上办网上办，实施一窗无差别通办，开展医保事项全时段线上自助服务。推进跨省异地就医门诊和住院费用直接结算，进一步扩大医疗救助和商业补充医疗保险的“一站式”结算覆盖范围。提高困难群众的医保服务获得感。（医保局）</w:t>
      </w:r>
    </w:p>
    <w:p w14:paraId="4F16A5FC">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强化监测分析。</w:t>
      </w:r>
      <w:r>
        <w:rPr>
          <w:rFonts w:hint="eastAsia" w:ascii="仿宋_GB2312" w:hAnsi="仿宋_GB2312" w:cs="仿宋_GB2312"/>
          <w:szCs w:val="32"/>
        </w:rPr>
        <w:t>开展医疗费用负担常态化智能排查，重点关注困难群众医疗费用综合保障率、高额医疗费用动态清零化解率和参保人员医疗费用个人负担率等指标参数。充分应用“浙里病贫共济”等场景应用，开展重点监测对象分布情况及高频高额药品耗材和诊疗项目排名，多维度分析高发疾病走势。实时掌控、精准分析参保人员就诊和费用结构等信息，提升基金支出和支付综合预警能力。（医保局牵头，卫生健康局、大数据中心按职责分工负责）</w:t>
      </w:r>
    </w:p>
    <w:p w14:paraId="260C528E">
      <w:pPr>
        <w:pStyle w:val="21"/>
        <w:numPr>
          <w:ilvl w:val="0"/>
          <w:numId w:val="3"/>
        </w:numPr>
        <w:overflowPunct w:val="0"/>
        <w:ind w:left="0" w:firstLine="641"/>
        <w:rPr>
          <w:rFonts w:ascii="楷体_GB2312" w:hAnsi="楷体_GB2312" w:eastAsia="楷体_GB2312" w:cs="楷体_GB2312"/>
          <w:b/>
          <w:bCs/>
        </w:rPr>
      </w:pPr>
      <w:r>
        <w:rPr>
          <w:rFonts w:hint="eastAsia" w:ascii="楷体_GB2312" w:hAnsi="楷体_GB2312" w:eastAsia="楷体_GB2312" w:cs="楷体_GB2312"/>
          <w:b/>
          <w:bCs/>
        </w:rPr>
        <w:t>健全梯次减负机制</w:t>
      </w:r>
    </w:p>
    <w:p w14:paraId="154552C4">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建立健全多层次医疗保障制度体系。</w:t>
      </w:r>
      <w:bookmarkStart w:id="3" w:name="_Hlk127904527"/>
      <w:r>
        <w:rPr>
          <w:rFonts w:hint="eastAsia" w:ascii="仿宋_GB2312" w:hAnsi="仿宋_GB2312" w:cs="仿宋_GB2312"/>
          <w:szCs w:val="32"/>
        </w:rPr>
        <w:t>建立健全</w:t>
      </w:r>
      <w:bookmarkEnd w:id="3"/>
      <w:r>
        <w:rPr>
          <w:rFonts w:hint="eastAsia" w:ascii="仿宋_GB2312" w:hAnsi="仿宋_GB2312" w:cs="仿宋_GB2312"/>
          <w:szCs w:val="32"/>
        </w:rPr>
        <w:t>以基本医疗保险为主体、大病保险为延伸、医疗救助为托底、商业健康保险等为补充的多层次医疗保障</w:t>
      </w:r>
      <w:bookmarkStart w:id="4" w:name="_Hlk127904537"/>
      <w:r>
        <w:rPr>
          <w:rFonts w:hint="eastAsia" w:ascii="仿宋_GB2312" w:hAnsi="仿宋_GB2312" w:cs="仿宋_GB2312"/>
          <w:szCs w:val="32"/>
        </w:rPr>
        <w:t>制度体系</w:t>
      </w:r>
      <w:bookmarkEnd w:id="4"/>
      <w:r>
        <w:rPr>
          <w:rFonts w:hint="eastAsia" w:ascii="仿宋_GB2312" w:hAnsi="仿宋_GB2312" w:cs="仿宋_GB2312"/>
          <w:szCs w:val="32"/>
        </w:rPr>
        <w:t>。强化基本医保主体保障功能，优化居家服务类诊疗项目，推动医保支付向居家养老医疗服务延伸。扩大生育保险覆盖面和支付范围，完善与优生优育密切相关的药品耗材和诊疗项目医保扶持政策。加大对特困、低保、低边和因病致贫返贫困难群众的政策倾斜力度，提高大病保险待遇水平，增强医疗救助托底保障功能，扩大惠民型商业补充医疗保险投保覆盖面。（医保局牵头，卫生健康局、银保监组按职责分工负责）</w:t>
      </w:r>
    </w:p>
    <w:p w14:paraId="553A7727">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巩固提高参保覆盖率。</w:t>
      </w:r>
      <w:r>
        <w:rPr>
          <w:rFonts w:hint="eastAsia" w:ascii="仿宋_GB2312" w:hAnsi="仿宋_GB2312" w:cs="仿宋_GB2312"/>
          <w:szCs w:val="32"/>
        </w:rPr>
        <w:t>推动职工和居民在就业地、常住地有序参保，按照国家、省和绍兴市规定，根据人口流动和参保需求变化，灵活调整救助对象参保缴费方式。重点加强对因病致贫返贫风险潜在对象参保缴费状态的监测，优化审核流程，实现智能纠错，确保参保全覆盖、待遇不中断。（医保局牵头，财政局、税务局、各乡镇&lt;街道&gt;按职责分工负责）</w:t>
      </w:r>
    </w:p>
    <w:p w14:paraId="0C3F5D21">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形成多方政策联动合力。</w:t>
      </w:r>
      <w:r>
        <w:rPr>
          <w:rFonts w:hint="eastAsia" w:ascii="仿宋_GB2312" w:hAnsi="仿宋_GB2312" w:cs="仿宋_GB2312"/>
          <w:szCs w:val="32"/>
        </w:rPr>
        <w:t>医保局负责构建因病致贫返贫防范长效机制，推动机制全面重塑和制度体系迭代升级；民政局负责特困、低保、低边等对象认定，支持慈善救助发展；财政局负责按规定做好资金支持；农业农村局负责低收入农户监测和信息共享；卫生健康局负责加强对医疗机构的行业管理，规范诊疗路径；税务局负责基本医保保费征缴、税收优惠政策落实工作；工会、妇联、残联、红十字会、慈善总会等组织按职责做好相关群体医疗互（补）助和大病困难帮扶；银保监组负责加强行业监管，规范商业健康保险发展。（医保局牵头，民政局、财政局、农业农村局、卫生健康局、退役军人事务局、总工会、妇联、残联、红十字会、税务局、银保监组按职责分工负责）</w:t>
      </w:r>
    </w:p>
    <w:p w14:paraId="595546CE">
      <w:pPr>
        <w:pStyle w:val="21"/>
        <w:numPr>
          <w:ilvl w:val="0"/>
          <w:numId w:val="3"/>
        </w:numPr>
        <w:overflowPunct w:val="0"/>
        <w:ind w:left="0" w:firstLine="641"/>
        <w:rPr>
          <w:rFonts w:ascii="楷体_GB2312" w:hAnsi="楷体_GB2312" w:eastAsia="楷体_GB2312" w:cs="楷体_GB2312"/>
          <w:b/>
          <w:bCs/>
        </w:rPr>
      </w:pPr>
      <w:r>
        <w:rPr>
          <w:rFonts w:hint="eastAsia" w:ascii="楷体_GB2312" w:hAnsi="楷体_GB2312" w:eastAsia="楷体_GB2312" w:cs="楷体_GB2312"/>
          <w:b/>
          <w:bCs/>
        </w:rPr>
        <w:t>健全保障兜底机制</w:t>
      </w:r>
    </w:p>
    <w:p w14:paraId="50B714FF">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建立高额医疗费用化解机制。</w:t>
      </w:r>
      <w:r>
        <w:rPr>
          <w:rFonts w:hint="eastAsia" w:ascii="仿宋_GB2312" w:hAnsi="仿宋_GB2312" w:cs="仿宋_GB2312"/>
          <w:szCs w:val="32"/>
        </w:rPr>
        <w:t>整合医疗保障、社会救助、慈善帮扶等资源，化解高额医疗费用负担问题，降低因病致贫返贫风险。建立多部门协同化解、市级与乡镇（街道）联动化解机制，支持社会力量参与大病救助，鼓励慈善组织和其他社会组织设立大病救助项目。（医保局牵头，民政局、财政局、卫生健康局、退役军人事务局、总工会、妇联、残联、红十字会、各乡镇&lt;街道&gt;按职责分工负责）</w:t>
      </w:r>
    </w:p>
    <w:p w14:paraId="5A41587A">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建立暖心无忧专项基金。</w:t>
      </w:r>
      <w:r>
        <w:rPr>
          <w:rFonts w:hint="eastAsia" w:ascii="仿宋_GB2312" w:hAnsi="仿宋_GB2312" w:cs="仿宋_GB2312"/>
          <w:szCs w:val="32"/>
        </w:rPr>
        <w:t>强化综合保障兜底机制，多渠道筹集建立市、乡镇（街道）两级暖心无忧专项基金，实现困难群众高额医疗费用动态清零。市级暖心无忧专项基金由财政每年安排预算100万元，慈善总会畅通社会力量参与暖心无忧基金渠道，向上市企业和其他爱心人士及组织等多途径募集社会资金，每年提供资金帮扶100万元以上，并逐年递增。对经多部门化解后自负医疗费用仍较大的困难人员，根据当年度资金筹集情况，实行适当比例和额度的补助。市级暖心无忧专项基金由医保部门管理，实行专款专用，其具体补助办法由医保部门和民政部门提出意见，提交因病致贫返贫防范长效机制跨部门专班会议审核通过。各乡镇（街道）应积极创造条件，同步设立相应基金，对经市级暖心无忧专项基金补助后仍自负医疗费用较大的困难人员，再给与适当比例的补助，补助结果报医保局与民政局备案。（医保局、民政局牵头，财政局、卫生健康局、退役军人事务局、总工会、妇联、残联、红十字会、各乡镇&lt;街道&gt;按职责分工负责）</w:t>
      </w:r>
    </w:p>
    <w:p w14:paraId="476F4FEE">
      <w:pPr>
        <w:pStyle w:val="21"/>
        <w:numPr>
          <w:ilvl w:val="0"/>
          <w:numId w:val="4"/>
        </w:numPr>
        <w:overflowPunct w:val="0"/>
        <w:ind w:left="0" w:firstLine="641"/>
        <w:rPr>
          <w:rFonts w:ascii="仿宋_GB2312" w:hAnsi="仿宋_GB2312" w:cs="仿宋_GB2312"/>
          <w:szCs w:val="32"/>
        </w:rPr>
      </w:pPr>
      <w:r>
        <w:rPr>
          <w:rFonts w:hint="eastAsia" w:ascii="仿宋_GB2312" w:hAnsi="仿宋_GB2312" w:cs="仿宋_GB2312"/>
          <w:b/>
          <w:bCs/>
          <w:szCs w:val="32"/>
        </w:rPr>
        <w:t>完善长效“造血式”帮扶机制。</w:t>
      </w:r>
      <w:r>
        <w:rPr>
          <w:rFonts w:hint="eastAsia" w:ascii="仿宋_GB2312" w:hAnsi="仿宋_GB2312" w:cs="仿宋_GB2312"/>
          <w:szCs w:val="32"/>
        </w:rPr>
        <w:t>加强对因病致贫返贫家庭的就业指导，鼓励引导因病致贫返贫家庭参与劳动和就业；大力培育低收入农户帮促基地，公益性岗位应当优先招用符合条件的救助家庭等就业困难人员；加强低收入农户干部结对帮促，完善干部月度帮扶机制，提升帮促工作扶贫、扶智、扶志效果。（人力社保局牵头，民政局、农业农村局、各乡镇&lt;街道&gt;按职责分工负责）</w:t>
      </w:r>
    </w:p>
    <w:p w14:paraId="0E81F6C6">
      <w:pPr>
        <w:pStyle w:val="4"/>
        <w:keepNext w:val="0"/>
        <w:keepLines w:val="0"/>
        <w:numPr>
          <w:ilvl w:val="0"/>
          <w:numId w:val="1"/>
        </w:numPr>
        <w:overflowPunct w:val="0"/>
        <w:spacing w:before="0" w:after="0" w:line="540" w:lineRule="exact"/>
        <w:ind w:left="0" w:firstLine="640" w:firstLineChars="200"/>
        <w:rPr>
          <w:b w:val="0"/>
          <w:bCs w:val="0"/>
          <w:sz w:val="32"/>
          <w:szCs w:val="32"/>
        </w:rPr>
      </w:pPr>
      <w:r>
        <w:rPr>
          <w:rFonts w:hint="eastAsia"/>
          <w:b w:val="0"/>
          <w:bCs w:val="0"/>
          <w:sz w:val="32"/>
          <w:szCs w:val="32"/>
        </w:rPr>
        <w:t>组织实施</w:t>
      </w:r>
    </w:p>
    <w:p w14:paraId="3672A676">
      <w:pPr>
        <w:pStyle w:val="21"/>
        <w:numPr>
          <w:ilvl w:val="0"/>
          <w:numId w:val="5"/>
        </w:numPr>
        <w:overflowPunct w:val="0"/>
        <w:ind w:left="0" w:firstLine="641"/>
        <w:rPr>
          <w:rFonts w:ascii="仿宋_GB2312" w:hAnsi="仿宋_GB2312" w:cs="仿宋_GB2312"/>
          <w:szCs w:val="32"/>
        </w:rPr>
      </w:pPr>
      <w:r>
        <w:rPr>
          <w:rFonts w:hint="eastAsia" w:ascii="仿宋_GB2312" w:hAnsi="仿宋_GB2312" w:cs="仿宋_GB2312"/>
          <w:b/>
          <w:bCs/>
          <w:szCs w:val="32"/>
        </w:rPr>
        <w:t>加强组织领导，建立工作专班。</w:t>
      </w:r>
      <w:r>
        <w:rPr>
          <w:rFonts w:hint="eastAsia" w:ascii="仿宋_GB2312" w:hAnsi="仿宋_GB2312" w:cs="仿宋_GB2312"/>
          <w:szCs w:val="32"/>
        </w:rPr>
        <w:t>由医保局牵头成立跨部门工作专班，不定期召开会议，传达上级要求，通报工作进展，研究专题改革事项，统筹推进各项工作。</w:t>
      </w:r>
    </w:p>
    <w:p w14:paraId="258D0B1C">
      <w:pPr>
        <w:pStyle w:val="21"/>
        <w:numPr>
          <w:ilvl w:val="0"/>
          <w:numId w:val="5"/>
        </w:numPr>
        <w:overflowPunct w:val="0"/>
        <w:ind w:left="0" w:firstLine="641"/>
        <w:rPr>
          <w:rFonts w:ascii="仿宋_GB2312" w:hAnsi="仿宋_GB2312" w:cs="仿宋_GB2312"/>
          <w:szCs w:val="32"/>
        </w:rPr>
      </w:pPr>
      <w:r>
        <w:rPr>
          <w:rFonts w:hint="eastAsia" w:ascii="仿宋_GB2312" w:hAnsi="仿宋_GB2312" w:cs="仿宋_GB2312"/>
          <w:b/>
          <w:bCs/>
          <w:szCs w:val="32"/>
        </w:rPr>
        <w:t>健全长效机制，制定工作清单。</w:t>
      </w:r>
      <w:r>
        <w:rPr>
          <w:rFonts w:hint="eastAsia" w:ascii="仿宋_GB2312" w:hAnsi="仿宋_GB2312" w:cs="仿宋_GB2312"/>
          <w:szCs w:val="32"/>
        </w:rPr>
        <w:t>围绕主动发现、精准识别、梯次减负、保障兜底四大主要任务，加快构建纵向接力、横向互补、多跨协同的因病致贫返贫防范长效机制，制定工作清单，按时完成各项任务要求。</w:t>
      </w:r>
    </w:p>
    <w:p w14:paraId="338C1FCF">
      <w:pPr>
        <w:pStyle w:val="21"/>
        <w:numPr>
          <w:ilvl w:val="0"/>
          <w:numId w:val="5"/>
        </w:numPr>
        <w:overflowPunct w:val="0"/>
        <w:ind w:left="0" w:firstLine="641"/>
        <w:rPr>
          <w:rFonts w:ascii="仿宋_GB2312" w:hAnsi="仿宋_GB2312" w:cs="仿宋_GB2312"/>
          <w:szCs w:val="32"/>
        </w:rPr>
      </w:pPr>
      <w:r>
        <w:rPr>
          <w:rFonts w:hint="eastAsia" w:ascii="仿宋_GB2312" w:hAnsi="仿宋_GB2312" w:cs="仿宋_GB2312"/>
          <w:b/>
          <w:bCs/>
          <w:szCs w:val="32"/>
        </w:rPr>
        <w:t>强化创新联动，形成工作合力。</w:t>
      </w:r>
      <w:r>
        <w:rPr>
          <w:rFonts w:hint="eastAsia" w:ascii="仿宋_GB2312" w:hAnsi="仿宋_GB2312" w:cs="仿宋_GB2312"/>
          <w:szCs w:val="32"/>
        </w:rPr>
        <w:t>相关部门要立足工作职责,主动作为、积极创新，出台因病致贫返贫防范长效机制配套政策，形成上下联动、齐抓共管的工作合力。</w:t>
      </w:r>
    </w:p>
    <w:p w14:paraId="079C8EC3">
      <w:pPr>
        <w:pStyle w:val="21"/>
        <w:numPr>
          <w:ilvl w:val="0"/>
          <w:numId w:val="5"/>
        </w:numPr>
        <w:overflowPunct w:val="0"/>
        <w:ind w:left="0" w:firstLine="641"/>
        <w:rPr>
          <w:rFonts w:ascii="仿宋_GB2312" w:hAnsi="仿宋_GB2312" w:cs="仿宋_GB2312"/>
          <w:szCs w:val="32"/>
        </w:rPr>
      </w:pPr>
      <w:r>
        <w:rPr>
          <w:rFonts w:hint="eastAsia" w:ascii="仿宋_GB2312" w:hAnsi="仿宋_GB2312" w:cs="仿宋_GB2312"/>
          <w:b/>
          <w:bCs/>
          <w:szCs w:val="32"/>
        </w:rPr>
        <w:t>加强督导宣传，营造良好氛围。</w:t>
      </w:r>
      <w:r>
        <w:rPr>
          <w:rFonts w:hint="eastAsia" w:ascii="仿宋_GB2312" w:hAnsi="仿宋_GB2312" w:cs="仿宋_GB2312"/>
          <w:szCs w:val="32"/>
        </w:rPr>
        <w:t>开展因病致贫返贫防范长效机制综合监测，加强信息动态管理，开展综合评价，强化督查激励。加强政策宣传解读，提高群众知晓率，及时回应社会关切，营造良好氛围。</w:t>
      </w:r>
    </w:p>
    <w:p w14:paraId="0DF4AB4A">
      <w:pPr>
        <w:overflowPunct w:val="0"/>
        <w:ind w:firstLine="640" w:firstLineChars="200"/>
        <w:rPr>
          <w:rFonts w:ascii="仿宋_GB2312" w:hAnsi="仿宋_GB2312" w:cs="仿宋_GB2312"/>
        </w:rPr>
      </w:pPr>
    </w:p>
    <w:p w14:paraId="797A26DF">
      <w:pPr>
        <w:overflowPunct w:val="0"/>
        <w:ind w:firstLine="640" w:firstLineChars="200"/>
        <w:rPr>
          <w:rFonts w:ascii="仿宋_GB2312" w:hAnsi="仿宋_GB2312" w:cs="仿宋_GB2312"/>
          <w:szCs w:val="32"/>
        </w:rPr>
      </w:pPr>
    </w:p>
    <w:p w14:paraId="09C5FE48">
      <w:pPr>
        <w:overflowPunct w:val="0"/>
        <w:ind w:firstLine="640" w:firstLineChars="200"/>
        <w:rPr>
          <w:rFonts w:ascii="仿宋_GB2312" w:hAnsi="仿宋_GB2312" w:cs="仿宋_GB2312"/>
          <w:szCs w:val="32"/>
        </w:rPr>
      </w:pPr>
    </w:p>
    <w:p w14:paraId="66272AF9">
      <w:pPr>
        <w:overflowPunct w:val="0"/>
        <w:ind w:firstLine="640" w:firstLineChars="200"/>
        <w:rPr>
          <w:rFonts w:ascii="仿宋_GB2312" w:hAnsi="仿宋_GB2312" w:cs="仿宋_GB2312"/>
          <w:szCs w:val="32"/>
        </w:rPr>
      </w:pPr>
      <w:r>
        <w:rPr>
          <w:rFonts w:hint="eastAsia" w:ascii="仿宋_GB2312" w:hAnsi="仿宋_GB2312" w:cs="仿宋_GB2312"/>
          <w:szCs w:val="32"/>
        </w:rPr>
        <w:t>附件：1.嵊州市因病致贫返贫防范长效机制指标体系</w:t>
      </w:r>
    </w:p>
    <w:p w14:paraId="090C5466">
      <w:pPr>
        <w:overflowPunct w:val="0"/>
        <w:adjustRightInd w:val="0"/>
        <w:snapToGrid w:val="0"/>
        <w:ind w:firstLine="1600" w:firstLineChars="500"/>
        <w:rPr>
          <w:rFonts w:ascii="仿宋_GB2312" w:hAnsi="仿宋_GB2312" w:cs="仿宋_GB2312"/>
          <w:szCs w:val="32"/>
        </w:rPr>
      </w:pPr>
      <w:r>
        <w:rPr>
          <w:rFonts w:hint="eastAsia" w:ascii="仿宋_GB2312" w:hAnsi="仿宋_GB2312" w:cs="仿宋_GB2312"/>
          <w:szCs w:val="32"/>
        </w:rPr>
        <w:t>2.嵊州市构建因病致贫返贫防范长效机制三年工作</w:t>
      </w:r>
    </w:p>
    <w:p w14:paraId="447865D7">
      <w:pPr>
        <w:overflowPunct w:val="0"/>
        <w:adjustRightInd w:val="0"/>
        <w:snapToGrid w:val="0"/>
        <w:ind w:firstLine="1920" w:firstLineChars="600"/>
        <w:rPr>
          <w:rFonts w:ascii="仿宋_GB2312" w:hAnsi="仿宋_GB2312" w:cs="仿宋_GB2312"/>
          <w:szCs w:val="32"/>
        </w:rPr>
      </w:pPr>
      <w:r>
        <w:rPr>
          <w:rFonts w:hint="eastAsia" w:ascii="仿宋_GB2312" w:hAnsi="仿宋_GB2312" w:cs="仿宋_GB2312"/>
          <w:szCs w:val="32"/>
        </w:rPr>
        <w:t>清单</w:t>
      </w:r>
    </w:p>
    <w:p w14:paraId="63F06088">
      <w:pPr>
        <w:overflowPunct w:val="0"/>
        <w:adjustRightInd w:val="0"/>
        <w:snapToGrid w:val="0"/>
        <w:ind w:firstLine="1600" w:firstLineChars="500"/>
        <w:rPr>
          <w:rFonts w:ascii="仿宋_GB2312" w:hAnsi="仿宋_GB2312" w:cs="仿宋_GB2312"/>
          <w:szCs w:val="32"/>
        </w:rPr>
      </w:pPr>
      <w:r>
        <w:rPr>
          <w:rFonts w:hint="eastAsia" w:ascii="仿宋_GB2312" w:hAnsi="仿宋_GB2312" w:cs="仿宋_GB2312"/>
          <w:szCs w:val="32"/>
        </w:rPr>
        <w:t>3.嵊州市暖心无忧基金补助办法（试行）</w:t>
      </w:r>
    </w:p>
    <w:p w14:paraId="49DCA13B">
      <w:pPr>
        <w:pStyle w:val="8"/>
        <w:overflowPunct w:val="0"/>
        <w:spacing w:after="0" w:line="500" w:lineRule="exact"/>
        <w:ind w:left="0" w:leftChars="0"/>
        <w:sectPr>
          <w:headerReference r:id="rId5" w:type="default"/>
          <w:footerReference r:id="rId6" w:type="default"/>
          <w:pgSz w:w="11906" w:h="16838"/>
          <w:pgMar w:top="1984" w:right="1474" w:bottom="1701" w:left="1587" w:header="851" w:footer="1417" w:gutter="0"/>
          <w:pgNumType w:fmt="numberInDash"/>
          <w:cols w:space="0" w:num="1"/>
          <w:docGrid w:type="lines" w:linePitch="449" w:charSpace="0"/>
        </w:sectPr>
      </w:pPr>
    </w:p>
    <w:p w14:paraId="5753306B">
      <w:pPr>
        <w:overflowPunct w:val="0"/>
        <w:adjustRightInd w:val="0"/>
        <w:snapToGrid w:val="0"/>
        <w:spacing w:line="600" w:lineRule="exac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1</w:t>
      </w:r>
    </w:p>
    <w:p w14:paraId="49665A28">
      <w:pPr>
        <w:pStyle w:val="8"/>
        <w:overflowPunct w:val="0"/>
        <w:ind w:left="1" w:leftChars="0" w:hanging="1"/>
        <w:jc w:val="center"/>
        <w:rPr>
          <w:rFonts w:eastAsia="方正小标宋简体"/>
          <w:bCs/>
          <w:kern w:val="2"/>
          <w:sz w:val="36"/>
          <w:szCs w:val="36"/>
        </w:rPr>
      </w:pPr>
      <w:r>
        <w:rPr>
          <w:rFonts w:hint="eastAsia" w:eastAsia="方正小标宋简体"/>
          <w:bCs/>
          <w:kern w:val="2"/>
          <w:sz w:val="36"/>
          <w:szCs w:val="36"/>
        </w:rPr>
        <w:t>嵊州市</w:t>
      </w:r>
      <w:r>
        <w:rPr>
          <w:rFonts w:eastAsia="方正小标宋简体"/>
          <w:bCs/>
          <w:kern w:val="2"/>
          <w:sz w:val="36"/>
          <w:szCs w:val="36"/>
        </w:rPr>
        <w:t>因病致贫返贫防范长效机制指标</w:t>
      </w:r>
      <w:r>
        <w:rPr>
          <w:rFonts w:hint="eastAsia" w:eastAsia="方正小标宋简体"/>
          <w:bCs/>
          <w:kern w:val="2"/>
          <w:sz w:val="36"/>
          <w:szCs w:val="36"/>
        </w:rPr>
        <w:t>体系</w:t>
      </w:r>
    </w:p>
    <w:tbl>
      <w:tblPr>
        <w:tblStyle w:val="13"/>
        <w:tblW w:w="14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1"/>
        <w:gridCol w:w="1083"/>
        <w:gridCol w:w="4592"/>
        <w:gridCol w:w="1079"/>
        <w:gridCol w:w="1079"/>
        <w:gridCol w:w="1079"/>
        <w:gridCol w:w="849"/>
        <w:gridCol w:w="4243"/>
      </w:tblGrid>
      <w:tr w14:paraId="79BF7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71" w:type="dxa"/>
            <w:tcBorders>
              <w:tl2br w:val="nil"/>
              <w:tr2bl w:val="nil"/>
            </w:tcBorders>
            <w:noWrap/>
            <w:vAlign w:val="center"/>
          </w:tcPr>
          <w:p w14:paraId="75D6F154">
            <w:pPr>
              <w:overflowPunct w:val="0"/>
              <w:adjustRightInd w:val="0"/>
              <w:snapToGrid w:val="0"/>
              <w:spacing w:line="240" w:lineRule="auto"/>
              <w:jc w:val="center"/>
              <w:textAlignment w:val="center"/>
              <w:rPr>
                <w:rFonts w:ascii="Times New Roman" w:hAnsi="Times New Roman" w:eastAsia="黑体" w:cs="Times New Roman"/>
                <w:b/>
                <w:sz w:val="21"/>
                <w:szCs w:val="21"/>
              </w:rPr>
            </w:pPr>
            <w:r>
              <w:rPr>
                <w:rFonts w:hint="eastAsia" w:ascii="Times New Roman" w:hAnsi="Times New Roman" w:eastAsia="黑体" w:cs="Times New Roman"/>
                <w:b/>
                <w:kern w:val="0"/>
                <w:sz w:val="21"/>
                <w:szCs w:val="21"/>
                <w:lang w:bidi="ar"/>
              </w:rPr>
              <w:t>序</w:t>
            </w:r>
            <w:r>
              <w:rPr>
                <w:rFonts w:ascii="Times New Roman" w:hAnsi="Times New Roman" w:eastAsia="黑体" w:cs="Times New Roman"/>
                <w:b/>
                <w:kern w:val="0"/>
                <w:sz w:val="21"/>
                <w:szCs w:val="21"/>
                <w:lang w:bidi="ar"/>
              </w:rPr>
              <w:t>号</w:t>
            </w:r>
          </w:p>
        </w:tc>
        <w:tc>
          <w:tcPr>
            <w:tcW w:w="1083" w:type="dxa"/>
            <w:tcBorders>
              <w:tl2br w:val="nil"/>
              <w:tr2bl w:val="nil"/>
            </w:tcBorders>
            <w:noWrap/>
            <w:vAlign w:val="center"/>
          </w:tcPr>
          <w:p w14:paraId="6C0D91DD">
            <w:pPr>
              <w:overflowPunct w:val="0"/>
              <w:adjustRightInd w:val="0"/>
              <w:snapToGrid w:val="0"/>
              <w:spacing w:line="240" w:lineRule="auto"/>
              <w:jc w:val="center"/>
              <w:textAlignment w:val="center"/>
              <w:rPr>
                <w:rFonts w:ascii="Times New Roman" w:hAnsi="Times New Roman" w:eastAsia="黑体" w:cs="Times New Roman"/>
                <w:b/>
                <w:sz w:val="21"/>
                <w:szCs w:val="21"/>
              </w:rPr>
            </w:pPr>
            <w:r>
              <w:rPr>
                <w:rFonts w:ascii="Times New Roman" w:hAnsi="Times New Roman" w:eastAsia="黑体" w:cs="Times New Roman"/>
                <w:b/>
                <w:kern w:val="0"/>
                <w:sz w:val="21"/>
                <w:szCs w:val="21"/>
                <w:lang w:bidi="ar"/>
              </w:rPr>
              <w:t>一级指标</w:t>
            </w:r>
          </w:p>
        </w:tc>
        <w:tc>
          <w:tcPr>
            <w:tcW w:w="4592" w:type="dxa"/>
            <w:tcBorders>
              <w:tl2br w:val="nil"/>
              <w:tr2bl w:val="nil"/>
            </w:tcBorders>
            <w:noWrap/>
            <w:vAlign w:val="center"/>
          </w:tcPr>
          <w:p w14:paraId="7DD5779C">
            <w:pPr>
              <w:overflowPunct w:val="0"/>
              <w:adjustRightInd w:val="0"/>
              <w:snapToGrid w:val="0"/>
              <w:spacing w:line="240" w:lineRule="auto"/>
              <w:jc w:val="center"/>
              <w:textAlignment w:val="center"/>
              <w:rPr>
                <w:rFonts w:ascii="Times New Roman" w:hAnsi="Times New Roman" w:eastAsia="黑体" w:cs="Times New Roman"/>
                <w:b/>
                <w:sz w:val="21"/>
                <w:szCs w:val="21"/>
              </w:rPr>
            </w:pPr>
            <w:r>
              <w:rPr>
                <w:rFonts w:ascii="Times New Roman" w:hAnsi="Times New Roman" w:eastAsia="黑体" w:cs="Times New Roman"/>
                <w:b/>
                <w:kern w:val="0"/>
                <w:sz w:val="21"/>
                <w:szCs w:val="21"/>
                <w:lang w:bidi="ar"/>
              </w:rPr>
              <w:t>二级指标</w:t>
            </w:r>
          </w:p>
        </w:tc>
        <w:tc>
          <w:tcPr>
            <w:tcW w:w="1079" w:type="dxa"/>
            <w:tcBorders>
              <w:right w:val="single" w:color="auto" w:sz="4" w:space="0"/>
              <w:tl2br w:val="nil"/>
              <w:tr2bl w:val="nil"/>
            </w:tcBorders>
            <w:noWrap/>
            <w:vAlign w:val="center"/>
          </w:tcPr>
          <w:p w14:paraId="67C23D2F">
            <w:pPr>
              <w:pStyle w:val="27"/>
              <w:overflowPunct w:val="0"/>
              <w:adjustRightInd w:val="0"/>
              <w:snapToGrid w:val="0"/>
              <w:ind w:firstLine="0" w:firstLineChars="0"/>
              <w:rPr>
                <w:rFonts w:hint="default" w:ascii="Times New Roman" w:hAnsi="Times New Roman" w:eastAsia="黑体"/>
                <w:bCs w:val="0"/>
                <w:lang w:bidi="ar"/>
              </w:rPr>
            </w:pPr>
            <w:r>
              <w:rPr>
                <w:rFonts w:hint="default" w:ascii="Times New Roman" w:hAnsi="Times New Roman" w:eastAsia="黑体"/>
                <w:bCs w:val="0"/>
                <w:lang w:bidi="ar"/>
              </w:rPr>
              <w:t>202</w:t>
            </w:r>
            <w:r>
              <w:rPr>
                <w:rFonts w:ascii="Times New Roman" w:hAnsi="Times New Roman" w:eastAsia="黑体"/>
                <w:bCs w:val="0"/>
                <w:lang w:bidi="ar"/>
              </w:rPr>
              <w:t>3</w:t>
            </w:r>
            <w:r>
              <w:rPr>
                <w:rFonts w:hint="default" w:ascii="Times New Roman" w:hAnsi="Times New Roman" w:eastAsia="黑体"/>
                <w:bCs w:val="0"/>
                <w:lang w:bidi="ar"/>
              </w:rPr>
              <w:t>年</w:t>
            </w:r>
          </w:p>
        </w:tc>
        <w:tc>
          <w:tcPr>
            <w:tcW w:w="1079" w:type="dxa"/>
            <w:tcBorders>
              <w:right w:val="single" w:color="auto" w:sz="4" w:space="0"/>
              <w:tl2br w:val="nil"/>
              <w:tr2bl w:val="nil"/>
            </w:tcBorders>
            <w:noWrap/>
            <w:vAlign w:val="center"/>
          </w:tcPr>
          <w:p w14:paraId="56551EC8">
            <w:pPr>
              <w:pStyle w:val="27"/>
              <w:overflowPunct w:val="0"/>
              <w:adjustRightInd w:val="0"/>
              <w:snapToGrid w:val="0"/>
              <w:ind w:firstLine="0" w:firstLineChars="0"/>
              <w:rPr>
                <w:rFonts w:hint="default" w:ascii="Times New Roman" w:hAnsi="Times New Roman" w:eastAsia="黑体"/>
                <w:bCs w:val="0"/>
                <w:lang w:bidi="ar"/>
              </w:rPr>
            </w:pPr>
            <w:r>
              <w:rPr>
                <w:rFonts w:hint="default" w:ascii="Times New Roman" w:hAnsi="Times New Roman" w:eastAsia="黑体"/>
                <w:bCs w:val="0"/>
                <w:lang w:bidi="ar"/>
              </w:rPr>
              <w:t>202</w:t>
            </w:r>
            <w:r>
              <w:rPr>
                <w:rFonts w:ascii="Times New Roman" w:hAnsi="Times New Roman" w:eastAsia="黑体"/>
                <w:bCs w:val="0"/>
                <w:lang w:bidi="ar"/>
              </w:rPr>
              <w:t>4</w:t>
            </w:r>
            <w:r>
              <w:rPr>
                <w:rFonts w:hint="default" w:ascii="Times New Roman" w:hAnsi="Times New Roman" w:eastAsia="黑体"/>
                <w:bCs w:val="0"/>
                <w:lang w:bidi="ar"/>
              </w:rPr>
              <w:t>年</w:t>
            </w:r>
          </w:p>
        </w:tc>
        <w:tc>
          <w:tcPr>
            <w:tcW w:w="1079" w:type="dxa"/>
            <w:tcBorders>
              <w:right w:val="single" w:color="auto" w:sz="4" w:space="0"/>
              <w:tl2br w:val="nil"/>
              <w:tr2bl w:val="nil"/>
            </w:tcBorders>
            <w:noWrap/>
            <w:vAlign w:val="center"/>
          </w:tcPr>
          <w:p w14:paraId="5A566655">
            <w:pPr>
              <w:pStyle w:val="27"/>
              <w:overflowPunct w:val="0"/>
              <w:adjustRightInd w:val="0"/>
              <w:snapToGrid w:val="0"/>
              <w:ind w:firstLine="0" w:firstLineChars="0"/>
              <w:rPr>
                <w:rFonts w:hint="default" w:ascii="Times New Roman" w:hAnsi="Times New Roman" w:eastAsia="黑体"/>
                <w:bCs w:val="0"/>
                <w:lang w:bidi="ar"/>
              </w:rPr>
            </w:pPr>
            <w:r>
              <w:rPr>
                <w:rFonts w:hint="default" w:ascii="Times New Roman" w:hAnsi="Times New Roman" w:eastAsia="黑体"/>
                <w:bCs w:val="0"/>
                <w:lang w:bidi="ar"/>
              </w:rPr>
              <w:t>2025年</w:t>
            </w:r>
          </w:p>
        </w:tc>
        <w:tc>
          <w:tcPr>
            <w:tcW w:w="849" w:type="dxa"/>
            <w:tcBorders>
              <w:left w:val="single" w:color="auto" w:sz="4" w:space="0"/>
              <w:tl2br w:val="nil"/>
              <w:tr2bl w:val="nil"/>
            </w:tcBorders>
            <w:noWrap/>
            <w:vAlign w:val="center"/>
          </w:tcPr>
          <w:p w14:paraId="33979913">
            <w:pPr>
              <w:pStyle w:val="27"/>
              <w:overflowPunct w:val="0"/>
              <w:adjustRightInd w:val="0"/>
              <w:snapToGrid w:val="0"/>
              <w:ind w:firstLine="0" w:firstLineChars="0"/>
              <w:rPr>
                <w:rFonts w:hint="default" w:ascii="Times New Roman" w:hAnsi="Times New Roman" w:eastAsia="黑体"/>
                <w:bCs w:val="0"/>
                <w:lang w:bidi="ar"/>
              </w:rPr>
            </w:pPr>
            <w:r>
              <w:rPr>
                <w:rFonts w:hint="default" w:ascii="Times New Roman" w:hAnsi="Times New Roman" w:eastAsia="黑体"/>
                <w:bCs w:val="0"/>
                <w:lang w:bidi="ar"/>
              </w:rPr>
              <w:t>属性</w:t>
            </w:r>
          </w:p>
        </w:tc>
        <w:tc>
          <w:tcPr>
            <w:tcW w:w="4243" w:type="dxa"/>
            <w:tcBorders>
              <w:tl2br w:val="nil"/>
              <w:tr2bl w:val="nil"/>
            </w:tcBorders>
            <w:noWrap/>
            <w:vAlign w:val="center"/>
          </w:tcPr>
          <w:p w14:paraId="0F341AAA">
            <w:pPr>
              <w:pStyle w:val="27"/>
              <w:overflowPunct w:val="0"/>
              <w:adjustRightInd w:val="0"/>
              <w:snapToGrid w:val="0"/>
              <w:ind w:firstLine="0" w:firstLineChars="0"/>
              <w:rPr>
                <w:rFonts w:hint="default" w:ascii="Times New Roman" w:hAnsi="Times New Roman" w:eastAsia="黑体"/>
                <w:bCs w:val="0"/>
                <w:lang w:bidi="ar"/>
              </w:rPr>
            </w:pPr>
            <w:r>
              <w:rPr>
                <w:rFonts w:ascii="Times New Roman" w:hAnsi="Times New Roman" w:eastAsia="黑体"/>
                <w:bCs w:val="0"/>
                <w:lang w:bidi="ar"/>
              </w:rPr>
              <w:t>责任部门</w:t>
            </w:r>
          </w:p>
        </w:tc>
      </w:tr>
      <w:tr w14:paraId="6A891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471" w:type="dxa"/>
            <w:tcBorders>
              <w:tl2br w:val="nil"/>
              <w:tr2bl w:val="nil"/>
            </w:tcBorders>
            <w:noWrap/>
            <w:vAlign w:val="center"/>
          </w:tcPr>
          <w:p w14:paraId="2127C467">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1</w:t>
            </w:r>
          </w:p>
        </w:tc>
        <w:tc>
          <w:tcPr>
            <w:tcW w:w="1083" w:type="dxa"/>
            <w:vMerge w:val="restart"/>
            <w:tcBorders>
              <w:tl2br w:val="nil"/>
              <w:tr2bl w:val="nil"/>
            </w:tcBorders>
            <w:noWrap/>
            <w:vAlign w:val="center"/>
          </w:tcPr>
          <w:p w14:paraId="1214CADB">
            <w:pPr>
              <w:overflowPunct w:val="0"/>
              <w:adjustRightInd w:val="0"/>
              <w:snapToGrid w:val="0"/>
              <w:spacing w:line="240" w:lineRule="auto"/>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参保覆盖</w:t>
            </w:r>
          </w:p>
        </w:tc>
        <w:tc>
          <w:tcPr>
            <w:tcW w:w="4592" w:type="dxa"/>
            <w:tcBorders>
              <w:tl2br w:val="nil"/>
              <w:tr2bl w:val="nil"/>
            </w:tcBorders>
            <w:noWrap/>
            <w:vAlign w:val="center"/>
          </w:tcPr>
          <w:p w14:paraId="407A0582">
            <w:pPr>
              <w:overflowPunct w:val="0"/>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资助困难群众参加基本医疗保险率（%）</w:t>
            </w:r>
          </w:p>
        </w:tc>
        <w:tc>
          <w:tcPr>
            <w:tcW w:w="1079" w:type="dxa"/>
            <w:tcBorders>
              <w:right w:val="single" w:color="auto" w:sz="4" w:space="0"/>
              <w:tl2br w:val="nil"/>
              <w:tr2bl w:val="nil"/>
            </w:tcBorders>
            <w:noWrap/>
            <w:vAlign w:val="center"/>
          </w:tcPr>
          <w:p w14:paraId="57C44E60">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100</w:t>
            </w:r>
          </w:p>
        </w:tc>
        <w:tc>
          <w:tcPr>
            <w:tcW w:w="1079" w:type="dxa"/>
            <w:tcBorders>
              <w:right w:val="single" w:color="auto" w:sz="4" w:space="0"/>
              <w:tl2br w:val="nil"/>
              <w:tr2bl w:val="nil"/>
            </w:tcBorders>
            <w:noWrap/>
            <w:vAlign w:val="center"/>
          </w:tcPr>
          <w:p w14:paraId="760BD1A4">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100</w:t>
            </w:r>
          </w:p>
        </w:tc>
        <w:tc>
          <w:tcPr>
            <w:tcW w:w="1079" w:type="dxa"/>
            <w:tcBorders>
              <w:right w:val="single" w:color="auto" w:sz="4" w:space="0"/>
              <w:tl2br w:val="nil"/>
              <w:tr2bl w:val="nil"/>
            </w:tcBorders>
            <w:noWrap/>
            <w:vAlign w:val="center"/>
          </w:tcPr>
          <w:p w14:paraId="438AD595">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100</w:t>
            </w:r>
          </w:p>
        </w:tc>
        <w:tc>
          <w:tcPr>
            <w:tcW w:w="849" w:type="dxa"/>
            <w:tcBorders>
              <w:left w:val="single" w:color="auto" w:sz="4" w:space="0"/>
              <w:tl2br w:val="nil"/>
              <w:tr2bl w:val="nil"/>
            </w:tcBorders>
            <w:noWrap/>
            <w:vAlign w:val="center"/>
          </w:tcPr>
          <w:p w14:paraId="4CCD7A86">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约束性</w:t>
            </w:r>
          </w:p>
        </w:tc>
        <w:tc>
          <w:tcPr>
            <w:tcW w:w="4243" w:type="dxa"/>
            <w:tcBorders>
              <w:tl2br w:val="nil"/>
              <w:tr2bl w:val="nil"/>
            </w:tcBorders>
            <w:noWrap/>
            <w:vAlign w:val="center"/>
          </w:tcPr>
          <w:p w14:paraId="770E7A96">
            <w:pPr>
              <w:overflowPunct w:val="0"/>
              <w:adjustRightInd w:val="0"/>
              <w:snapToGrid w:val="0"/>
              <w:spacing w:line="240" w:lineRule="auto"/>
              <w:jc w:val="center"/>
              <w:rPr>
                <w:rFonts w:ascii="仿宋_GB2312" w:hAnsi="仿宋_GB2312" w:cs="仿宋_GB2312"/>
                <w:snapToGrid w:val="0"/>
                <w:sz w:val="21"/>
                <w:szCs w:val="21"/>
                <w:lang w:bidi="ar"/>
              </w:rPr>
            </w:pPr>
            <w:r>
              <w:rPr>
                <w:rFonts w:hint="eastAsia" w:ascii="仿宋_GB2312" w:hAnsi="仿宋_GB2312" w:cs="仿宋_GB2312"/>
                <w:snapToGrid w:val="0"/>
                <w:sz w:val="21"/>
                <w:szCs w:val="21"/>
                <w:lang w:bidi="ar"/>
              </w:rPr>
              <w:t>医保局、财政局、民政局、</w:t>
            </w:r>
          </w:p>
          <w:p w14:paraId="301C1652">
            <w:pPr>
              <w:overflowPunct w:val="0"/>
              <w:adjustRightInd w:val="0"/>
              <w:snapToGrid w:val="0"/>
              <w:spacing w:line="240" w:lineRule="auto"/>
              <w:jc w:val="center"/>
              <w:rPr>
                <w:rFonts w:ascii="仿宋_GB2312" w:hAnsi="仿宋_GB2312" w:cs="仿宋_GB2312"/>
                <w:sz w:val="21"/>
                <w:szCs w:val="21"/>
                <w:lang w:bidi="ar"/>
              </w:rPr>
            </w:pPr>
            <w:r>
              <w:rPr>
                <w:rFonts w:hint="eastAsia" w:ascii="仿宋_GB2312" w:hAnsi="仿宋_GB2312" w:cs="仿宋_GB2312"/>
                <w:snapToGrid w:val="0"/>
                <w:sz w:val="21"/>
                <w:szCs w:val="21"/>
                <w:lang w:bidi="ar"/>
              </w:rPr>
              <w:t>退役军人事务局、残联</w:t>
            </w:r>
          </w:p>
        </w:tc>
      </w:tr>
      <w:tr w14:paraId="0B42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471" w:type="dxa"/>
            <w:tcBorders>
              <w:tl2br w:val="nil"/>
              <w:tr2bl w:val="nil"/>
            </w:tcBorders>
            <w:noWrap/>
            <w:vAlign w:val="center"/>
          </w:tcPr>
          <w:p w14:paraId="29F17A32">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2</w:t>
            </w:r>
          </w:p>
        </w:tc>
        <w:tc>
          <w:tcPr>
            <w:tcW w:w="1083" w:type="dxa"/>
            <w:vMerge w:val="continue"/>
            <w:tcBorders>
              <w:tl2br w:val="nil"/>
              <w:tr2bl w:val="nil"/>
            </w:tcBorders>
            <w:noWrap/>
            <w:vAlign w:val="center"/>
          </w:tcPr>
          <w:p w14:paraId="43205708">
            <w:pPr>
              <w:overflowPunct w:val="0"/>
              <w:adjustRightInd w:val="0"/>
              <w:snapToGrid w:val="0"/>
              <w:spacing w:line="240" w:lineRule="auto"/>
              <w:jc w:val="center"/>
              <w:textAlignment w:val="center"/>
              <w:rPr>
                <w:rFonts w:ascii="仿宋_GB2312" w:hAnsi="仿宋_GB2312" w:cs="仿宋_GB2312"/>
                <w:bCs/>
                <w:kern w:val="0"/>
                <w:sz w:val="21"/>
                <w:szCs w:val="21"/>
                <w:lang w:bidi="ar"/>
              </w:rPr>
            </w:pPr>
          </w:p>
        </w:tc>
        <w:tc>
          <w:tcPr>
            <w:tcW w:w="4592" w:type="dxa"/>
            <w:tcBorders>
              <w:tl2br w:val="nil"/>
              <w:tr2bl w:val="nil"/>
            </w:tcBorders>
            <w:noWrap/>
            <w:vAlign w:val="center"/>
          </w:tcPr>
          <w:p w14:paraId="46DD0C66">
            <w:pPr>
              <w:overflowPunct w:val="0"/>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lang w:bidi="ar"/>
              </w:rPr>
              <w:t>惠民型商业补充医疗保险投保率（%）</w:t>
            </w:r>
          </w:p>
        </w:tc>
        <w:tc>
          <w:tcPr>
            <w:tcW w:w="1079" w:type="dxa"/>
            <w:tcBorders>
              <w:right w:val="single" w:color="auto" w:sz="4" w:space="0"/>
              <w:tl2br w:val="nil"/>
              <w:tr2bl w:val="nil"/>
            </w:tcBorders>
            <w:noWrap/>
            <w:vAlign w:val="center"/>
          </w:tcPr>
          <w:p w14:paraId="3E1841CF">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50</w:t>
            </w:r>
          </w:p>
        </w:tc>
        <w:tc>
          <w:tcPr>
            <w:tcW w:w="1079" w:type="dxa"/>
            <w:tcBorders>
              <w:right w:val="single" w:color="auto" w:sz="4" w:space="0"/>
              <w:tl2br w:val="nil"/>
              <w:tr2bl w:val="nil"/>
            </w:tcBorders>
            <w:noWrap/>
            <w:vAlign w:val="center"/>
          </w:tcPr>
          <w:p w14:paraId="5BAD68A5">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50</w:t>
            </w:r>
          </w:p>
        </w:tc>
        <w:tc>
          <w:tcPr>
            <w:tcW w:w="1079" w:type="dxa"/>
            <w:tcBorders>
              <w:right w:val="single" w:color="auto" w:sz="4" w:space="0"/>
              <w:tl2br w:val="nil"/>
              <w:tr2bl w:val="nil"/>
            </w:tcBorders>
            <w:noWrap/>
            <w:vAlign w:val="center"/>
          </w:tcPr>
          <w:p w14:paraId="079CBB21">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50</w:t>
            </w:r>
          </w:p>
        </w:tc>
        <w:tc>
          <w:tcPr>
            <w:tcW w:w="849" w:type="dxa"/>
            <w:tcBorders>
              <w:left w:val="single" w:color="auto" w:sz="4" w:space="0"/>
              <w:tl2br w:val="nil"/>
              <w:tr2bl w:val="nil"/>
            </w:tcBorders>
            <w:noWrap/>
            <w:vAlign w:val="center"/>
          </w:tcPr>
          <w:p w14:paraId="02486AE8">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预期性</w:t>
            </w:r>
          </w:p>
        </w:tc>
        <w:tc>
          <w:tcPr>
            <w:tcW w:w="4243" w:type="dxa"/>
            <w:tcBorders>
              <w:tl2br w:val="nil"/>
              <w:tr2bl w:val="nil"/>
            </w:tcBorders>
            <w:noWrap/>
            <w:vAlign w:val="center"/>
          </w:tcPr>
          <w:p w14:paraId="19155459">
            <w:pPr>
              <w:overflowPunct w:val="0"/>
              <w:adjustRightInd w:val="0"/>
              <w:snapToGrid w:val="0"/>
              <w:spacing w:line="240" w:lineRule="auto"/>
              <w:jc w:val="center"/>
              <w:rPr>
                <w:rFonts w:ascii="仿宋_GB2312" w:hAnsi="仿宋_GB2312" w:cs="仿宋_GB2312"/>
                <w:sz w:val="21"/>
                <w:szCs w:val="21"/>
                <w:lang w:bidi="ar"/>
              </w:rPr>
            </w:pPr>
            <w:r>
              <w:rPr>
                <w:rFonts w:hint="eastAsia" w:ascii="仿宋_GB2312" w:hAnsi="仿宋_GB2312" w:cs="仿宋_GB2312"/>
                <w:snapToGrid w:val="0"/>
                <w:sz w:val="21"/>
                <w:szCs w:val="21"/>
                <w:lang w:bidi="ar"/>
              </w:rPr>
              <w:t>医保局、银保监组</w:t>
            </w:r>
          </w:p>
        </w:tc>
      </w:tr>
      <w:tr w14:paraId="72028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1" w:type="dxa"/>
            <w:tcBorders>
              <w:tl2br w:val="nil"/>
              <w:tr2bl w:val="nil"/>
            </w:tcBorders>
            <w:noWrap/>
            <w:vAlign w:val="center"/>
          </w:tcPr>
          <w:p w14:paraId="6520285F">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3</w:t>
            </w:r>
          </w:p>
        </w:tc>
        <w:tc>
          <w:tcPr>
            <w:tcW w:w="1083" w:type="dxa"/>
            <w:vMerge w:val="restart"/>
            <w:tcBorders>
              <w:tl2br w:val="nil"/>
              <w:tr2bl w:val="nil"/>
            </w:tcBorders>
            <w:noWrap/>
            <w:vAlign w:val="center"/>
          </w:tcPr>
          <w:p w14:paraId="35763564">
            <w:pPr>
              <w:overflowPunct w:val="0"/>
              <w:adjustRightInd w:val="0"/>
              <w:snapToGrid w:val="0"/>
              <w:spacing w:line="240" w:lineRule="auto"/>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精准识别</w:t>
            </w:r>
          </w:p>
        </w:tc>
        <w:tc>
          <w:tcPr>
            <w:tcW w:w="4592" w:type="dxa"/>
            <w:tcBorders>
              <w:tl2br w:val="nil"/>
              <w:tr2bl w:val="nil"/>
            </w:tcBorders>
            <w:noWrap/>
            <w:vAlign w:val="center"/>
          </w:tcPr>
          <w:p w14:paraId="3EA3A550">
            <w:pPr>
              <w:pStyle w:val="12"/>
              <w:overflowPunct w:val="0"/>
              <w:adjustRightInd w:val="0"/>
              <w:snapToGrid w:val="0"/>
              <w:spacing w:before="0" w:beforeAutospacing="0" w:after="0" w:afterAutospacing="0"/>
              <w:jc w:val="both"/>
              <w:rPr>
                <w:rFonts w:eastAsia="仿宋_GB2312"/>
                <w:kern w:val="2"/>
                <w:sz w:val="21"/>
                <w:szCs w:val="21"/>
                <w:lang w:bidi="ar"/>
              </w:rPr>
            </w:pPr>
            <w:r>
              <w:rPr>
                <w:rFonts w:eastAsia="仿宋_GB2312"/>
                <w:kern w:val="2"/>
                <w:sz w:val="21"/>
                <w:szCs w:val="21"/>
                <w:lang w:bidi="ar"/>
              </w:rPr>
              <w:t>困难群众医疗费用个人负担率（%）</w:t>
            </w:r>
          </w:p>
        </w:tc>
        <w:tc>
          <w:tcPr>
            <w:tcW w:w="1079" w:type="dxa"/>
            <w:tcBorders>
              <w:right w:val="single" w:color="auto" w:sz="4" w:space="0"/>
              <w:tl2br w:val="nil"/>
              <w:tr2bl w:val="nil"/>
            </w:tcBorders>
            <w:noWrap/>
            <w:vAlign w:val="center"/>
          </w:tcPr>
          <w:p w14:paraId="4B1DCB20">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&lt;</w:t>
            </w:r>
            <w:r>
              <w:rPr>
                <w:rFonts w:hint="eastAsia" w:ascii="Times New Roman" w:hAnsi="Times New Roman" w:cs="Times New Roman"/>
                <w:sz w:val="21"/>
                <w:szCs w:val="21"/>
                <w:lang w:bidi="ar"/>
              </w:rPr>
              <w:t>18</w:t>
            </w:r>
          </w:p>
        </w:tc>
        <w:tc>
          <w:tcPr>
            <w:tcW w:w="1079" w:type="dxa"/>
            <w:tcBorders>
              <w:right w:val="single" w:color="auto" w:sz="4" w:space="0"/>
              <w:tl2br w:val="nil"/>
              <w:tr2bl w:val="nil"/>
            </w:tcBorders>
            <w:noWrap/>
            <w:vAlign w:val="center"/>
          </w:tcPr>
          <w:p w14:paraId="39114E9B">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&lt;</w:t>
            </w:r>
            <w:r>
              <w:rPr>
                <w:rFonts w:hint="eastAsia" w:ascii="Times New Roman" w:hAnsi="Times New Roman" w:cs="Times New Roman"/>
                <w:sz w:val="21"/>
                <w:szCs w:val="21"/>
                <w:lang w:bidi="ar"/>
              </w:rPr>
              <w:t>17</w:t>
            </w:r>
          </w:p>
        </w:tc>
        <w:tc>
          <w:tcPr>
            <w:tcW w:w="1079" w:type="dxa"/>
            <w:tcBorders>
              <w:right w:val="single" w:color="auto" w:sz="4" w:space="0"/>
              <w:tl2br w:val="nil"/>
              <w:tr2bl w:val="nil"/>
            </w:tcBorders>
            <w:noWrap/>
            <w:vAlign w:val="center"/>
          </w:tcPr>
          <w:p w14:paraId="426F5877">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&lt;15</w:t>
            </w:r>
          </w:p>
        </w:tc>
        <w:tc>
          <w:tcPr>
            <w:tcW w:w="849" w:type="dxa"/>
            <w:tcBorders>
              <w:left w:val="single" w:color="auto" w:sz="4" w:space="0"/>
              <w:tl2br w:val="nil"/>
              <w:tr2bl w:val="nil"/>
            </w:tcBorders>
            <w:noWrap/>
            <w:vAlign w:val="center"/>
          </w:tcPr>
          <w:p w14:paraId="48474FCB">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预期性</w:t>
            </w:r>
          </w:p>
        </w:tc>
        <w:tc>
          <w:tcPr>
            <w:tcW w:w="4243" w:type="dxa"/>
            <w:tcBorders>
              <w:tl2br w:val="nil"/>
              <w:tr2bl w:val="nil"/>
            </w:tcBorders>
            <w:noWrap/>
            <w:vAlign w:val="center"/>
          </w:tcPr>
          <w:p w14:paraId="057FF546">
            <w:pPr>
              <w:overflowPunct w:val="0"/>
              <w:adjustRightInd w:val="0"/>
              <w:snapToGrid w:val="0"/>
              <w:spacing w:line="240" w:lineRule="auto"/>
              <w:jc w:val="center"/>
              <w:rPr>
                <w:rFonts w:ascii="仿宋_GB2312" w:hAnsi="仿宋_GB2312" w:cs="仿宋_GB2312"/>
                <w:sz w:val="21"/>
                <w:szCs w:val="21"/>
                <w:lang w:bidi="ar"/>
              </w:rPr>
            </w:pPr>
            <w:r>
              <w:rPr>
                <w:rFonts w:hint="eastAsia" w:ascii="仿宋_GB2312" w:hAnsi="仿宋_GB2312" w:cs="仿宋_GB2312"/>
                <w:snapToGrid w:val="0"/>
                <w:sz w:val="21"/>
                <w:szCs w:val="21"/>
                <w:lang w:bidi="ar"/>
              </w:rPr>
              <w:t>医保局、财政局、卫生健康局</w:t>
            </w:r>
          </w:p>
        </w:tc>
      </w:tr>
      <w:tr w14:paraId="420CD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1" w:type="dxa"/>
            <w:tcBorders>
              <w:tl2br w:val="nil"/>
              <w:tr2bl w:val="nil"/>
            </w:tcBorders>
            <w:noWrap/>
            <w:vAlign w:val="center"/>
          </w:tcPr>
          <w:p w14:paraId="20170A1F">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4</w:t>
            </w:r>
          </w:p>
        </w:tc>
        <w:tc>
          <w:tcPr>
            <w:tcW w:w="1083" w:type="dxa"/>
            <w:vMerge w:val="continue"/>
            <w:tcBorders>
              <w:tl2br w:val="nil"/>
              <w:tr2bl w:val="nil"/>
            </w:tcBorders>
            <w:noWrap/>
            <w:vAlign w:val="center"/>
          </w:tcPr>
          <w:p w14:paraId="548145C7">
            <w:pPr>
              <w:overflowPunct w:val="0"/>
              <w:adjustRightInd w:val="0"/>
              <w:snapToGrid w:val="0"/>
              <w:spacing w:line="240" w:lineRule="auto"/>
              <w:jc w:val="center"/>
              <w:textAlignment w:val="center"/>
              <w:rPr>
                <w:rFonts w:ascii="仿宋_GB2312" w:hAnsi="仿宋_GB2312" w:cs="仿宋_GB2312"/>
                <w:bCs/>
                <w:kern w:val="0"/>
                <w:sz w:val="21"/>
                <w:szCs w:val="21"/>
                <w:lang w:bidi="ar"/>
              </w:rPr>
            </w:pPr>
          </w:p>
        </w:tc>
        <w:tc>
          <w:tcPr>
            <w:tcW w:w="4592" w:type="dxa"/>
            <w:tcBorders>
              <w:tl2br w:val="nil"/>
              <w:tr2bl w:val="nil"/>
            </w:tcBorders>
            <w:noWrap/>
            <w:vAlign w:val="center"/>
          </w:tcPr>
          <w:p w14:paraId="5C981B31">
            <w:pPr>
              <w:pStyle w:val="12"/>
              <w:overflowPunct w:val="0"/>
              <w:adjustRightInd w:val="0"/>
              <w:snapToGrid w:val="0"/>
              <w:spacing w:before="0" w:beforeAutospacing="0" w:after="0" w:afterAutospacing="0"/>
              <w:jc w:val="both"/>
              <w:rPr>
                <w:rFonts w:eastAsia="仿宋_GB2312"/>
                <w:kern w:val="2"/>
                <w:sz w:val="21"/>
                <w:szCs w:val="21"/>
                <w:lang w:bidi="ar"/>
              </w:rPr>
            </w:pPr>
            <w:r>
              <w:rPr>
                <w:rFonts w:eastAsia="仿宋_GB2312"/>
                <w:kern w:val="2"/>
                <w:sz w:val="21"/>
                <w:szCs w:val="21"/>
                <w:lang w:bidi="ar"/>
              </w:rPr>
              <w:t>有效预警信息处置响应率（%）</w:t>
            </w:r>
          </w:p>
        </w:tc>
        <w:tc>
          <w:tcPr>
            <w:tcW w:w="1079" w:type="dxa"/>
            <w:tcBorders>
              <w:right w:val="single" w:color="auto" w:sz="4" w:space="0"/>
              <w:tl2br w:val="nil"/>
              <w:tr2bl w:val="nil"/>
            </w:tcBorders>
            <w:noWrap/>
            <w:vAlign w:val="center"/>
          </w:tcPr>
          <w:p w14:paraId="5ACB9E99">
            <w:pPr>
              <w:pStyle w:val="12"/>
              <w:overflowPunct w:val="0"/>
              <w:adjustRightInd w:val="0"/>
              <w:snapToGrid w:val="0"/>
              <w:spacing w:before="0" w:beforeAutospacing="0" w:after="0" w:afterAutospacing="0"/>
              <w:jc w:val="center"/>
              <w:rPr>
                <w:rFonts w:eastAsia="仿宋_GB2312"/>
                <w:kern w:val="2"/>
                <w:sz w:val="21"/>
                <w:szCs w:val="21"/>
                <w:lang w:bidi="ar"/>
              </w:rPr>
            </w:pPr>
            <w:r>
              <w:rPr>
                <w:rFonts w:hint="eastAsia" w:eastAsia="仿宋_GB2312"/>
                <w:kern w:val="2"/>
                <w:sz w:val="21"/>
                <w:szCs w:val="21"/>
                <w:lang w:bidi="ar"/>
              </w:rPr>
              <w:t>100</w:t>
            </w:r>
          </w:p>
        </w:tc>
        <w:tc>
          <w:tcPr>
            <w:tcW w:w="1079" w:type="dxa"/>
            <w:tcBorders>
              <w:right w:val="single" w:color="auto" w:sz="4" w:space="0"/>
              <w:tl2br w:val="nil"/>
              <w:tr2bl w:val="nil"/>
            </w:tcBorders>
            <w:noWrap/>
            <w:vAlign w:val="center"/>
          </w:tcPr>
          <w:p w14:paraId="7D3AD27D">
            <w:pPr>
              <w:pStyle w:val="12"/>
              <w:overflowPunct w:val="0"/>
              <w:adjustRightInd w:val="0"/>
              <w:snapToGrid w:val="0"/>
              <w:spacing w:before="0" w:beforeAutospacing="0" w:after="0" w:afterAutospacing="0"/>
              <w:jc w:val="center"/>
              <w:rPr>
                <w:rFonts w:eastAsia="仿宋_GB2312"/>
                <w:kern w:val="2"/>
                <w:sz w:val="21"/>
                <w:szCs w:val="21"/>
                <w:lang w:bidi="ar"/>
              </w:rPr>
            </w:pPr>
            <w:r>
              <w:rPr>
                <w:rFonts w:hint="eastAsia" w:eastAsia="仿宋_GB2312"/>
                <w:kern w:val="2"/>
                <w:sz w:val="21"/>
                <w:szCs w:val="21"/>
                <w:lang w:bidi="ar"/>
              </w:rPr>
              <w:t>100</w:t>
            </w:r>
          </w:p>
        </w:tc>
        <w:tc>
          <w:tcPr>
            <w:tcW w:w="1079" w:type="dxa"/>
            <w:tcBorders>
              <w:right w:val="single" w:color="auto" w:sz="4" w:space="0"/>
              <w:tl2br w:val="nil"/>
              <w:tr2bl w:val="nil"/>
            </w:tcBorders>
            <w:noWrap/>
            <w:vAlign w:val="center"/>
          </w:tcPr>
          <w:p w14:paraId="1D6AD8C8">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100</w:t>
            </w:r>
          </w:p>
        </w:tc>
        <w:tc>
          <w:tcPr>
            <w:tcW w:w="849" w:type="dxa"/>
            <w:tcBorders>
              <w:left w:val="single" w:color="auto" w:sz="4" w:space="0"/>
              <w:tl2br w:val="nil"/>
              <w:tr2bl w:val="nil"/>
            </w:tcBorders>
            <w:noWrap/>
            <w:vAlign w:val="center"/>
          </w:tcPr>
          <w:p w14:paraId="2FA22A34">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预期性</w:t>
            </w:r>
          </w:p>
        </w:tc>
        <w:tc>
          <w:tcPr>
            <w:tcW w:w="4243" w:type="dxa"/>
            <w:tcBorders>
              <w:tl2br w:val="nil"/>
              <w:tr2bl w:val="nil"/>
            </w:tcBorders>
            <w:noWrap/>
            <w:vAlign w:val="center"/>
          </w:tcPr>
          <w:p w14:paraId="7B5C48A8">
            <w:pPr>
              <w:overflowPunct w:val="0"/>
              <w:adjustRightInd w:val="0"/>
              <w:snapToGrid w:val="0"/>
              <w:spacing w:line="240" w:lineRule="auto"/>
              <w:jc w:val="center"/>
              <w:rPr>
                <w:rFonts w:ascii="仿宋_GB2312" w:hAnsi="仿宋_GB2312" w:cs="仿宋_GB2312"/>
                <w:sz w:val="21"/>
                <w:szCs w:val="21"/>
                <w:lang w:bidi="ar"/>
              </w:rPr>
            </w:pPr>
            <w:r>
              <w:rPr>
                <w:rFonts w:hint="eastAsia" w:ascii="仿宋_GB2312" w:hAnsi="仿宋_GB2312" w:cs="仿宋_GB2312"/>
                <w:snapToGrid w:val="0"/>
                <w:sz w:val="21"/>
                <w:szCs w:val="21"/>
                <w:lang w:bidi="ar"/>
              </w:rPr>
              <w:t>医保局</w:t>
            </w:r>
          </w:p>
        </w:tc>
      </w:tr>
      <w:tr w14:paraId="1E641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1" w:type="dxa"/>
            <w:tcBorders>
              <w:tl2br w:val="nil"/>
              <w:tr2bl w:val="nil"/>
            </w:tcBorders>
            <w:noWrap/>
            <w:vAlign w:val="center"/>
          </w:tcPr>
          <w:p w14:paraId="0F8E3C9A">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5</w:t>
            </w:r>
          </w:p>
        </w:tc>
        <w:tc>
          <w:tcPr>
            <w:tcW w:w="1083" w:type="dxa"/>
            <w:vMerge w:val="restart"/>
            <w:tcBorders>
              <w:tl2br w:val="nil"/>
              <w:tr2bl w:val="nil"/>
            </w:tcBorders>
            <w:noWrap/>
            <w:vAlign w:val="center"/>
          </w:tcPr>
          <w:p w14:paraId="726CDDEF">
            <w:pPr>
              <w:overflowPunct w:val="0"/>
              <w:adjustRightInd w:val="0"/>
              <w:snapToGrid w:val="0"/>
              <w:spacing w:line="240" w:lineRule="auto"/>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健康服务</w:t>
            </w:r>
          </w:p>
        </w:tc>
        <w:tc>
          <w:tcPr>
            <w:tcW w:w="4592" w:type="dxa"/>
            <w:tcBorders>
              <w:tl2br w:val="nil"/>
              <w:tr2bl w:val="nil"/>
            </w:tcBorders>
            <w:noWrap/>
            <w:vAlign w:val="center"/>
          </w:tcPr>
          <w:p w14:paraId="39513080">
            <w:pPr>
              <w:pStyle w:val="12"/>
              <w:overflowPunct w:val="0"/>
              <w:adjustRightInd w:val="0"/>
              <w:snapToGrid w:val="0"/>
              <w:spacing w:before="0" w:beforeAutospacing="0" w:after="0" w:afterAutospacing="0"/>
              <w:jc w:val="both"/>
              <w:rPr>
                <w:rFonts w:eastAsia="仿宋_GB2312"/>
                <w:kern w:val="2"/>
                <w:sz w:val="21"/>
                <w:szCs w:val="21"/>
                <w:lang w:bidi="ar"/>
              </w:rPr>
            </w:pPr>
            <w:r>
              <w:rPr>
                <w:rFonts w:eastAsia="仿宋_GB2312"/>
                <w:kern w:val="2"/>
                <w:sz w:val="21"/>
                <w:szCs w:val="21"/>
                <w:lang w:bidi="ar"/>
              </w:rPr>
              <w:t>困难群</w:t>
            </w:r>
            <w:r>
              <w:rPr>
                <w:rFonts w:hint="eastAsia" w:ascii="仿宋_GB2312" w:hAnsi="仿宋_GB2312" w:eastAsia="仿宋_GB2312" w:cs="仿宋_GB2312"/>
                <w:kern w:val="2"/>
                <w:sz w:val="21"/>
                <w:szCs w:val="21"/>
                <w:lang w:bidi="ar"/>
              </w:rPr>
              <w:t>众“两慢病”患者家</w:t>
            </w:r>
            <w:r>
              <w:rPr>
                <w:rFonts w:eastAsia="仿宋_GB2312"/>
                <w:kern w:val="2"/>
                <w:sz w:val="21"/>
                <w:szCs w:val="21"/>
                <w:lang w:bidi="ar"/>
              </w:rPr>
              <w:t>庭医生签约率（%）</w:t>
            </w:r>
          </w:p>
        </w:tc>
        <w:tc>
          <w:tcPr>
            <w:tcW w:w="1079" w:type="dxa"/>
            <w:tcBorders>
              <w:right w:val="single" w:color="auto" w:sz="4" w:space="0"/>
              <w:tl2br w:val="nil"/>
              <w:tr2bl w:val="nil"/>
            </w:tcBorders>
            <w:noWrap/>
            <w:vAlign w:val="center"/>
          </w:tcPr>
          <w:p w14:paraId="170FF997">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82</w:t>
            </w:r>
          </w:p>
        </w:tc>
        <w:tc>
          <w:tcPr>
            <w:tcW w:w="1079" w:type="dxa"/>
            <w:tcBorders>
              <w:right w:val="single" w:color="auto" w:sz="4" w:space="0"/>
              <w:tl2br w:val="nil"/>
              <w:tr2bl w:val="nil"/>
            </w:tcBorders>
            <w:noWrap/>
            <w:vAlign w:val="center"/>
          </w:tcPr>
          <w:p w14:paraId="2C615BFB">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84</w:t>
            </w:r>
          </w:p>
        </w:tc>
        <w:tc>
          <w:tcPr>
            <w:tcW w:w="1079" w:type="dxa"/>
            <w:tcBorders>
              <w:right w:val="single" w:color="auto" w:sz="4" w:space="0"/>
              <w:tl2br w:val="nil"/>
              <w:tr2bl w:val="nil"/>
            </w:tcBorders>
            <w:noWrap/>
            <w:vAlign w:val="center"/>
          </w:tcPr>
          <w:p w14:paraId="3017447D">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85</w:t>
            </w:r>
          </w:p>
        </w:tc>
        <w:tc>
          <w:tcPr>
            <w:tcW w:w="849" w:type="dxa"/>
            <w:tcBorders>
              <w:left w:val="single" w:color="auto" w:sz="4" w:space="0"/>
              <w:tl2br w:val="nil"/>
              <w:tr2bl w:val="nil"/>
            </w:tcBorders>
            <w:noWrap/>
            <w:vAlign w:val="center"/>
          </w:tcPr>
          <w:p w14:paraId="667BE62D">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预期性</w:t>
            </w:r>
          </w:p>
        </w:tc>
        <w:tc>
          <w:tcPr>
            <w:tcW w:w="4243" w:type="dxa"/>
            <w:tcBorders>
              <w:tl2br w:val="nil"/>
              <w:tr2bl w:val="nil"/>
            </w:tcBorders>
            <w:noWrap/>
            <w:vAlign w:val="center"/>
          </w:tcPr>
          <w:p w14:paraId="0F9E5386">
            <w:pPr>
              <w:overflowPunct w:val="0"/>
              <w:adjustRightInd w:val="0"/>
              <w:snapToGrid w:val="0"/>
              <w:spacing w:line="240" w:lineRule="auto"/>
              <w:jc w:val="center"/>
              <w:rPr>
                <w:rFonts w:ascii="仿宋_GB2312" w:hAnsi="仿宋_GB2312" w:cs="仿宋_GB2312"/>
                <w:sz w:val="21"/>
                <w:szCs w:val="21"/>
                <w:lang w:bidi="ar"/>
              </w:rPr>
            </w:pPr>
            <w:r>
              <w:rPr>
                <w:rFonts w:hint="eastAsia" w:ascii="仿宋_GB2312" w:hAnsi="仿宋_GB2312" w:cs="仿宋_GB2312"/>
                <w:snapToGrid w:val="0"/>
                <w:sz w:val="21"/>
                <w:szCs w:val="21"/>
                <w:lang w:bidi="ar"/>
              </w:rPr>
              <w:t>卫生健康局</w:t>
            </w:r>
          </w:p>
        </w:tc>
      </w:tr>
      <w:tr w14:paraId="1930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1" w:type="dxa"/>
            <w:tcBorders>
              <w:tl2br w:val="nil"/>
              <w:tr2bl w:val="nil"/>
            </w:tcBorders>
            <w:noWrap/>
            <w:vAlign w:val="center"/>
          </w:tcPr>
          <w:p w14:paraId="1561F4F5">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6</w:t>
            </w:r>
          </w:p>
        </w:tc>
        <w:tc>
          <w:tcPr>
            <w:tcW w:w="1083" w:type="dxa"/>
            <w:vMerge w:val="continue"/>
            <w:tcBorders>
              <w:tl2br w:val="nil"/>
              <w:tr2bl w:val="nil"/>
            </w:tcBorders>
            <w:noWrap/>
            <w:vAlign w:val="center"/>
          </w:tcPr>
          <w:p w14:paraId="463E08BC">
            <w:pPr>
              <w:overflowPunct w:val="0"/>
              <w:adjustRightInd w:val="0"/>
              <w:snapToGrid w:val="0"/>
              <w:spacing w:line="240" w:lineRule="auto"/>
              <w:jc w:val="center"/>
              <w:textAlignment w:val="center"/>
              <w:rPr>
                <w:rFonts w:ascii="仿宋_GB2312" w:hAnsi="仿宋_GB2312" w:cs="仿宋_GB2312"/>
                <w:bCs/>
                <w:kern w:val="0"/>
                <w:sz w:val="21"/>
                <w:szCs w:val="21"/>
                <w:lang w:bidi="ar"/>
              </w:rPr>
            </w:pPr>
          </w:p>
        </w:tc>
        <w:tc>
          <w:tcPr>
            <w:tcW w:w="4592" w:type="dxa"/>
            <w:tcBorders>
              <w:tl2br w:val="nil"/>
              <w:tr2bl w:val="nil"/>
            </w:tcBorders>
            <w:noWrap/>
            <w:vAlign w:val="center"/>
          </w:tcPr>
          <w:p w14:paraId="4FFE4192">
            <w:pPr>
              <w:pStyle w:val="12"/>
              <w:overflowPunct w:val="0"/>
              <w:adjustRightInd w:val="0"/>
              <w:snapToGrid w:val="0"/>
              <w:spacing w:before="0" w:beforeAutospacing="0" w:after="0" w:afterAutospacing="0"/>
              <w:jc w:val="both"/>
              <w:rPr>
                <w:rFonts w:eastAsia="仿宋_GB2312"/>
                <w:kern w:val="2"/>
                <w:sz w:val="21"/>
                <w:szCs w:val="21"/>
                <w:lang w:bidi="ar"/>
              </w:rPr>
            </w:pPr>
            <w:r>
              <w:rPr>
                <w:rFonts w:eastAsia="仿宋_GB2312"/>
                <w:kern w:val="2"/>
                <w:sz w:val="21"/>
                <w:szCs w:val="21"/>
                <w:lang w:bidi="ar"/>
              </w:rPr>
              <w:t>困难群众基本医疗服务费用基金支付比例（%）</w:t>
            </w:r>
          </w:p>
        </w:tc>
        <w:tc>
          <w:tcPr>
            <w:tcW w:w="1079" w:type="dxa"/>
            <w:tcBorders>
              <w:right w:val="single" w:color="auto" w:sz="4" w:space="0"/>
              <w:tl2br w:val="nil"/>
              <w:tr2bl w:val="nil"/>
            </w:tcBorders>
            <w:noWrap/>
            <w:vAlign w:val="center"/>
          </w:tcPr>
          <w:p w14:paraId="544760F2">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82</w:t>
            </w:r>
          </w:p>
        </w:tc>
        <w:tc>
          <w:tcPr>
            <w:tcW w:w="1079" w:type="dxa"/>
            <w:tcBorders>
              <w:right w:val="single" w:color="auto" w:sz="4" w:space="0"/>
              <w:tl2br w:val="nil"/>
              <w:tr2bl w:val="nil"/>
            </w:tcBorders>
            <w:noWrap/>
            <w:vAlign w:val="center"/>
          </w:tcPr>
          <w:p w14:paraId="5487B252">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83</w:t>
            </w:r>
          </w:p>
        </w:tc>
        <w:tc>
          <w:tcPr>
            <w:tcW w:w="1079" w:type="dxa"/>
            <w:tcBorders>
              <w:right w:val="single" w:color="auto" w:sz="4" w:space="0"/>
              <w:tl2br w:val="nil"/>
              <w:tr2bl w:val="nil"/>
            </w:tcBorders>
            <w:noWrap/>
            <w:vAlign w:val="center"/>
          </w:tcPr>
          <w:p w14:paraId="301AD422">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85</w:t>
            </w:r>
          </w:p>
        </w:tc>
        <w:tc>
          <w:tcPr>
            <w:tcW w:w="849" w:type="dxa"/>
            <w:tcBorders>
              <w:left w:val="single" w:color="auto" w:sz="4" w:space="0"/>
              <w:tl2br w:val="nil"/>
              <w:tr2bl w:val="nil"/>
            </w:tcBorders>
            <w:noWrap/>
            <w:vAlign w:val="center"/>
          </w:tcPr>
          <w:p w14:paraId="05CAC1CB">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预期性</w:t>
            </w:r>
          </w:p>
        </w:tc>
        <w:tc>
          <w:tcPr>
            <w:tcW w:w="4243" w:type="dxa"/>
            <w:tcBorders>
              <w:tl2br w:val="nil"/>
              <w:tr2bl w:val="nil"/>
            </w:tcBorders>
            <w:noWrap/>
            <w:vAlign w:val="center"/>
          </w:tcPr>
          <w:p w14:paraId="7194D5E8">
            <w:pPr>
              <w:overflowPunct w:val="0"/>
              <w:adjustRightInd w:val="0"/>
              <w:snapToGrid w:val="0"/>
              <w:spacing w:line="240" w:lineRule="auto"/>
              <w:jc w:val="center"/>
              <w:rPr>
                <w:rFonts w:ascii="仿宋_GB2312" w:hAnsi="仿宋_GB2312" w:cs="仿宋_GB2312"/>
                <w:sz w:val="21"/>
                <w:szCs w:val="21"/>
                <w:lang w:bidi="ar"/>
              </w:rPr>
            </w:pPr>
            <w:r>
              <w:rPr>
                <w:rFonts w:hint="eastAsia" w:ascii="仿宋_GB2312" w:hAnsi="仿宋_GB2312" w:cs="仿宋_GB2312"/>
                <w:snapToGrid w:val="0"/>
                <w:sz w:val="21"/>
                <w:szCs w:val="21"/>
                <w:lang w:bidi="ar"/>
              </w:rPr>
              <w:t>医保局、财政局、卫生健康局</w:t>
            </w:r>
          </w:p>
        </w:tc>
      </w:tr>
      <w:tr w14:paraId="2D68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1" w:type="dxa"/>
            <w:tcBorders>
              <w:tl2br w:val="nil"/>
              <w:tr2bl w:val="nil"/>
            </w:tcBorders>
            <w:noWrap/>
            <w:vAlign w:val="center"/>
          </w:tcPr>
          <w:p w14:paraId="2D610FC2">
            <w:pPr>
              <w:pStyle w:val="12"/>
              <w:overflowPunct w:val="0"/>
              <w:adjustRightInd w:val="0"/>
              <w:snapToGrid w:val="0"/>
              <w:spacing w:before="0" w:beforeAutospacing="0" w:after="0" w:afterAutospacing="0"/>
              <w:jc w:val="center"/>
              <w:rPr>
                <w:rFonts w:eastAsia="仿宋_GB2312"/>
                <w:kern w:val="2"/>
                <w:sz w:val="21"/>
                <w:szCs w:val="21"/>
                <w:lang w:bidi="ar"/>
              </w:rPr>
            </w:pPr>
            <w:bookmarkStart w:id="5" w:name="_Hlk130333205"/>
            <w:r>
              <w:rPr>
                <w:rFonts w:eastAsia="仿宋_GB2312"/>
                <w:kern w:val="2"/>
                <w:sz w:val="21"/>
                <w:szCs w:val="21"/>
                <w:lang w:bidi="ar"/>
              </w:rPr>
              <w:t>7</w:t>
            </w:r>
          </w:p>
        </w:tc>
        <w:tc>
          <w:tcPr>
            <w:tcW w:w="1083" w:type="dxa"/>
            <w:vMerge w:val="restart"/>
            <w:tcBorders>
              <w:tl2br w:val="nil"/>
              <w:tr2bl w:val="nil"/>
            </w:tcBorders>
            <w:noWrap/>
            <w:vAlign w:val="center"/>
          </w:tcPr>
          <w:p w14:paraId="7A1A92AE">
            <w:pPr>
              <w:overflowPunct w:val="0"/>
              <w:adjustRightInd w:val="0"/>
              <w:snapToGrid w:val="0"/>
              <w:spacing w:line="240" w:lineRule="auto"/>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兜底保障</w:t>
            </w:r>
          </w:p>
        </w:tc>
        <w:tc>
          <w:tcPr>
            <w:tcW w:w="4592" w:type="dxa"/>
            <w:tcBorders>
              <w:tl2br w:val="nil"/>
              <w:tr2bl w:val="nil"/>
            </w:tcBorders>
            <w:noWrap/>
            <w:vAlign w:val="center"/>
          </w:tcPr>
          <w:p w14:paraId="4FF2E0B3">
            <w:pPr>
              <w:overflowPunct w:val="0"/>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困难群众医疗费用综合保障率（%）</w:t>
            </w:r>
          </w:p>
        </w:tc>
        <w:tc>
          <w:tcPr>
            <w:tcW w:w="1079" w:type="dxa"/>
            <w:tcBorders>
              <w:right w:val="single" w:color="auto" w:sz="4" w:space="0"/>
              <w:tl2br w:val="nil"/>
              <w:tr2bl w:val="nil"/>
            </w:tcBorders>
            <w:noWrap/>
            <w:vAlign w:val="center"/>
          </w:tcPr>
          <w:p w14:paraId="500202E5">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&gt;</w:t>
            </w:r>
            <w:r>
              <w:rPr>
                <w:rFonts w:hint="eastAsia" w:ascii="Times New Roman" w:hAnsi="Times New Roman" w:cs="Times New Roman"/>
                <w:sz w:val="21"/>
                <w:szCs w:val="21"/>
                <w:lang w:bidi="ar"/>
              </w:rPr>
              <w:t>82</w:t>
            </w:r>
          </w:p>
        </w:tc>
        <w:tc>
          <w:tcPr>
            <w:tcW w:w="1079" w:type="dxa"/>
            <w:tcBorders>
              <w:right w:val="single" w:color="auto" w:sz="4" w:space="0"/>
              <w:tl2br w:val="nil"/>
              <w:tr2bl w:val="nil"/>
            </w:tcBorders>
            <w:noWrap/>
            <w:vAlign w:val="center"/>
          </w:tcPr>
          <w:p w14:paraId="0E790909">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&gt;</w:t>
            </w:r>
            <w:r>
              <w:rPr>
                <w:rFonts w:hint="eastAsia" w:ascii="Times New Roman" w:hAnsi="Times New Roman" w:cs="Times New Roman"/>
                <w:sz w:val="21"/>
                <w:szCs w:val="21"/>
                <w:lang w:bidi="ar"/>
              </w:rPr>
              <w:t>83</w:t>
            </w:r>
          </w:p>
        </w:tc>
        <w:tc>
          <w:tcPr>
            <w:tcW w:w="1079" w:type="dxa"/>
            <w:tcBorders>
              <w:right w:val="single" w:color="auto" w:sz="4" w:space="0"/>
              <w:tl2br w:val="nil"/>
              <w:tr2bl w:val="nil"/>
            </w:tcBorders>
            <w:noWrap/>
            <w:vAlign w:val="center"/>
          </w:tcPr>
          <w:p w14:paraId="5699D3E6">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85</w:t>
            </w:r>
          </w:p>
        </w:tc>
        <w:tc>
          <w:tcPr>
            <w:tcW w:w="849" w:type="dxa"/>
            <w:tcBorders>
              <w:left w:val="single" w:color="auto" w:sz="4" w:space="0"/>
              <w:tl2br w:val="nil"/>
              <w:tr2bl w:val="nil"/>
            </w:tcBorders>
            <w:noWrap/>
            <w:vAlign w:val="center"/>
          </w:tcPr>
          <w:p w14:paraId="0C80B77F">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约束性</w:t>
            </w:r>
          </w:p>
        </w:tc>
        <w:tc>
          <w:tcPr>
            <w:tcW w:w="4243" w:type="dxa"/>
            <w:vMerge w:val="restart"/>
            <w:tcBorders>
              <w:tl2br w:val="nil"/>
              <w:tr2bl w:val="nil"/>
            </w:tcBorders>
            <w:noWrap/>
            <w:vAlign w:val="center"/>
          </w:tcPr>
          <w:p w14:paraId="77A7E58E">
            <w:pPr>
              <w:overflowPunct w:val="0"/>
              <w:adjustRightInd w:val="0"/>
              <w:snapToGrid w:val="0"/>
              <w:spacing w:line="240" w:lineRule="auto"/>
              <w:jc w:val="center"/>
              <w:rPr>
                <w:rFonts w:ascii="仿宋_GB2312" w:hAnsi="仿宋_GB2312" w:cs="仿宋_GB2312"/>
                <w:sz w:val="21"/>
                <w:szCs w:val="21"/>
                <w:lang w:bidi="ar"/>
              </w:rPr>
            </w:pPr>
            <w:r>
              <w:rPr>
                <w:rFonts w:hint="eastAsia" w:ascii="仿宋_GB2312" w:hAnsi="仿宋_GB2312" w:cs="仿宋_GB2312"/>
                <w:snapToGrid w:val="0"/>
                <w:sz w:val="21"/>
                <w:szCs w:val="21"/>
                <w:lang w:bidi="ar"/>
              </w:rPr>
              <w:t>医保局、民政局、财政局、农业农村局、总工会、残联、红十字会</w:t>
            </w:r>
          </w:p>
        </w:tc>
      </w:tr>
      <w:tr w14:paraId="0146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1" w:type="dxa"/>
            <w:tcBorders>
              <w:tl2br w:val="nil"/>
              <w:tr2bl w:val="nil"/>
            </w:tcBorders>
            <w:noWrap/>
            <w:vAlign w:val="center"/>
          </w:tcPr>
          <w:p w14:paraId="708278F4">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8</w:t>
            </w:r>
          </w:p>
        </w:tc>
        <w:tc>
          <w:tcPr>
            <w:tcW w:w="1083" w:type="dxa"/>
            <w:vMerge w:val="continue"/>
            <w:tcBorders>
              <w:tl2br w:val="nil"/>
              <w:tr2bl w:val="nil"/>
            </w:tcBorders>
            <w:noWrap/>
            <w:vAlign w:val="center"/>
          </w:tcPr>
          <w:p w14:paraId="6107F944">
            <w:pPr>
              <w:overflowPunct w:val="0"/>
              <w:adjustRightInd w:val="0"/>
              <w:snapToGrid w:val="0"/>
              <w:spacing w:line="240" w:lineRule="auto"/>
              <w:jc w:val="center"/>
              <w:textAlignment w:val="center"/>
              <w:rPr>
                <w:rFonts w:ascii="Times New Roman" w:hAnsi="Times New Roman" w:eastAsia="黑体" w:cs="Times New Roman"/>
                <w:bCs/>
                <w:kern w:val="0"/>
                <w:sz w:val="21"/>
                <w:szCs w:val="21"/>
                <w:lang w:bidi="ar"/>
              </w:rPr>
            </w:pPr>
          </w:p>
        </w:tc>
        <w:tc>
          <w:tcPr>
            <w:tcW w:w="4592" w:type="dxa"/>
            <w:tcBorders>
              <w:tl2br w:val="nil"/>
              <w:tr2bl w:val="nil"/>
            </w:tcBorders>
            <w:noWrap/>
            <w:vAlign w:val="center"/>
          </w:tcPr>
          <w:p w14:paraId="57C88B0D">
            <w:pPr>
              <w:overflowPunct w:val="0"/>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lang w:bidi="ar"/>
              </w:rPr>
              <w:t>社会力量参与化解困难群众医疗费用负担率（%）</w:t>
            </w:r>
          </w:p>
        </w:tc>
        <w:tc>
          <w:tcPr>
            <w:tcW w:w="1079" w:type="dxa"/>
            <w:tcBorders>
              <w:right w:val="single" w:color="auto" w:sz="4" w:space="0"/>
              <w:tl2br w:val="nil"/>
              <w:tr2bl w:val="nil"/>
            </w:tcBorders>
            <w:noWrap/>
            <w:vAlign w:val="center"/>
          </w:tcPr>
          <w:p w14:paraId="79746A14">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&gt;</w:t>
            </w:r>
            <w:r>
              <w:rPr>
                <w:rFonts w:hint="eastAsia" w:ascii="Times New Roman" w:hAnsi="Times New Roman" w:cs="Times New Roman"/>
                <w:sz w:val="21"/>
                <w:szCs w:val="21"/>
                <w:lang w:bidi="ar"/>
              </w:rPr>
              <w:t>6</w:t>
            </w:r>
          </w:p>
        </w:tc>
        <w:tc>
          <w:tcPr>
            <w:tcW w:w="1079" w:type="dxa"/>
            <w:tcBorders>
              <w:right w:val="single" w:color="auto" w:sz="4" w:space="0"/>
              <w:tl2br w:val="nil"/>
              <w:tr2bl w:val="nil"/>
            </w:tcBorders>
            <w:noWrap/>
            <w:vAlign w:val="center"/>
          </w:tcPr>
          <w:p w14:paraId="54DC54C8">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&gt;</w:t>
            </w:r>
            <w:r>
              <w:rPr>
                <w:rFonts w:hint="eastAsia" w:ascii="Times New Roman" w:hAnsi="Times New Roman" w:cs="Times New Roman"/>
                <w:sz w:val="21"/>
                <w:szCs w:val="21"/>
                <w:lang w:bidi="ar"/>
              </w:rPr>
              <w:t>8</w:t>
            </w:r>
          </w:p>
        </w:tc>
        <w:tc>
          <w:tcPr>
            <w:tcW w:w="1079" w:type="dxa"/>
            <w:tcBorders>
              <w:right w:val="single" w:color="auto" w:sz="4" w:space="0"/>
              <w:tl2br w:val="nil"/>
              <w:tr2bl w:val="nil"/>
            </w:tcBorders>
            <w:noWrap/>
            <w:vAlign w:val="center"/>
          </w:tcPr>
          <w:p w14:paraId="3EF38D2D">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&gt;10</w:t>
            </w:r>
          </w:p>
        </w:tc>
        <w:tc>
          <w:tcPr>
            <w:tcW w:w="849" w:type="dxa"/>
            <w:tcBorders>
              <w:left w:val="single" w:color="auto" w:sz="4" w:space="0"/>
              <w:tl2br w:val="nil"/>
              <w:tr2bl w:val="nil"/>
            </w:tcBorders>
            <w:noWrap/>
            <w:vAlign w:val="center"/>
          </w:tcPr>
          <w:p w14:paraId="4BDF6D92">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预期性</w:t>
            </w:r>
          </w:p>
        </w:tc>
        <w:tc>
          <w:tcPr>
            <w:tcW w:w="4243" w:type="dxa"/>
            <w:vMerge w:val="continue"/>
            <w:tcBorders>
              <w:tl2br w:val="nil"/>
              <w:tr2bl w:val="nil"/>
            </w:tcBorders>
            <w:noWrap/>
            <w:vAlign w:val="center"/>
          </w:tcPr>
          <w:p w14:paraId="139FBF2D">
            <w:pPr>
              <w:overflowPunct w:val="0"/>
              <w:adjustRightInd w:val="0"/>
              <w:snapToGrid w:val="0"/>
              <w:spacing w:line="240" w:lineRule="auto"/>
              <w:jc w:val="center"/>
              <w:rPr>
                <w:rFonts w:ascii="仿宋_GB2312" w:hAnsi="仿宋_GB2312" w:cs="仿宋_GB2312"/>
                <w:sz w:val="21"/>
                <w:szCs w:val="21"/>
                <w:lang w:bidi="ar"/>
              </w:rPr>
            </w:pPr>
          </w:p>
        </w:tc>
      </w:tr>
      <w:tr w14:paraId="60675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471" w:type="dxa"/>
            <w:tcBorders>
              <w:tl2br w:val="nil"/>
              <w:tr2bl w:val="nil"/>
            </w:tcBorders>
            <w:noWrap/>
            <w:vAlign w:val="center"/>
          </w:tcPr>
          <w:p w14:paraId="35E91C5A">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9</w:t>
            </w:r>
          </w:p>
        </w:tc>
        <w:tc>
          <w:tcPr>
            <w:tcW w:w="1083" w:type="dxa"/>
            <w:vMerge w:val="continue"/>
            <w:tcBorders>
              <w:tl2br w:val="nil"/>
              <w:tr2bl w:val="nil"/>
            </w:tcBorders>
            <w:noWrap/>
            <w:vAlign w:val="center"/>
          </w:tcPr>
          <w:p w14:paraId="366A365C">
            <w:pPr>
              <w:overflowPunct w:val="0"/>
              <w:adjustRightInd w:val="0"/>
              <w:snapToGrid w:val="0"/>
              <w:spacing w:line="240" w:lineRule="auto"/>
              <w:jc w:val="center"/>
              <w:textAlignment w:val="center"/>
              <w:rPr>
                <w:rFonts w:ascii="Times New Roman" w:hAnsi="Times New Roman" w:cs="Times New Roman"/>
                <w:sz w:val="21"/>
                <w:szCs w:val="21"/>
                <w:lang w:bidi="ar"/>
              </w:rPr>
            </w:pPr>
          </w:p>
        </w:tc>
        <w:tc>
          <w:tcPr>
            <w:tcW w:w="4592" w:type="dxa"/>
            <w:tcBorders>
              <w:tl2br w:val="nil"/>
              <w:tr2bl w:val="nil"/>
            </w:tcBorders>
            <w:noWrap/>
            <w:vAlign w:val="center"/>
          </w:tcPr>
          <w:p w14:paraId="690F74A8">
            <w:pPr>
              <w:overflowPunct w:val="0"/>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符合条件的因病困难群众基本生活保障率（%）</w:t>
            </w:r>
          </w:p>
        </w:tc>
        <w:tc>
          <w:tcPr>
            <w:tcW w:w="1079" w:type="dxa"/>
            <w:tcBorders>
              <w:right w:val="single" w:color="auto" w:sz="4" w:space="0"/>
              <w:tl2br w:val="nil"/>
              <w:tr2bl w:val="nil"/>
            </w:tcBorders>
            <w:noWrap/>
            <w:vAlign w:val="center"/>
          </w:tcPr>
          <w:p w14:paraId="38DA74D9">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100</w:t>
            </w:r>
          </w:p>
        </w:tc>
        <w:tc>
          <w:tcPr>
            <w:tcW w:w="1079" w:type="dxa"/>
            <w:tcBorders>
              <w:right w:val="single" w:color="auto" w:sz="4" w:space="0"/>
              <w:tl2br w:val="nil"/>
              <w:tr2bl w:val="nil"/>
            </w:tcBorders>
            <w:noWrap/>
            <w:vAlign w:val="center"/>
          </w:tcPr>
          <w:p w14:paraId="66FF49F9">
            <w:pPr>
              <w:overflowPunct w:val="0"/>
              <w:adjustRightInd w:val="0"/>
              <w:snapToGrid w:val="0"/>
              <w:spacing w:line="240" w:lineRule="auto"/>
              <w:jc w:val="center"/>
              <w:rPr>
                <w:rFonts w:ascii="Times New Roman" w:hAnsi="Times New Roman" w:cs="Times New Roman"/>
                <w:sz w:val="21"/>
                <w:szCs w:val="21"/>
                <w:lang w:bidi="ar"/>
              </w:rPr>
            </w:pPr>
            <w:r>
              <w:rPr>
                <w:rFonts w:hint="eastAsia" w:ascii="Times New Roman" w:hAnsi="Times New Roman" w:cs="Times New Roman"/>
                <w:sz w:val="21"/>
                <w:szCs w:val="21"/>
                <w:lang w:bidi="ar"/>
              </w:rPr>
              <w:t>100</w:t>
            </w:r>
          </w:p>
        </w:tc>
        <w:tc>
          <w:tcPr>
            <w:tcW w:w="1079" w:type="dxa"/>
            <w:tcBorders>
              <w:right w:val="single" w:color="auto" w:sz="4" w:space="0"/>
              <w:tl2br w:val="nil"/>
              <w:tr2bl w:val="nil"/>
            </w:tcBorders>
            <w:noWrap/>
            <w:vAlign w:val="center"/>
          </w:tcPr>
          <w:p w14:paraId="2F20905C">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100</w:t>
            </w:r>
          </w:p>
        </w:tc>
        <w:tc>
          <w:tcPr>
            <w:tcW w:w="849" w:type="dxa"/>
            <w:tcBorders>
              <w:left w:val="single" w:color="auto" w:sz="4" w:space="0"/>
              <w:tl2br w:val="nil"/>
              <w:tr2bl w:val="nil"/>
            </w:tcBorders>
            <w:noWrap/>
            <w:vAlign w:val="center"/>
          </w:tcPr>
          <w:p w14:paraId="30BD9ED2">
            <w:pPr>
              <w:overflowPunct w:val="0"/>
              <w:adjustRightInd w:val="0"/>
              <w:snapToGrid w:val="0"/>
              <w:spacing w:line="240" w:lineRule="auto"/>
              <w:jc w:val="center"/>
              <w:rPr>
                <w:rFonts w:ascii="Times New Roman" w:hAnsi="Times New Roman" w:cs="Times New Roman"/>
                <w:sz w:val="21"/>
                <w:szCs w:val="21"/>
                <w:lang w:bidi="ar"/>
              </w:rPr>
            </w:pPr>
            <w:r>
              <w:rPr>
                <w:rFonts w:ascii="Times New Roman" w:hAnsi="Times New Roman" w:cs="Times New Roman"/>
                <w:sz w:val="21"/>
                <w:szCs w:val="21"/>
                <w:lang w:bidi="ar"/>
              </w:rPr>
              <w:t>预期性</w:t>
            </w:r>
          </w:p>
        </w:tc>
        <w:tc>
          <w:tcPr>
            <w:tcW w:w="4243" w:type="dxa"/>
            <w:tcBorders>
              <w:tl2br w:val="nil"/>
              <w:tr2bl w:val="nil"/>
            </w:tcBorders>
            <w:noWrap/>
            <w:vAlign w:val="center"/>
          </w:tcPr>
          <w:p w14:paraId="122C97CF">
            <w:pPr>
              <w:overflowPunct w:val="0"/>
              <w:adjustRightInd w:val="0"/>
              <w:snapToGrid w:val="0"/>
              <w:spacing w:line="240" w:lineRule="auto"/>
              <w:jc w:val="center"/>
              <w:rPr>
                <w:rFonts w:ascii="仿宋_GB2312" w:hAnsi="仿宋_GB2312" w:cs="仿宋_GB2312"/>
                <w:sz w:val="21"/>
                <w:szCs w:val="21"/>
                <w:lang w:bidi="ar"/>
              </w:rPr>
            </w:pPr>
            <w:r>
              <w:rPr>
                <w:rFonts w:hint="eastAsia" w:ascii="仿宋_GB2312" w:hAnsi="仿宋_GB2312" w:cs="仿宋_GB2312"/>
                <w:snapToGrid w:val="0"/>
                <w:sz w:val="21"/>
                <w:szCs w:val="21"/>
                <w:lang w:bidi="ar"/>
              </w:rPr>
              <w:t>民政局</w:t>
            </w:r>
          </w:p>
        </w:tc>
      </w:tr>
      <w:tr w14:paraId="078E8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71" w:type="dxa"/>
            <w:tcBorders>
              <w:tl2br w:val="nil"/>
              <w:tr2bl w:val="nil"/>
            </w:tcBorders>
            <w:noWrap/>
            <w:vAlign w:val="center"/>
          </w:tcPr>
          <w:p w14:paraId="40C38511">
            <w:pPr>
              <w:pStyle w:val="12"/>
              <w:overflowPunct w:val="0"/>
              <w:adjustRightInd w:val="0"/>
              <w:snapToGrid w:val="0"/>
              <w:spacing w:before="0" w:beforeAutospacing="0" w:after="0" w:afterAutospacing="0"/>
              <w:jc w:val="center"/>
              <w:rPr>
                <w:rFonts w:eastAsia="仿宋_GB2312"/>
                <w:kern w:val="2"/>
                <w:sz w:val="21"/>
                <w:szCs w:val="21"/>
                <w:lang w:bidi="ar"/>
              </w:rPr>
            </w:pPr>
            <w:r>
              <w:rPr>
                <w:rFonts w:eastAsia="仿宋_GB2312"/>
                <w:kern w:val="2"/>
                <w:sz w:val="21"/>
                <w:szCs w:val="21"/>
                <w:lang w:bidi="ar"/>
              </w:rPr>
              <w:t>10</w:t>
            </w:r>
          </w:p>
        </w:tc>
        <w:tc>
          <w:tcPr>
            <w:tcW w:w="1083" w:type="dxa"/>
            <w:vMerge w:val="continue"/>
            <w:tcBorders>
              <w:tl2br w:val="nil"/>
              <w:tr2bl w:val="nil"/>
            </w:tcBorders>
            <w:noWrap/>
            <w:vAlign w:val="center"/>
          </w:tcPr>
          <w:p w14:paraId="28080474">
            <w:pPr>
              <w:overflowPunct w:val="0"/>
              <w:adjustRightInd w:val="0"/>
              <w:snapToGrid w:val="0"/>
              <w:spacing w:line="240" w:lineRule="auto"/>
              <w:jc w:val="center"/>
              <w:textAlignment w:val="center"/>
              <w:rPr>
                <w:rFonts w:ascii="Times New Roman" w:hAnsi="Times New Roman" w:eastAsia="黑体" w:cs="Times New Roman"/>
                <w:bCs/>
                <w:kern w:val="0"/>
                <w:sz w:val="21"/>
                <w:szCs w:val="21"/>
                <w:lang w:bidi="ar"/>
              </w:rPr>
            </w:pPr>
          </w:p>
        </w:tc>
        <w:tc>
          <w:tcPr>
            <w:tcW w:w="4592" w:type="dxa"/>
            <w:tcBorders>
              <w:tl2br w:val="nil"/>
              <w:tr2bl w:val="nil"/>
            </w:tcBorders>
            <w:noWrap/>
            <w:vAlign w:val="center"/>
          </w:tcPr>
          <w:p w14:paraId="023BDFF1">
            <w:pPr>
              <w:overflowPunct w:val="0"/>
              <w:adjustRightInd w:val="0"/>
              <w:snapToGrid w:val="0"/>
              <w:spacing w:line="240" w:lineRule="auto"/>
              <w:rPr>
                <w:rFonts w:ascii="Times New Roman" w:hAnsi="Times New Roman" w:cs="Times New Roman"/>
                <w:sz w:val="21"/>
                <w:szCs w:val="21"/>
              </w:rPr>
            </w:pPr>
            <w:r>
              <w:rPr>
                <w:rFonts w:ascii="Times New Roman" w:hAnsi="Times New Roman" w:cs="Times New Roman"/>
                <w:sz w:val="21"/>
                <w:szCs w:val="21"/>
              </w:rPr>
              <w:t>困难群众高额医疗费用动态清零化解率（%）</w:t>
            </w:r>
          </w:p>
        </w:tc>
        <w:tc>
          <w:tcPr>
            <w:tcW w:w="1079" w:type="dxa"/>
            <w:tcBorders>
              <w:right w:val="single" w:color="auto" w:sz="4" w:space="0"/>
              <w:tl2br w:val="nil"/>
              <w:tr2bl w:val="nil"/>
            </w:tcBorders>
            <w:noWrap/>
            <w:vAlign w:val="center"/>
          </w:tcPr>
          <w:p w14:paraId="5A9576D7">
            <w:pPr>
              <w:overflowPunct w:val="0"/>
              <w:adjustRightInd w:val="0"/>
              <w:snapToGrid w:val="0"/>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100</w:t>
            </w:r>
          </w:p>
        </w:tc>
        <w:tc>
          <w:tcPr>
            <w:tcW w:w="1079" w:type="dxa"/>
            <w:tcBorders>
              <w:right w:val="single" w:color="auto" w:sz="4" w:space="0"/>
              <w:tl2br w:val="nil"/>
              <w:tr2bl w:val="nil"/>
            </w:tcBorders>
            <w:noWrap/>
            <w:vAlign w:val="center"/>
          </w:tcPr>
          <w:p w14:paraId="40F39097">
            <w:pPr>
              <w:overflowPunct w:val="0"/>
              <w:adjustRightInd w:val="0"/>
              <w:snapToGrid w:val="0"/>
              <w:spacing w:line="240" w:lineRule="auto"/>
              <w:jc w:val="center"/>
              <w:rPr>
                <w:rFonts w:ascii="Times New Roman" w:hAnsi="Times New Roman" w:cs="Times New Roman"/>
                <w:sz w:val="21"/>
                <w:szCs w:val="21"/>
              </w:rPr>
            </w:pPr>
            <w:r>
              <w:rPr>
                <w:rFonts w:hint="eastAsia" w:ascii="Times New Roman" w:hAnsi="Times New Roman" w:cs="Times New Roman"/>
                <w:sz w:val="21"/>
                <w:szCs w:val="21"/>
              </w:rPr>
              <w:t>100</w:t>
            </w:r>
          </w:p>
        </w:tc>
        <w:tc>
          <w:tcPr>
            <w:tcW w:w="1079" w:type="dxa"/>
            <w:tcBorders>
              <w:right w:val="single" w:color="auto" w:sz="4" w:space="0"/>
              <w:tl2br w:val="nil"/>
              <w:tr2bl w:val="nil"/>
            </w:tcBorders>
            <w:noWrap/>
            <w:vAlign w:val="center"/>
          </w:tcPr>
          <w:p w14:paraId="4C131B24">
            <w:pPr>
              <w:overflowPunct w:val="0"/>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rPr>
              <w:t>100</w:t>
            </w:r>
          </w:p>
        </w:tc>
        <w:tc>
          <w:tcPr>
            <w:tcW w:w="849" w:type="dxa"/>
            <w:tcBorders>
              <w:left w:val="single" w:color="auto" w:sz="4" w:space="0"/>
              <w:tl2br w:val="nil"/>
              <w:tr2bl w:val="nil"/>
            </w:tcBorders>
            <w:noWrap/>
            <w:vAlign w:val="center"/>
          </w:tcPr>
          <w:p w14:paraId="47B1EEB2">
            <w:pPr>
              <w:overflowPunct w:val="0"/>
              <w:adjustRightInd w:val="0"/>
              <w:snapToGrid w:val="0"/>
              <w:spacing w:line="240" w:lineRule="auto"/>
              <w:jc w:val="center"/>
              <w:rPr>
                <w:rFonts w:ascii="Times New Roman" w:hAnsi="Times New Roman" w:cs="Times New Roman"/>
                <w:sz w:val="21"/>
                <w:szCs w:val="21"/>
              </w:rPr>
            </w:pPr>
            <w:r>
              <w:rPr>
                <w:rFonts w:ascii="Times New Roman" w:hAnsi="Times New Roman" w:cs="Times New Roman"/>
                <w:sz w:val="21"/>
                <w:szCs w:val="21"/>
                <w:lang w:bidi="ar"/>
              </w:rPr>
              <w:t>预期性</w:t>
            </w:r>
          </w:p>
        </w:tc>
        <w:tc>
          <w:tcPr>
            <w:tcW w:w="4243" w:type="dxa"/>
            <w:tcBorders>
              <w:tl2br w:val="nil"/>
              <w:tr2bl w:val="nil"/>
            </w:tcBorders>
            <w:noWrap/>
            <w:vAlign w:val="center"/>
          </w:tcPr>
          <w:p w14:paraId="73654662">
            <w:pPr>
              <w:overflowPunct w:val="0"/>
              <w:adjustRightInd w:val="0"/>
              <w:snapToGrid w:val="0"/>
              <w:spacing w:line="240" w:lineRule="auto"/>
              <w:jc w:val="center"/>
              <w:rPr>
                <w:rFonts w:ascii="仿宋_GB2312" w:hAnsi="仿宋_GB2312" w:cs="仿宋_GB2312"/>
                <w:sz w:val="21"/>
                <w:szCs w:val="21"/>
              </w:rPr>
            </w:pPr>
            <w:r>
              <w:rPr>
                <w:rFonts w:hint="eastAsia" w:ascii="仿宋_GB2312" w:hAnsi="仿宋_GB2312" w:cs="仿宋_GB2312"/>
                <w:snapToGrid w:val="0"/>
                <w:kern w:val="0"/>
                <w:sz w:val="21"/>
                <w:szCs w:val="21"/>
              </w:rPr>
              <w:t>医保局、民政局</w:t>
            </w:r>
          </w:p>
        </w:tc>
      </w:tr>
      <w:bookmarkEnd w:id="5"/>
    </w:tbl>
    <w:p w14:paraId="1265B35F">
      <w:pPr>
        <w:overflowPunct w:val="0"/>
        <w:adjustRightInd w:val="0"/>
        <w:snapToGrid w:val="0"/>
        <w:spacing w:line="240" w:lineRule="auto"/>
        <w:rPr>
          <w:rFonts w:ascii="Times New Roman" w:hAnsi="Times New Roman" w:cs="仿宋_GB2312"/>
          <w:sz w:val="21"/>
          <w:szCs w:val="21"/>
        </w:rPr>
      </w:pPr>
      <w:r>
        <w:rPr>
          <w:rFonts w:hint="eastAsia" w:ascii="Times New Roman" w:hAnsi="Times New Roman" w:cs="仿宋_GB2312"/>
          <w:sz w:val="21"/>
          <w:szCs w:val="21"/>
        </w:rPr>
        <w:t>备注：1．资助困难群众参加基本医疗保险率=资助参加基本医保的困难群众人数/符合医疗救助条件的困难群众人数×100%；</w:t>
      </w:r>
    </w:p>
    <w:p w14:paraId="2C5C0ABB">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2．惠民型商业补充医疗保险投保率=惠民型商</w:t>
      </w:r>
      <w:r>
        <w:rPr>
          <w:rFonts w:hint="eastAsia" w:ascii="Times New Roman" w:hAnsi="Times New Roman" w:cs="仿宋_GB2312"/>
          <w:sz w:val="21"/>
          <w:szCs w:val="21"/>
          <w:lang w:bidi="ar"/>
        </w:rPr>
        <w:t>业补充医疗保险投保</w:t>
      </w:r>
      <w:r>
        <w:rPr>
          <w:rFonts w:hint="eastAsia" w:ascii="Times New Roman" w:hAnsi="Times New Roman" w:cs="仿宋_GB2312"/>
          <w:sz w:val="21"/>
          <w:szCs w:val="21"/>
        </w:rPr>
        <w:t>人数/上一年度基本医保参保人数×100%；</w:t>
      </w:r>
    </w:p>
    <w:p w14:paraId="4E5C6E5B">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3．</w:t>
      </w:r>
      <w:r>
        <w:rPr>
          <w:rFonts w:hint="eastAsia" w:ascii="Times New Roman" w:hAnsi="Times New Roman" w:cs="仿宋_GB2312"/>
          <w:sz w:val="21"/>
          <w:szCs w:val="21"/>
          <w:lang w:bidi="ar"/>
        </w:rPr>
        <w:t>困难群众医疗费用个人负担率</w:t>
      </w:r>
      <w:r>
        <w:rPr>
          <w:rFonts w:hint="eastAsia" w:ascii="Times New Roman" w:hAnsi="Times New Roman" w:cs="仿宋_GB2312"/>
          <w:sz w:val="21"/>
          <w:szCs w:val="21"/>
        </w:rPr>
        <w:t>=困难群众当年个人负担医疗费用/困难群众当年医疗总费用×100%；</w:t>
      </w:r>
    </w:p>
    <w:p w14:paraId="5253B210">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w:t>
      </w:r>
      <w:r>
        <w:rPr>
          <w:rFonts w:hint="eastAsia" w:ascii="Times New Roman" w:hAnsi="Times New Roman" w:cs="仿宋_GB2312"/>
          <w:sz w:val="21"/>
          <w:szCs w:val="21"/>
          <w:lang w:bidi="ar"/>
        </w:rPr>
        <w:t>4</w:t>
      </w:r>
      <w:r>
        <w:rPr>
          <w:rFonts w:hint="eastAsia" w:ascii="Times New Roman" w:hAnsi="Times New Roman" w:cs="仿宋_GB2312"/>
          <w:sz w:val="21"/>
          <w:szCs w:val="21"/>
        </w:rPr>
        <w:t>．有效预警信息处置响应率=多部门帮扶响应措施数/经筛选发现问题总数×100%；</w:t>
      </w:r>
    </w:p>
    <w:p w14:paraId="1E633D1E">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5．困难群众</w:t>
      </w:r>
      <w:r>
        <w:rPr>
          <w:rFonts w:hint="eastAsia" w:ascii="Times New Roman" w:hAnsi="Times New Roman" w:cs="仿宋_GB2312"/>
          <w:sz w:val="21"/>
          <w:szCs w:val="21"/>
          <w:lang w:bidi="ar"/>
        </w:rPr>
        <w:t>“两慢病”患者家庭医生签约率=困难群众高血压和糖尿病患者家庭医生签约人数/困难群众高血压和糖尿病患者总人数</w:t>
      </w:r>
      <w:r>
        <w:rPr>
          <w:rFonts w:hint="eastAsia" w:ascii="Times New Roman" w:hAnsi="Times New Roman" w:cs="仿宋_GB2312"/>
          <w:sz w:val="21"/>
          <w:szCs w:val="21"/>
        </w:rPr>
        <w:t>×100%；</w:t>
      </w:r>
    </w:p>
    <w:p w14:paraId="1568B6C6">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w:t>
      </w:r>
      <w:r>
        <w:rPr>
          <w:rFonts w:hint="eastAsia" w:ascii="Times New Roman" w:hAnsi="Times New Roman" w:cs="仿宋_GB2312"/>
          <w:sz w:val="21"/>
          <w:szCs w:val="21"/>
          <w:lang w:bidi="ar"/>
        </w:rPr>
        <w:t>6</w:t>
      </w:r>
      <w:r>
        <w:rPr>
          <w:rFonts w:hint="eastAsia" w:ascii="Times New Roman" w:hAnsi="Times New Roman" w:cs="仿宋_GB2312"/>
          <w:sz w:val="21"/>
          <w:szCs w:val="21"/>
        </w:rPr>
        <w:t>．</w:t>
      </w:r>
      <w:r>
        <w:rPr>
          <w:rFonts w:hint="eastAsia" w:ascii="Times New Roman" w:hAnsi="Times New Roman" w:cs="仿宋_GB2312"/>
          <w:sz w:val="21"/>
          <w:szCs w:val="21"/>
          <w:lang w:bidi="ar"/>
        </w:rPr>
        <w:t>困难群众基本医疗服务费用基金支付比例</w:t>
      </w:r>
      <w:r>
        <w:rPr>
          <w:rFonts w:hint="eastAsia" w:ascii="Times New Roman" w:hAnsi="Times New Roman" w:cs="仿宋_GB2312"/>
          <w:sz w:val="21"/>
          <w:szCs w:val="21"/>
        </w:rPr>
        <w:t>=</w:t>
      </w:r>
      <w:r>
        <w:rPr>
          <w:rFonts w:hint="eastAsia" w:ascii="Times New Roman" w:hAnsi="Times New Roman" w:cs="仿宋_GB2312"/>
          <w:sz w:val="21"/>
          <w:szCs w:val="21"/>
          <w:lang w:bidi="ar"/>
        </w:rPr>
        <w:t>困难群众</w:t>
      </w:r>
      <w:r>
        <w:rPr>
          <w:rFonts w:hint="eastAsia" w:ascii="Times New Roman" w:hAnsi="Times New Roman" w:cs="仿宋_GB2312"/>
          <w:sz w:val="21"/>
          <w:szCs w:val="21"/>
        </w:rPr>
        <w:t>（基本医保+大病保险+医疗救助）综合保障（含门诊和住院）报销金额/困难群众</w:t>
      </w:r>
      <w:r>
        <w:rPr>
          <w:rFonts w:hint="eastAsia" w:ascii="Times New Roman" w:hAnsi="Times New Roman" w:cs="仿宋_GB2312"/>
          <w:sz w:val="21"/>
          <w:szCs w:val="21"/>
          <w:lang w:bidi="ar"/>
        </w:rPr>
        <w:t>政策内</w:t>
      </w:r>
      <w:r>
        <w:rPr>
          <w:rFonts w:hint="eastAsia" w:ascii="Times New Roman" w:hAnsi="Times New Roman" w:cs="仿宋_GB2312"/>
          <w:sz w:val="21"/>
          <w:szCs w:val="21"/>
        </w:rPr>
        <w:t>医疗</w:t>
      </w:r>
    </w:p>
    <w:p w14:paraId="2415E5BA">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费用×100%；</w:t>
      </w:r>
    </w:p>
    <w:p w14:paraId="5E9DF819">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w:t>
      </w:r>
      <w:r>
        <w:rPr>
          <w:rFonts w:hint="eastAsia" w:ascii="Times New Roman" w:hAnsi="Times New Roman" w:cs="仿宋_GB2312"/>
          <w:sz w:val="21"/>
          <w:szCs w:val="21"/>
          <w:lang w:bidi="ar"/>
        </w:rPr>
        <w:t>7</w:t>
      </w:r>
      <w:r>
        <w:rPr>
          <w:rFonts w:hint="eastAsia" w:ascii="Times New Roman" w:hAnsi="Times New Roman" w:cs="仿宋_GB2312"/>
          <w:sz w:val="21"/>
          <w:szCs w:val="21"/>
        </w:rPr>
        <w:t>．困难群众医疗费用综合保障率=（三重制度综合保障报销金额〔门诊+住院〕+补充性保障金额〔门诊+住院〕）/困难群众总医疗费用×100%；</w:t>
      </w:r>
    </w:p>
    <w:p w14:paraId="25DC0741">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8．社会力量参与化解困难群众医疗费用负担率=（惠民型商业补充医疗、医疗互助、慈善救助等社会力量支出金额）/困难群众总医疗费用×100%；</w:t>
      </w:r>
    </w:p>
    <w:p w14:paraId="647C4FD2">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9．符合条件的困难群众基本生活保障率=（纳入基本生活保障的困难群众人数/符合条件的困难群众人数）×100%；</w:t>
      </w:r>
    </w:p>
    <w:p w14:paraId="7E523568">
      <w:pPr>
        <w:overflowPunct w:val="0"/>
        <w:adjustRightInd w:val="0"/>
        <w:snapToGrid w:val="0"/>
        <w:spacing w:line="240" w:lineRule="auto"/>
        <w:ind w:firstLine="420" w:firstLineChars="200"/>
        <w:rPr>
          <w:rFonts w:ascii="Times New Roman" w:hAnsi="Times New Roman" w:cs="仿宋_GB2312"/>
          <w:sz w:val="21"/>
          <w:szCs w:val="21"/>
        </w:rPr>
      </w:pPr>
      <w:r>
        <w:rPr>
          <w:rFonts w:hint="eastAsia" w:ascii="Times New Roman" w:hAnsi="Times New Roman" w:cs="仿宋_GB2312"/>
          <w:sz w:val="21"/>
          <w:szCs w:val="21"/>
        </w:rPr>
        <w:t xml:space="preserve">  10．困难群众高额医疗费用动态清零化解率=（当年困难群众中个人自负高额费用化解人数/当年困难群众中个人自负高额费用所有人数）×100%；</w:t>
      </w:r>
    </w:p>
    <w:p w14:paraId="337A9E15">
      <w:pPr>
        <w:overflowPunct w:val="0"/>
        <w:adjustRightInd w:val="0"/>
        <w:snapToGrid w:val="0"/>
        <w:spacing w:line="240" w:lineRule="auto"/>
        <w:ind w:firstLine="420" w:firstLineChars="200"/>
        <w:rPr>
          <w:rFonts w:ascii="Times New Roman" w:hAnsi="Times New Roman" w:cs="仿宋_GB2312"/>
          <w:sz w:val="21"/>
          <w:szCs w:val="21"/>
        </w:rPr>
        <w:sectPr>
          <w:pgSz w:w="16838" w:h="11905" w:orient="landscape"/>
          <w:pgMar w:top="1587" w:right="1531" w:bottom="1474" w:left="1134" w:header="851" w:footer="992" w:gutter="0"/>
          <w:pgNumType w:fmt="numberInDash"/>
          <w:cols w:space="720" w:num="1"/>
          <w:docGrid w:type="lines" w:linePitch="315" w:charSpace="0"/>
        </w:sectPr>
      </w:pPr>
      <w:r>
        <w:rPr>
          <w:rFonts w:hint="eastAsia" w:ascii="Times New Roman" w:hAnsi="Times New Roman" w:cs="仿宋_GB2312"/>
          <w:sz w:val="21"/>
          <w:szCs w:val="21"/>
        </w:rPr>
        <w:t xml:space="preserve">  11．责任部门排第一位的为牵头部门。</w:t>
      </w:r>
    </w:p>
    <w:p w14:paraId="19D02F62">
      <w:pPr>
        <w:overflowPunct w:val="0"/>
        <w:adjustRightInd w:val="0"/>
        <w:snapToGrid w:val="0"/>
        <w:spacing w:line="600" w:lineRule="exact"/>
        <w:rPr>
          <w:rFonts w:ascii="黑体" w:hAnsi="黑体" w:eastAsia="黑体" w:cs="黑体"/>
          <w:szCs w:val="32"/>
        </w:rPr>
      </w:pPr>
      <w:r>
        <w:rPr>
          <w:rFonts w:hint="eastAsia" w:ascii="黑体" w:hAnsi="黑体" w:eastAsia="黑体" w:cs="黑体"/>
          <w:szCs w:val="32"/>
        </w:rPr>
        <w:t>附件</w:t>
      </w:r>
      <w:r>
        <w:rPr>
          <w:rFonts w:ascii="Times New Roman" w:hAnsi="Times New Roman" w:eastAsia="黑体" w:cs="Times New Roman"/>
          <w:szCs w:val="32"/>
        </w:rPr>
        <w:t>2</w:t>
      </w:r>
    </w:p>
    <w:p w14:paraId="4C89F974">
      <w:pPr>
        <w:overflowPunct w:val="0"/>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嵊州</w:t>
      </w:r>
      <w:r>
        <w:rPr>
          <w:rFonts w:ascii="Times New Roman" w:hAnsi="Times New Roman" w:eastAsia="方正小标宋简体" w:cs="Times New Roman"/>
          <w:bCs/>
          <w:sz w:val="36"/>
          <w:szCs w:val="36"/>
        </w:rPr>
        <w:t>市构建因病致贫返贫防范长效机制</w:t>
      </w:r>
      <w:r>
        <w:rPr>
          <w:rFonts w:hint="eastAsia" w:ascii="Times New Roman" w:hAnsi="Times New Roman" w:eastAsia="方正小标宋简体" w:cs="Times New Roman"/>
          <w:bCs/>
          <w:sz w:val="36"/>
          <w:szCs w:val="36"/>
        </w:rPr>
        <w:t>三年</w:t>
      </w:r>
      <w:r>
        <w:rPr>
          <w:rFonts w:ascii="Times New Roman" w:hAnsi="Times New Roman" w:eastAsia="方正小标宋简体" w:cs="Times New Roman"/>
          <w:bCs/>
          <w:sz w:val="36"/>
          <w:szCs w:val="36"/>
        </w:rPr>
        <w:t>工作清单</w:t>
      </w:r>
    </w:p>
    <w:tbl>
      <w:tblPr>
        <w:tblStyle w:val="14"/>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4028"/>
        <w:gridCol w:w="3958"/>
        <w:gridCol w:w="4230"/>
        <w:gridCol w:w="1477"/>
      </w:tblGrid>
      <w:tr w14:paraId="7903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blHeader/>
          <w:jc w:val="center"/>
        </w:trPr>
        <w:tc>
          <w:tcPr>
            <w:tcW w:w="645" w:type="dxa"/>
            <w:vAlign w:val="center"/>
          </w:tcPr>
          <w:p w14:paraId="461421BF">
            <w:pPr>
              <w:overflowPunct w:val="0"/>
              <w:adjustRightInd w:val="0"/>
              <w:snapToGrid w:val="0"/>
              <w:spacing w:line="260" w:lineRule="exact"/>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序号</w:t>
            </w:r>
          </w:p>
        </w:tc>
        <w:tc>
          <w:tcPr>
            <w:tcW w:w="4028" w:type="dxa"/>
            <w:vAlign w:val="center"/>
          </w:tcPr>
          <w:p w14:paraId="74621114">
            <w:pPr>
              <w:overflowPunct w:val="0"/>
              <w:adjustRightInd w:val="0"/>
              <w:snapToGrid w:val="0"/>
              <w:spacing w:line="260" w:lineRule="exact"/>
              <w:jc w:val="center"/>
              <w:rPr>
                <w:rFonts w:ascii="黑体" w:hAnsi="黑体" w:eastAsia="黑体" w:cs="黑体"/>
                <w:b/>
                <w:bCs/>
                <w:snapToGrid w:val="0"/>
                <w:kern w:val="0"/>
                <w:sz w:val="21"/>
                <w:szCs w:val="21"/>
              </w:rPr>
            </w:pPr>
            <w:r>
              <w:rPr>
                <w:rFonts w:ascii="Times New Roman" w:hAnsi="Times New Roman" w:eastAsia="黑体" w:cs="Times New Roman"/>
                <w:b/>
                <w:bCs/>
                <w:snapToGrid w:val="0"/>
                <w:kern w:val="0"/>
                <w:sz w:val="21"/>
                <w:szCs w:val="21"/>
              </w:rPr>
              <w:t>2023</w:t>
            </w:r>
            <w:r>
              <w:rPr>
                <w:rFonts w:hint="eastAsia" w:ascii="黑体" w:hAnsi="黑体" w:eastAsia="黑体" w:cs="黑体"/>
                <w:b/>
                <w:bCs/>
                <w:snapToGrid w:val="0"/>
                <w:kern w:val="0"/>
                <w:sz w:val="21"/>
                <w:szCs w:val="21"/>
              </w:rPr>
              <w:t>年工作计划</w:t>
            </w:r>
          </w:p>
        </w:tc>
        <w:tc>
          <w:tcPr>
            <w:tcW w:w="3958" w:type="dxa"/>
            <w:vAlign w:val="center"/>
          </w:tcPr>
          <w:p w14:paraId="29DBE3A1">
            <w:pPr>
              <w:overflowPunct w:val="0"/>
              <w:adjustRightInd w:val="0"/>
              <w:snapToGrid w:val="0"/>
              <w:spacing w:line="260" w:lineRule="exact"/>
              <w:jc w:val="center"/>
              <w:rPr>
                <w:rFonts w:ascii="黑体" w:hAnsi="黑体" w:eastAsia="黑体" w:cs="黑体"/>
                <w:b/>
                <w:bCs/>
                <w:snapToGrid w:val="0"/>
                <w:kern w:val="0"/>
                <w:sz w:val="21"/>
                <w:szCs w:val="21"/>
              </w:rPr>
            </w:pPr>
            <w:r>
              <w:rPr>
                <w:rFonts w:ascii="Times New Roman" w:hAnsi="Times New Roman" w:eastAsia="黑体" w:cs="Times New Roman"/>
                <w:b/>
                <w:bCs/>
                <w:snapToGrid w:val="0"/>
                <w:kern w:val="0"/>
                <w:sz w:val="21"/>
                <w:szCs w:val="21"/>
              </w:rPr>
              <w:t>2024</w:t>
            </w:r>
            <w:r>
              <w:rPr>
                <w:rFonts w:hint="eastAsia" w:ascii="黑体" w:hAnsi="黑体" w:eastAsia="黑体" w:cs="黑体"/>
                <w:b/>
                <w:bCs/>
                <w:snapToGrid w:val="0"/>
                <w:kern w:val="0"/>
                <w:sz w:val="21"/>
                <w:szCs w:val="21"/>
              </w:rPr>
              <w:t>年工作计划</w:t>
            </w:r>
          </w:p>
        </w:tc>
        <w:tc>
          <w:tcPr>
            <w:tcW w:w="4230" w:type="dxa"/>
            <w:vAlign w:val="center"/>
          </w:tcPr>
          <w:p w14:paraId="0B559204">
            <w:pPr>
              <w:overflowPunct w:val="0"/>
              <w:adjustRightInd w:val="0"/>
              <w:snapToGrid w:val="0"/>
              <w:spacing w:line="260" w:lineRule="exact"/>
              <w:jc w:val="center"/>
              <w:rPr>
                <w:rFonts w:ascii="黑体" w:hAnsi="黑体" w:eastAsia="黑体" w:cs="黑体"/>
                <w:b/>
                <w:bCs/>
                <w:snapToGrid w:val="0"/>
                <w:kern w:val="0"/>
                <w:sz w:val="21"/>
                <w:szCs w:val="21"/>
              </w:rPr>
            </w:pPr>
            <w:r>
              <w:rPr>
                <w:rFonts w:ascii="Times New Roman" w:hAnsi="Times New Roman" w:eastAsia="黑体" w:cs="Times New Roman"/>
                <w:b/>
                <w:bCs/>
                <w:snapToGrid w:val="0"/>
                <w:kern w:val="0"/>
                <w:sz w:val="21"/>
                <w:szCs w:val="21"/>
              </w:rPr>
              <w:t>2025</w:t>
            </w:r>
            <w:r>
              <w:rPr>
                <w:rFonts w:hint="eastAsia" w:ascii="黑体" w:hAnsi="黑体" w:eastAsia="黑体" w:cs="黑体"/>
                <w:b/>
                <w:bCs/>
                <w:snapToGrid w:val="0"/>
                <w:kern w:val="0"/>
                <w:sz w:val="21"/>
                <w:szCs w:val="21"/>
              </w:rPr>
              <w:t>年工作计划</w:t>
            </w:r>
          </w:p>
        </w:tc>
        <w:tc>
          <w:tcPr>
            <w:tcW w:w="1477" w:type="dxa"/>
            <w:vAlign w:val="center"/>
          </w:tcPr>
          <w:p w14:paraId="29A8F444">
            <w:pPr>
              <w:overflowPunct w:val="0"/>
              <w:adjustRightInd w:val="0"/>
              <w:snapToGrid w:val="0"/>
              <w:spacing w:line="260" w:lineRule="exact"/>
              <w:jc w:val="center"/>
              <w:rPr>
                <w:rFonts w:ascii="黑体" w:hAnsi="黑体" w:eastAsia="黑体" w:cs="黑体"/>
                <w:b/>
                <w:bCs/>
                <w:snapToGrid w:val="0"/>
                <w:kern w:val="0"/>
                <w:sz w:val="21"/>
                <w:szCs w:val="21"/>
              </w:rPr>
            </w:pPr>
            <w:r>
              <w:rPr>
                <w:rFonts w:hint="eastAsia" w:ascii="黑体" w:hAnsi="黑体" w:eastAsia="黑体" w:cs="黑体"/>
                <w:b/>
                <w:bCs/>
                <w:snapToGrid w:val="0"/>
                <w:kern w:val="0"/>
                <w:sz w:val="21"/>
                <w:szCs w:val="21"/>
              </w:rPr>
              <w:t>责任单位</w:t>
            </w:r>
          </w:p>
        </w:tc>
      </w:tr>
      <w:tr w14:paraId="75BA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5" w:type="dxa"/>
            <w:vAlign w:val="center"/>
          </w:tcPr>
          <w:p w14:paraId="425ADC73">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w:t>
            </w:r>
          </w:p>
        </w:tc>
        <w:tc>
          <w:tcPr>
            <w:tcW w:w="4028" w:type="dxa"/>
            <w:vAlign w:val="center"/>
          </w:tcPr>
          <w:p w14:paraId="7759824A">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年低保标准不低于13000元，实现“应保尽保、应退尽退”。</w:t>
            </w:r>
          </w:p>
        </w:tc>
        <w:tc>
          <w:tcPr>
            <w:tcW w:w="3958" w:type="dxa"/>
            <w:vAlign w:val="center"/>
          </w:tcPr>
          <w:p w14:paraId="697C69B6">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年低保标准不低于14000元，实现“应保尽保、应退尽退”。</w:t>
            </w:r>
          </w:p>
        </w:tc>
        <w:tc>
          <w:tcPr>
            <w:tcW w:w="4230" w:type="dxa"/>
            <w:vAlign w:val="center"/>
          </w:tcPr>
          <w:p w14:paraId="303463B7">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年低保标准不低于15000元，实现“应保尽保、应退尽退”。</w:t>
            </w:r>
          </w:p>
        </w:tc>
        <w:tc>
          <w:tcPr>
            <w:tcW w:w="1477" w:type="dxa"/>
            <w:vMerge w:val="restart"/>
            <w:vAlign w:val="center"/>
          </w:tcPr>
          <w:p w14:paraId="655C6DCD">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民政局</w:t>
            </w:r>
          </w:p>
        </w:tc>
      </w:tr>
      <w:tr w14:paraId="58E4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45" w:type="dxa"/>
            <w:vAlign w:val="center"/>
          </w:tcPr>
          <w:p w14:paraId="0386EDE2">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w:t>
            </w:r>
          </w:p>
        </w:tc>
        <w:tc>
          <w:tcPr>
            <w:tcW w:w="4028" w:type="dxa"/>
            <w:vAlign w:val="center"/>
          </w:tcPr>
          <w:p w14:paraId="792E7D1E">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落实支出型贫困救助和临时救助政策。</w:t>
            </w:r>
          </w:p>
        </w:tc>
        <w:tc>
          <w:tcPr>
            <w:tcW w:w="3958" w:type="dxa"/>
            <w:vAlign w:val="center"/>
          </w:tcPr>
          <w:p w14:paraId="5CA2219E">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落实支出型贫困救助和临时救助政策。</w:t>
            </w:r>
          </w:p>
        </w:tc>
        <w:tc>
          <w:tcPr>
            <w:tcW w:w="4230" w:type="dxa"/>
            <w:vAlign w:val="center"/>
          </w:tcPr>
          <w:p w14:paraId="5D3FF3CC">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落实支出型贫困救助和临时救助政策。</w:t>
            </w:r>
          </w:p>
        </w:tc>
        <w:tc>
          <w:tcPr>
            <w:tcW w:w="1477" w:type="dxa"/>
            <w:vMerge w:val="continue"/>
            <w:vAlign w:val="center"/>
          </w:tcPr>
          <w:p w14:paraId="26A0355F">
            <w:pPr>
              <w:overflowPunct w:val="0"/>
              <w:adjustRightInd w:val="0"/>
              <w:snapToGrid w:val="0"/>
              <w:spacing w:line="260" w:lineRule="exact"/>
              <w:jc w:val="center"/>
              <w:rPr>
                <w:rFonts w:ascii="Times New Roman" w:hAnsi="Times New Roman" w:cs="仿宋_GB2312"/>
                <w:snapToGrid w:val="0"/>
                <w:kern w:val="0"/>
                <w:sz w:val="21"/>
                <w:szCs w:val="21"/>
              </w:rPr>
            </w:pPr>
          </w:p>
        </w:tc>
      </w:tr>
      <w:tr w14:paraId="6096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5" w:type="dxa"/>
            <w:vAlign w:val="center"/>
          </w:tcPr>
          <w:p w14:paraId="02CAA9D2">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3</w:t>
            </w:r>
          </w:p>
        </w:tc>
        <w:tc>
          <w:tcPr>
            <w:tcW w:w="4028" w:type="dxa"/>
            <w:vAlign w:val="center"/>
          </w:tcPr>
          <w:p w14:paraId="414E07C0">
            <w:pPr>
              <w:overflowPunct w:val="0"/>
              <w:adjustRightInd w:val="0"/>
              <w:snapToGrid w:val="0"/>
              <w:spacing w:line="260" w:lineRule="exact"/>
              <w:rPr>
                <w:rFonts w:ascii="Times New Roman" w:hAnsi="Times New Roman" w:cs="仿宋_GB2312"/>
                <w:snapToGrid w:val="0"/>
                <w:kern w:val="0"/>
                <w:sz w:val="21"/>
                <w:szCs w:val="21"/>
                <w:lang w:val="en"/>
              </w:rPr>
            </w:pPr>
            <w:r>
              <w:rPr>
                <w:rFonts w:hint="eastAsia" w:ascii="Times New Roman" w:hAnsi="Times New Roman" w:cs="仿宋_GB2312"/>
                <w:snapToGrid w:val="0"/>
                <w:kern w:val="0"/>
                <w:sz w:val="21"/>
                <w:szCs w:val="21"/>
                <w:lang w:val="en"/>
              </w:rPr>
              <w:t>加强财政资金统筹力度，落实地方责任。</w:t>
            </w:r>
          </w:p>
        </w:tc>
        <w:tc>
          <w:tcPr>
            <w:tcW w:w="3958" w:type="dxa"/>
            <w:vAlign w:val="center"/>
          </w:tcPr>
          <w:p w14:paraId="68022BF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优化财政资金结构，突出资金绩效导向。</w:t>
            </w:r>
          </w:p>
        </w:tc>
        <w:tc>
          <w:tcPr>
            <w:tcW w:w="4230" w:type="dxa"/>
            <w:vAlign w:val="center"/>
          </w:tcPr>
          <w:p w14:paraId="4A3864E1">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加强对资金预决算工作的绩效考核，</w:t>
            </w:r>
            <w:r>
              <w:rPr>
                <w:rFonts w:hint="eastAsia" w:ascii="Times New Roman" w:hAnsi="Times New Roman" w:cs="仿宋_GB2312"/>
                <w:snapToGrid w:val="0"/>
                <w:kern w:val="0"/>
                <w:sz w:val="21"/>
                <w:szCs w:val="21"/>
                <w:lang w:eastAsia="zh-CN"/>
              </w:rPr>
              <w:t>建立</w:t>
            </w:r>
            <w:r>
              <w:rPr>
                <w:rFonts w:hint="eastAsia" w:ascii="Times New Roman" w:hAnsi="Times New Roman" w:cs="仿宋_GB2312"/>
                <w:snapToGrid w:val="0"/>
                <w:kern w:val="0"/>
                <w:sz w:val="21"/>
                <w:szCs w:val="21"/>
              </w:rPr>
              <w:t>健</w:t>
            </w:r>
            <w:r>
              <w:rPr>
                <w:rFonts w:hint="eastAsia" w:ascii="Times New Roman" w:hAnsi="Times New Roman" w:cs="仿宋_GB2312"/>
                <w:snapToGrid w:val="0"/>
                <w:spacing w:val="-6"/>
                <w:kern w:val="0"/>
                <w:sz w:val="21"/>
                <w:szCs w:val="21"/>
              </w:rPr>
              <w:t>全约束机制，按规定做好相关资金保障工作。</w:t>
            </w:r>
          </w:p>
        </w:tc>
        <w:tc>
          <w:tcPr>
            <w:tcW w:w="1477" w:type="dxa"/>
            <w:vAlign w:val="center"/>
          </w:tcPr>
          <w:p w14:paraId="2CB14151">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财政局</w:t>
            </w:r>
          </w:p>
        </w:tc>
      </w:tr>
      <w:tr w14:paraId="24EC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5" w:type="dxa"/>
            <w:vAlign w:val="center"/>
          </w:tcPr>
          <w:p w14:paraId="100BDDB4">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4</w:t>
            </w:r>
          </w:p>
        </w:tc>
        <w:tc>
          <w:tcPr>
            <w:tcW w:w="4028" w:type="dxa"/>
            <w:vAlign w:val="center"/>
          </w:tcPr>
          <w:p w14:paraId="15A16196">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依托民政、残联等部门共享数据，根据名单做好特困人员、低保、低边对象、残疾人等困难群体参加城乡居民基本养老保险政府代缴工作，确保应保尽保。开展对因病致贫返贫家庭的就业指导与帮扶。</w:t>
            </w:r>
          </w:p>
        </w:tc>
        <w:tc>
          <w:tcPr>
            <w:tcW w:w="3958" w:type="dxa"/>
            <w:vAlign w:val="center"/>
          </w:tcPr>
          <w:p w14:paraId="436979BC">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依托民政、残联等部门共享数据，根据名单做好特困人员、低保、低边对象、残疾人等困难群体参加城乡居民基本养老保险政府代缴工作，确保应保尽保。开展对因病致贫返贫家庭的就业指导与帮扶</w:t>
            </w:r>
            <w:r>
              <w:rPr>
                <w:rFonts w:hint="eastAsia" w:ascii="Times New Roman" w:hAnsi="Times New Roman" w:cs="仿宋_GB2312"/>
                <w:snapToGrid w:val="0"/>
                <w:kern w:val="0"/>
                <w:sz w:val="21"/>
                <w:szCs w:val="21"/>
                <w:lang w:val="en"/>
              </w:rPr>
              <w:t>。</w:t>
            </w:r>
          </w:p>
        </w:tc>
        <w:tc>
          <w:tcPr>
            <w:tcW w:w="4230" w:type="dxa"/>
            <w:vAlign w:val="center"/>
          </w:tcPr>
          <w:p w14:paraId="16D8ACE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依托民政、残联等部门共享数据，根据名单做好特困人员、低保、低边对象、残疾人等困难群体参加城乡居民基本养老保险政府代缴工作，确保应保尽保。开展对因病致贫返贫家庭的就业指导与帮扶。</w:t>
            </w:r>
          </w:p>
        </w:tc>
        <w:tc>
          <w:tcPr>
            <w:tcW w:w="1477" w:type="dxa"/>
            <w:vAlign w:val="center"/>
          </w:tcPr>
          <w:p w14:paraId="7433BD50">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人力社保局</w:t>
            </w:r>
          </w:p>
        </w:tc>
      </w:tr>
      <w:tr w14:paraId="266A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5" w:type="dxa"/>
            <w:vAlign w:val="center"/>
          </w:tcPr>
          <w:p w14:paraId="340E7866">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5</w:t>
            </w:r>
          </w:p>
        </w:tc>
        <w:tc>
          <w:tcPr>
            <w:tcW w:w="4028" w:type="dxa"/>
            <w:vAlign w:val="center"/>
          </w:tcPr>
          <w:p w14:paraId="04E94119">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继续实施低收入农户医疗补充政策性保险，按照省统一要求逐步提高标准。</w:t>
            </w:r>
          </w:p>
        </w:tc>
        <w:tc>
          <w:tcPr>
            <w:tcW w:w="3958" w:type="dxa"/>
            <w:vAlign w:val="center"/>
          </w:tcPr>
          <w:p w14:paraId="4ADE5C22">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继续实施低收入农户医疗补充政策性保险，按照省统一要求逐步提高标准。</w:t>
            </w:r>
          </w:p>
        </w:tc>
        <w:tc>
          <w:tcPr>
            <w:tcW w:w="4230" w:type="dxa"/>
            <w:vAlign w:val="center"/>
          </w:tcPr>
          <w:p w14:paraId="04B883AF">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继续实施低收入农户医疗补充政策性保险，按照省统一要求逐步提高标准。</w:t>
            </w:r>
          </w:p>
        </w:tc>
        <w:tc>
          <w:tcPr>
            <w:tcW w:w="1477" w:type="dxa"/>
            <w:vAlign w:val="center"/>
          </w:tcPr>
          <w:p w14:paraId="16624993">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农业农村局</w:t>
            </w:r>
          </w:p>
        </w:tc>
      </w:tr>
      <w:tr w14:paraId="249C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5" w:type="dxa"/>
            <w:vAlign w:val="center"/>
          </w:tcPr>
          <w:p w14:paraId="34E164DC">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6</w:t>
            </w:r>
          </w:p>
        </w:tc>
        <w:tc>
          <w:tcPr>
            <w:tcW w:w="4028" w:type="dxa"/>
            <w:vAlign w:val="center"/>
          </w:tcPr>
          <w:p w14:paraId="3C67BDB5">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落实《绍兴市医疗机构间医学影像检查资料和医学检验结果互认共享激励办法》，进一步推动医学</w:t>
            </w:r>
            <w:r>
              <w:rPr>
                <w:rFonts w:hint="eastAsia" w:ascii="Times New Roman" w:hAnsi="Times New Roman" w:cs="仿宋_GB2312"/>
                <w:snapToGrid w:val="0"/>
                <w:kern w:val="0"/>
                <w:sz w:val="21"/>
                <w:szCs w:val="21"/>
              </w:rPr>
              <w:t>检查检验结果互认共享，推进分级诊疗，促进合理检查。</w:t>
            </w:r>
          </w:p>
        </w:tc>
        <w:tc>
          <w:tcPr>
            <w:tcW w:w="3958" w:type="dxa"/>
            <w:vAlign w:val="center"/>
          </w:tcPr>
          <w:p w14:paraId="34151F17">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完善公立医院绩效考核体系，将控制医疗费用、提升满意度等作为主要量化考核指标，考核结果与院长任免、奖惩和医院财政补助</w:t>
            </w:r>
            <w:r>
              <w:rPr>
                <w:rFonts w:hint="eastAsia" w:ascii="Times New Roman" w:hAnsi="Times New Roman" w:cs="仿宋_GB2312"/>
                <w:snapToGrid w:val="0"/>
                <w:spacing w:val="-6"/>
                <w:kern w:val="0"/>
                <w:sz w:val="21"/>
                <w:szCs w:val="21"/>
              </w:rPr>
              <w:t>等挂钩，进一步规范诊疗行为，控制就医费用。</w:t>
            </w:r>
          </w:p>
        </w:tc>
        <w:tc>
          <w:tcPr>
            <w:tcW w:w="4230" w:type="dxa"/>
            <w:vAlign w:val="center"/>
          </w:tcPr>
          <w:p w14:paraId="4CED205B">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持续深化分级诊疗和县域医共体建设，县域内就诊率巩固在90%以上，基层就诊率巩固在65%以上。</w:t>
            </w:r>
          </w:p>
        </w:tc>
        <w:tc>
          <w:tcPr>
            <w:tcW w:w="1477" w:type="dxa"/>
            <w:vMerge w:val="restart"/>
            <w:vAlign w:val="center"/>
          </w:tcPr>
          <w:p w14:paraId="155F798A">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卫生健康局</w:t>
            </w:r>
          </w:p>
        </w:tc>
      </w:tr>
      <w:tr w14:paraId="7BEB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5" w:type="dxa"/>
            <w:vAlign w:val="center"/>
          </w:tcPr>
          <w:p w14:paraId="4FE7CBE4">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7</w:t>
            </w:r>
          </w:p>
        </w:tc>
        <w:tc>
          <w:tcPr>
            <w:tcW w:w="4028" w:type="dxa"/>
            <w:vAlign w:val="center"/>
          </w:tcPr>
          <w:p w14:paraId="7C3FD680">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每千人托位数达到4.0，总托位数达到2800个。</w:t>
            </w:r>
          </w:p>
        </w:tc>
        <w:tc>
          <w:tcPr>
            <w:tcW w:w="3958" w:type="dxa"/>
            <w:vAlign w:val="center"/>
          </w:tcPr>
          <w:p w14:paraId="6212C5D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spacing w:val="-6"/>
                <w:kern w:val="0"/>
                <w:sz w:val="21"/>
                <w:szCs w:val="21"/>
                <w:lang w:val="en"/>
              </w:rPr>
              <w:t>每千人托位数达到4.</w:t>
            </w:r>
            <w:r>
              <w:rPr>
                <w:rFonts w:hint="eastAsia" w:ascii="Times New Roman" w:hAnsi="Times New Roman" w:cs="仿宋_GB2312"/>
                <w:snapToGrid w:val="0"/>
                <w:spacing w:val="-6"/>
                <w:kern w:val="0"/>
                <w:sz w:val="21"/>
                <w:szCs w:val="21"/>
              </w:rPr>
              <w:t>3</w:t>
            </w:r>
            <w:r>
              <w:rPr>
                <w:rFonts w:hint="eastAsia" w:ascii="Times New Roman" w:hAnsi="Times New Roman" w:cs="仿宋_GB2312"/>
                <w:snapToGrid w:val="0"/>
                <w:spacing w:val="-6"/>
                <w:kern w:val="0"/>
                <w:sz w:val="21"/>
                <w:szCs w:val="21"/>
                <w:lang w:val="en"/>
              </w:rPr>
              <w:t>，支持产业园区、机关企事业单位以单独或与相关单位、驻地社区、专业机构共同举办等方式，在工作场所为职工提供福利性托育服务，有条件的可向社会开放。鼓励国有企业、国有控股企业、三级公立医疗机构和在主城区的二级公立医疗机构建立婴幼儿照护服务机构。</w:t>
            </w:r>
          </w:p>
        </w:tc>
        <w:tc>
          <w:tcPr>
            <w:tcW w:w="4230" w:type="dxa"/>
            <w:vAlign w:val="center"/>
          </w:tcPr>
          <w:p w14:paraId="2500A475">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每千人托位数达到4.6，建成托育综合服务中心，实现“医、防、护”三位一体儿童健康管理中心2万常住人口以上乡镇（街道）全覆盖。</w:t>
            </w:r>
          </w:p>
        </w:tc>
        <w:tc>
          <w:tcPr>
            <w:tcW w:w="1477" w:type="dxa"/>
            <w:vMerge w:val="continue"/>
            <w:vAlign w:val="center"/>
          </w:tcPr>
          <w:p w14:paraId="1CD6EAD4">
            <w:pPr>
              <w:overflowPunct w:val="0"/>
              <w:adjustRightInd w:val="0"/>
              <w:snapToGrid w:val="0"/>
              <w:spacing w:line="260" w:lineRule="exact"/>
              <w:jc w:val="center"/>
              <w:rPr>
                <w:rFonts w:ascii="Times New Roman" w:hAnsi="Times New Roman" w:cs="仿宋_GB2312"/>
                <w:snapToGrid w:val="0"/>
                <w:kern w:val="0"/>
                <w:sz w:val="21"/>
                <w:szCs w:val="21"/>
              </w:rPr>
            </w:pPr>
          </w:p>
        </w:tc>
      </w:tr>
      <w:tr w14:paraId="6D81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5" w:type="dxa"/>
            <w:vAlign w:val="center"/>
          </w:tcPr>
          <w:p w14:paraId="47A975AD">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8</w:t>
            </w:r>
          </w:p>
        </w:tc>
        <w:tc>
          <w:tcPr>
            <w:tcW w:w="4028" w:type="dxa"/>
            <w:vAlign w:val="center"/>
          </w:tcPr>
          <w:p w14:paraId="4D320871">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更新完善困难退役军人和“三属”“一对一”帮扶台账，建立困难退役军人和“三属”数据库。</w:t>
            </w:r>
          </w:p>
        </w:tc>
        <w:tc>
          <w:tcPr>
            <w:tcW w:w="3958" w:type="dxa"/>
            <w:vAlign w:val="center"/>
          </w:tcPr>
          <w:p w14:paraId="47F05B90">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优化“军人e家”困难退役军人功能模块，探索与“浙里病贫共济”应用场景融合对接。</w:t>
            </w:r>
          </w:p>
        </w:tc>
        <w:tc>
          <w:tcPr>
            <w:tcW w:w="4230" w:type="dxa"/>
            <w:vAlign w:val="center"/>
          </w:tcPr>
          <w:p w14:paraId="31559928">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基本实现困难退役军人和“三属”医疗援助线上办理，探索医疗援助“一站式”结报。</w:t>
            </w:r>
          </w:p>
        </w:tc>
        <w:tc>
          <w:tcPr>
            <w:tcW w:w="1477" w:type="dxa"/>
            <w:vMerge w:val="restart"/>
            <w:vAlign w:val="center"/>
          </w:tcPr>
          <w:p w14:paraId="2147CE51">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退役军人</w:t>
            </w:r>
          </w:p>
          <w:p w14:paraId="6EF17888">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事务局</w:t>
            </w:r>
          </w:p>
        </w:tc>
      </w:tr>
      <w:tr w14:paraId="6955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645" w:type="dxa"/>
            <w:vAlign w:val="center"/>
          </w:tcPr>
          <w:p w14:paraId="1409BA7A">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9</w:t>
            </w:r>
          </w:p>
        </w:tc>
        <w:tc>
          <w:tcPr>
            <w:tcW w:w="4028" w:type="dxa"/>
            <w:vAlign w:val="center"/>
          </w:tcPr>
          <w:p w14:paraId="1F6E0ADE">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符合条件的困难退役军人医疗援助保障率100%。</w:t>
            </w:r>
          </w:p>
        </w:tc>
        <w:tc>
          <w:tcPr>
            <w:tcW w:w="3958" w:type="dxa"/>
            <w:vAlign w:val="center"/>
          </w:tcPr>
          <w:p w14:paraId="037D59B7">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符合条件的困难退役军人医疗援助保障率100%。</w:t>
            </w:r>
          </w:p>
        </w:tc>
        <w:tc>
          <w:tcPr>
            <w:tcW w:w="4230" w:type="dxa"/>
            <w:vAlign w:val="center"/>
          </w:tcPr>
          <w:p w14:paraId="15943AD1">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符合条件的困难退役军人医疗援助保障率100%。</w:t>
            </w:r>
          </w:p>
        </w:tc>
        <w:tc>
          <w:tcPr>
            <w:tcW w:w="1477" w:type="dxa"/>
            <w:vMerge w:val="continue"/>
            <w:vAlign w:val="center"/>
          </w:tcPr>
          <w:p w14:paraId="1FAA7F63">
            <w:pPr>
              <w:overflowPunct w:val="0"/>
              <w:adjustRightInd w:val="0"/>
              <w:snapToGrid w:val="0"/>
              <w:spacing w:line="260" w:lineRule="exact"/>
              <w:jc w:val="center"/>
              <w:rPr>
                <w:rFonts w:ascii="Times New Roman" w:hAnsi="Times New Roman" w:cs="仿宋_GB2312"/>
                <w:snapToGrid w:val="0"/>
                <w:kern w:val="0"/>
                <w:sz w:val="21"/>
                <w:szCs w:val="21"/>
              </w:rPr>
            </w:pPr>
          </w:p>
        </w:tc>
      </w:tr>
      <w:tr w14:paraId="7038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45" w:type="dxa"/>
            <w:vAlign w:val="center"/>
          </w:tcPr>
          <w:p w14:paraId="71A98CD8">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10</w:t>
            </w:r>
          </w:p>
        </w:tc>
        <w:tc>
          <w:tcPr>
            <w:tcW w:w="4028" w:type="dxa"/>
            <w:vAlign w:val="center"/>
          </w:tcPr>
          <w:p w14:paraId="018DB1DE">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全面实施中药振兴战略，促进我市特色中药产品传承创新发展。</w:t>
            </w:r>
          </w:p>
        </w:tc>
        <w:tc>
          <w:tcPr>
            <w:tcW w:w="3958" w:type="dxa"/>
            <w:vAlign w:val="center"/>
          </w:tcPr>
          <w:p w14:paraId="2E551FA5">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产业发展能级进一步提升，推动医药产业扶持政策提质扩面、落实落地。</w:t>
            </w:r>
          </w:p>
        </w:tc>
        <w:tc>
          <w:tcPr>
            <w:tcW w:w="4230" w:type="dxa"/>
            <w:vAlign w:val="center"/>
          </w:tcPr>
          <w:p w14:paraId="31C3E67B">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改革完善医药创新体系。</w:t>
            </w:r>
          </w:p>
        </w:tc>
        <w:tc>
          <w:tcPr>
            <w:tcW w:w="1477" w:type="dxa"/>
            <w:vAlign w:val="center"/>
          </w:tcPr>
          <w:p w14:paraId="15E5CA89">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市场监管局</w:t>
            </w:r>
          </w:p>
        </w:tc>
      </w:tr>
      <w:tr w14:paraId="7D1E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645" w:type="dxa"/>
            <w:vAlign w:val="center"/>
          </w:tcPr>
          <w:p w14:paraId="05B21503">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11</w:t>
            </w:r>
          </w:p>
        </w:tc>
        <w:tc>
          <w:tcPr>
            <w:tcW w:w="4028" w:type="dxa"/>
            <w:vAlign w:val="center"/>
          </w:tcPr>
          <w:p w14:paraId="2619B7B9">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依托省智慧医保平台，主动发现因病致贫返贫风险潜在对象，建立对象库；健全困难群众资助参保动态调整机制，确保资助困难群众参加基本医疗保险率达到100%。</w:t>
            </w:r>
          </w:p>
        </w:tc>
        <w:tc>
          <w:tcPr>
            <w:tcW w:w="3958" w:type="dxa"/>
            <w:vAlign w:val="center"/>
          </w:tcPr>
          <w:p w14:paraId="288F57D1">
            <w:pPr>
              <w:overflowPunct w:val="0"/>
              <w:adjustRightInd w:val="0"/>
              <w:snapToGrid w:val="0"/>
              <w:spacing w:line="260" w:lineRule="exact"/>
              <w:rPr>
                <w:rFonts w:ascii="Times New Roman" w:hAnsi="Times New Roman" w:cs="仿宋_GB2312"/>
                <w:snapToGrid w:val="0"/>
                <w:kern w:val="0"/>
                <w:sz w:val="21"/>
                <w:szCs w:val="21"/>
                <w:lang w:val="en"/>
              </w:rPr>
            </w:pPr>
            <w:r>
              <w:rPr>
                <w:rFonts w:hint="eastAsia" w:ascii="Times New Roman" w:hAnsi="Times New Roman" w:cs="仿宋_GB2312"/>
                <w:snapToGrid w:val="0"/>
                <w:kern w:val="0"/>
                <w:sz w:val="21"/>
                <w:szCs w:val="21"/>
              </w:rPr>
              <w:t>确保资助困难群众参加基本医疗保险率达到100%。</w:t>
            </w:r>
          </w:p>
        </w:tc>
        <w:tc>
          <w:tcPr>
            <w:tcW w:w="4230" w:type="dxa"/>
            <w:vAlign w:val="center"/>
          </w:tcPr>
          <w:p w14:paraId="17762FC0">
            <w:pPr>
              <w:overflowPunct w:val="0"/>
              <w:adjustRightInd w:val="0"/>
              <w:snapToGrid w:val="0"/>
              <w:spacing w:line="260" w:lineRule="exact"/>
              <w:rPr>
                <w:rFonts w:ascii="Times New Roman" w:hAnsi="Times New Roman" w:cs="仿宋_GB2312"/>
                <w:snapToGrid w:val="0"/>
                <w:kern w:val="0"/>
                <w:sz w:val="21"/>
                <w:szCs w:val="21"/>
                <w:lang w:val="en"/>
              </w:rPr>
            </w:pPr>
            <w:r>
              <w:rPr>
                <w:rFonts w:hint="eastAsia" w:ascii="Times New Roman" w:hAnsi="Times New Roman" w:cs="仿宋_GB2312"/>
                <w:snapToGrid w:val="0"/>
                <w:kern w:val="0"/>
                <w:sz w:val="21"/>
                <w:szCs w:val="21"/>
              </w:rPr>
              <w:t>确保资助困难群众参加基本医疗保险率达到100%。</w:t>
            </w:r>
          </w:p>
        </w:tc>
        <w:tc>
          <w:tcPr>
            <w:tcW w:w="1477" w:type="dxa"/>
            <w:vMerge w:val="restart"/>
            <w:vAlign w:val="center"/>
          </w:tcPr>
          <w:p w14:paraId="11DB9729">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医保局</w:t>
            </w:r>
          </w:p>
        </w:tc>
      </w:tr>
      <w:tr w14:paraId="35CF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9" w:hRule="atLeast"/>
          <w:jc w:val="center"/>
        </w:trPr>
        <w:tc>
          <w:tcPr>
            <w:tcW w:w="645" w:type="dxa"/>
            <w:vAlign w:val="center"/>
          </w:tcPr>
          <w:p w14:paraId="0535D0B0">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12</w:t>
            </w:r>
          </w:p>
        </w:tc>
        <w:tc>
          <w:tcPr>
            <w:tcW w:w="4028" w:type="dxa"/>
            <w:vAlign w:val="center"/>
          </w:tcPr>
          <w:p w14:paraId="5C419B9C">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进一步夯实基本医保、大病保险、医疗救助综合保障基础，促进三重制度与惠民型商业补充医疗保险以及其他补救助的有效衔接，确保困难群众医疗费用综合保障率达到80%以上。健全困难群众高额医疗费用兜底保障机制，协同化解符合条件的困难群众高额医疗费用。</w:t>
            </w:r>
          </w:p>
        </w:tc>
        <w:tc>
          <w:tcPr>
            <w:tcW w:w="3958" w:type="dxa"/>
            <w:vAlign w:val="center"/>
          </w:tcPr>
          <w:p w14:paraId="42F6B67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确保困难群众医疗费用综合保障率达到82%以上。完善困难群众高额医疗费用兜底保障机制，逐步降低困难群众高额医疗费用化解标准。</w:t>
            </w:r>
          </w:p>
        </w:tc>
        <w:tc>
          <w:tcPr>
            <w:tcW w:w="4230" w:type="dxa"/>
            <w:vAlign w:val="center"/>
          </w:tcPr>
          <w:p w14:paraId="0C423755">
            <w:pPr>
              <w:overflowPunct w:val="0"/>
              <w:adjustRightInd w:val="0"/>
              <w:snapToGrid w:val="0"/>
              <w:spacing w:line="260" w:lineRule="exact"/>
              <w:rPr>
                <w:rFonts w:ascii="Times New Roman" w:hAnsi="Times New Roman" w:cs="仿宋_GB2312"/>
                <w:snapToGrid w:val="0"/>
                <w:kern w:val="0"/>
                <w:sz w:val="21"/>
                <w:szCs w:val="21"/>
                <w:lang w:val="en"/>
              </w:rPr>
            </w:pPr>
            <w:r>
              <w:rPr>
                <w:rFonts w:hint="eastAsia" w:ascii="Times New Roman" w:hAnsi="Times New Roman" w:cs="仿宋_GB2312"/>
                <w:snapToGrid w:val="0"/>
                <w:kern w:val="0"/>
                <w:sz w:val="21"/>
                <w:szCs w:val="21"/>
              </w:rPr>
              <w:t>确保困难群众医疗费用综合保障率提高到85%以上。完善困难群众高额医疗费用兜底保障机制，逐步降低困难群众高额医疗费用化解标准。</w:t>
            </w:r>
          </w:p>
        </w:tc>
        <w:tc>
          <w:tcPr>
            <w:tcW w:w="1477" w:type="dxa"/>
            <w:vMerge w:val="continue"/>
            <w:vAlign w:val="center"/>
          </w:tcPr>
          <w:p w14:paraId="7582D9AB">
            <w:pPr>
              <w:overflowPunct w:val="0"/>
              <w:adjustRightInd w:val="0"/>
              <w:snapToGrid w:val="0"/>
              <w:spacing w:line="260" w:lineRule="exact"/>
              <w:rPr>
                <w:rFonts w:ascii="Times New Roman" w:hAnsi="Times New Roman" w:cs="仿宋_GB2312"/>
                <w:snapToGrid w:val="0"/>
                <w:kern w:val="0"/>
                <w:sz w:val="21"/>
                <w:szCs w:val="21"/>
              </w:rPr>
            </w:pPr>
          </w:p>
        </w:tc>
      </w:tr>
      <w:tr w14:paraId="7EF3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645" w:type="dxa"/>
            <w:vAlign w:val="center"/>
          </w:tcPr>
          <w:p w14:paraId="6D46F73B">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13</w:t>
            </w:r>
          </w:p>
        </w:tc>
        <w:tc>
          <w:tcPr>
            <w:tcW w:w="4028" w:type="dxa"/>
            <w:vAlign w:val="center"/>
          </w:tcPr>
          <w:p w14:paraId="1C0390B9">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完善医疗救助相关政策，提升困难群众高额医疗费用综合报销水平。加大因病致贫返贫防范解决力度。完善三级经办平台，推动医保经办服务标准化，努力实现“人找服务”到“服务到人”转变。</w:t>
            </w:r>
          </w:p>
        </w:tc>
        <w:tc>
          <w:tcPr>
            <w:tcW w:w="3958" w:type="dxa"/>
            <w:vAlign w:val="center"/>
          </w:tcPr>
          <w:p w14:paraId="4B6D2133">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依托“浙里病贫共济”应用场景，及时将产生医疗费用预警的人员费用信息推送至相关救助部门，形成主动寻找、协同帮扶、共同评价的救助闭环，进一步降低困难群众因病致贫返贫风险。</w:t>
            </w:r>
          </w:p>
        </w:tc>
        <w:tc>
          <w:tcPr>
            <w:tcW w:w="4230" w:type="dxa"/>
            <w:vAlign w:val="center"/>
          </w:tcPr>
          <w:p w14:paraId="7CFB19D5">
            <w:pPr>
              <w:overflowPunct w:val="0"/>
              <w:adjustRightInd w:val="0"/>
              <w:snapToGrid w:val="0"/>
              <w:spacing w:line="260" w:lineRule="exact"/>
              <w:rPr>
                <w:rFonts w:ascii="Times New Roman" w:hAnsi="Times New Roman" w:cs="仿宋_GB2312"/>
                <w:snapToGrid w:val="0"/>
                <w:kern w:val="0"/>
                <w:sz w:val="21"/>
                <w:szCs w:val="21"/>
                <w:lang w:val="en"/>
              </w:rPr>
            </w:pPr>
            <w:r>
              <w:rPr>
                <w:rFonts w:hint="eastAsia" w:ascii="Times New Roman" w:hAnsi="Times New Roman" w:cs="仿宋_GB2312"/>
                <w:snapToGrid w:val="0"/>
                <w:kern w:val="0"/>
                <w:sz w:val="21"/>
                <w:szCs w:val="21"/>
              </w:rPr>
              <w:t>协助省医保局对“浙里病贫共济”应用场景进行迭代升级，探索结合困难群众家庭情况、年龄段、性别、既往病史等各项影响因素，制定相应精细化监测预警标准与医疗费用协同化解标准，实现精准发现、合理帮扶。</w:t>
            </w:r>
          </w:p>
        </w:tc>
        <w:tc>
          <w:tcPr>
            <w:tcW w:w="1477" w:type="dxa"/>
            <w:vMerge w:val="continue"/>
            <w:vAlign w:val="center"/>
          </w:tcPr>
          <w:p w14:paraId="5F4E046C">
            <w:pPr>
              <w:overflowPunct w:val="0"/>
              <w:adjustRightInd w:val="0"/>
              <w:snapToGrid w:val="0"/>
              <w:spacing w:line="260" w:lineRule="exact"/>
              <w:rPr>
                <w:rFonts w:ascii="Times New Roman" w:hAnsi="Times New Roman" w:cs="仿宋_GB2312"/>
                <w:snapToGrid w:val="0"/>
                <w:kern w:val="0"/>
                <w:sz w:val="21"/>
                <w:szCs w:val="21"/>
              </w:rPr>
            </w:pPr>
          </w:p>
        </w:tc>
      </w:tr>
      <w:tr w14:paraId="4B83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645" w:type="dxa"/>
            <w:vAlign w:val="center"/>
          </w:tcPr>
          <w:p w14:paraId="7708FCD0">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14</w:t>
            </w:r>
          </w:p>
        </w:tc>
        <w:tc>
          <w:tcPr>
            <w:tcW w:w="4028" w:type="dxa"/>
            <w:vAlign w:val="center"/>
          </w:tcPr>
          <w:p w14:paraId="65EA3975">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优化居家服务类、优生优育类诊疗项目。推动“互联网＋”慢性病保障，将高血压、糖尿病、肺结核等12种常见慢性病纳入“互联网+医保”一站式结算。</w:t>
            </w:r>
          </w:p>
        </w:tc>
        <w:tc>
          <w:tcPr>
            <w:tcW w:w="3958" w:type="dxa"/>
            <w:vAlign w:val="center"/>
          </w:tcPr>
          <w:p w14:paraId="1AB37AC3">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健全和完善门诊慢性病、规定病种管理，统一规定病种范围、认定标准和待遇水平。推动“互联网＋”慢性病保障，根据上级部署及时进行病种调整。</w:t>
            </w:r>
          </w:p>
        </w:tc>
        <w:tc>
          <w:tcPr>
            <w:tcW w:w="4230" w:type="dxa"/>
            <w:vAlign w:val="center"/>
          </w:tcPr>
          <w:p w14:paraId="1D2AEA93">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完善与优生优育相关的药品和诊疗项目医保扶持政策。推动“互联网＋”慢性病保障，根据上级部署及时进行病种调整。</w:t>
            </w:r>
          </w:p>
        </w:tc>
        <w:tc>
          <w:tcPr>
            <w:tcW w:w="1477" w:type="dxa"/>
            <w:vMerge w:val="continue"/>
            <w:vAlign w:val="center"/>
          </w:tcPr>
          <w:p w14:paraId="5BBC89C3">
            <w:pPr>
              <w:overflowPunct w:val="0"/>
              <w:adjustRightInd w:val="0"/>
              <w:snapToGrid w:val="0"/>
              <w:spacing w:line="260" w:lineRule="exact"/>
              <w:rPr>
                <w:rFonts w:ascii="Times New Roman" w:hAnsi="Times New Roman" w:cs="仿宋_GB2312"/>
                <w:snapToGrid w:val="0"/>
                <w:kern w:val="0"/>
                <w:sz w:val="21"/>
                <w:szCs w:val="21"/>
              </w:rPr>
            </w:pPr>
          </w:p>
        </w:tc>
      </w:tr>
      <w:tr w14:paraId="0989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645" w:type="dxa"/>
            <w:vAlign w:val="center"/>
          </w:tcPr>
          <w:p w14:paraId="21BAE6A5">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15</w:t>
            </w:r>
          </w:p>
        </w:tc>
        <w:tc>
          <w:tcPr>
            <w:tcW w:w="4028" w:type="dxa"/>
            <w:vAlign w:val="center"/>
          </w:tcPr>
          <w:p w14:paraId="7103E5E3">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升级产品方案，重点提高对重度残疾、困难人员的赔付比例，扩大住院赔付覆盖面。实现“越惠保”的“5597”目标，即投保率50%以上，投保人员平均年龄50岁以下，资金赔付率90%以上，续保率达到70%以上。</w:t>
            </w:r>
          </w:p>
        </w:tc>
        <w:tc>
          <w:tcPr>
            <w:tcW w:w="3958" w:type="dxa"/>
            <w:vAlign w:val="center"/>
          </w:tcPr>
          <w:p w14:paraId="74FE8809">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探索以家庭为单位的参保模式，创新基层参保推广方法，迭代升级“越惠保”产品方案，建立赔付清单管理，优化“越惠保”经办服务规程，不断满足群众日益增长的多元医疗需求。</w:t>
            </w:r>
          </w:p>
        </w:tc>
        <w:tc>
          <w:tcPr>
            <w:tcW w:w="4230" w:type="dxa"/>
            <w:vAlign w:val="center"/>
          </w:tcPr>
          <w:p w14:paraId="6DBF95A3">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加快推进惠民型商业补充医疗保险长足发展，升级“越惠保”产品方案，优化赔付清单管理，加强理论研究，总结工作经验，创新“越惠保”管理、运营、服务模式，确保“越惠保”工作走在全省前列。</w:t>
            </w:r>
          </w:p>
        </w:tc>
        <w:tc>
          <w:tcPr>
            <w:tcW w:w="1477" w:type="dxa"/>
            <w:vMerge w:val="continue"/>
            <w:vAlign w:val="center"/>
          </w:tcPr>
          <w:p w14:paraId="179A3465">
            <w:pPr>
              <w:overflowPunct w:val="0"/>
              <w:adjustRightInd w:val="0"/>
              <w:snapToGrid w:val="0"/>
              <w:spacing w:line="260" w:lineRule="exact"/>
              <w:rPr>
                <w:rFonts w:ascii="Times New Roman" w:hAnsi="Times New Roman" w:cs="仿宋_GB2312"/>
                <w:snapToGrid w:val="0"/>
                <w:kern w:val="0"/>
                <w:sz w:val="21"/>
                <w:szCs w:val="21"/>
              </w:rPr>
            </w:pPr>
          </w:p>
        </w:tc>
      </w:tr>
      <w:tr w14:paraId="554F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jc w:val="center"/>
        </w:trPr>
        <w:tc>
          <w:tcPr>
            <w:tcW w:w="645" w:type="dxa"/>
            <w:vAlign w:val="center"/>
          </w:tcPr>
          <w:p w14:paraId="1555192F">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16</w:t>
            </w:r>
          </w:p>
        </w:tc>
        <w:tc>
          <w:tcPr>
            <w:tcW w:w="4028" w:type="dxa"/>
            <w:vAlign w:val="center"/>
          </w:tcPr>
          <w:p w14:paraId="5DEE6176">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推动职工和城乡居民在就业地、常住地有序参保，依托医保基层平台做好参保精准扩面，巩固并提高户籍人口参保率。借助省智慧医保系统的困难人员共享数据，定期清洗、比对系统内资助参保人员身份，及时做好未参保人员的资助参保工作，确保困难群众参保全覆盖。完善医保关系转移接续经办流程，规范使用国家转移平台，为困难群众提供更优质便捷的医保经办服务。</w:t>
            </w:r>
          </w:p>
        </w:tc>
        <w:tc>
          <w:tcPr>
            <w:tcW w:w="3958" w:type="dxa"/>
            <w:vAlign w:val="center"/>
          </w:tcPr>
          <w:p w14:paraId="4497C8DF">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推动职工和城乡居民在就业地、常住地有序参保，依托医保基层平台做好参保精准扩面，巩固并提高户籍人口参保率。借助省智慧医保系统的困难人员共享数据，定期清洗、比对系统内资助参保人员身份，及时做好未参保人员的资助参保工作，确保困难群众参保全覆盖。完善医保关系转移接续经办流程，规范使用国家转移平台，为困难群众提供更优质便捷的医保经办服务。</w:t>
            </w:r>
          </w:p>
        </w:tc>
        <w:tc>
          <w:tcPr>
            <w:tcW w:w="4230" w:type="dxa"/>
            <w:vAlign w:val="center"/>
          </w:tcPr>
          <w:p w14:paraId="15A0DD2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推动职工和城乡居民在就业地、常住地有序参保，依托医保基层平台做好参保精准扩面，巩固并提高户籍人口参保率。借助省智慧医保系统的困难人员共享数据，定期清洗、比对系统内资助参保人员身份，及时做好未参保人员的资助参保工作，确保困难群众参保全覆盖。完善医保关系转移接续经办流程，规范使用国家转移平台，为困难群众提供更优质便捷的医保经办服务。</w:t>
            </w:r>
          </w:p>
        </w:tc>
        <w:tc>
          <w:tcPr>
            <w:tcW w:w="1477" w:type="dxa"/>
            <w:vMerge w:val="continue"/>
            <w:vAlign w:val="center"/>
          </w:tcPr>
          <w:p w14:paraId="621115C6">
            <w:pPr>
              <w:overflowPunct w:val="0"/>
              <w:adjustRightInd w:val="0"/>
              <w:snapToGrid w:val="0"/>
              <w:spacing w:line="260" w:lineRule="exact"/>
              <w:rPr>
                <w:rFonts w:ascii="Times New Roman" w:hAnsi="Times New Roman" w:cs="仿宋_GB2312"/>
                <w:snapToGrid w:val="0"/>
                <w:kern w:val="0"/>
                <w:sz w:val="21"/>
                <w:szCs w:val="21"/>
              </w:rPr>
            </w:pPr>
          </w:p>
        </w:tc>
      </w:tr>
      <w:tr w14:paraId="14FB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645" w:type="dxa"/>
            <w:vAlign w:val="center"/>
          </w:tcPr>
          <w:p w14:paraId="41C637FB">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17</w:t>
            </w:r>
          </w:p>
        </w:tc>
        <w:tc>
          <w:tcPr>
            <w:tcW w:w="4028" w:type="dxa"/>
            <w:vAlign w:val="center"/>
          </w:tcPr>
          <w:p w14:paraId="64F94A4E">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对部门数据实时交互、清洗、比对等相关数字化应用给予支持。</w:t>
            </w:r>
          </w:p>
        </w:tc>
        <w:tc>
          <w:tcPr>
            <w:tcW w:w="3958" w:type="dxa"/>
            <w:vAlign w:val="center"/>
          </w:tcPr>
          <w:p w14:paraId="5B874896">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对部门数据实时交互、清洗、比对等相关数字化应用给予支持。</w:t>
            </w:r>
          </w:p>
        </w:tc>
        <w:tc>
          <w:tcPr>
            <w:tcW w:w="4230" w:type="dxa"/>
            <w:vAlign w:val="center"/>
          </w:tcPr>
          <w:p w14:paraId="7651573C">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对部门数据实时交互、清洗、比对等相关数字化应用给予支持。</w:t>
            </w:r>
          </w:p>
        </w:tc>
        <w:tc>
          <w:tcPr>
            <w:tcW w:w="1477" w:type="dxa"/>
            <w:vAlign w:val="center"/>
          </w:tcPr>
          <w:p w14:paraId="5BD4DCA3">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大数据中心</w:t>
            </w:r>
          </w:p>
        </w:tc>
      </w:tr>
      <w:tr w14:paraId="22B6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645" w:type="dxa"/>
            <w:vAlign w:val="center"/>
          </w:tcPr>
          <w:p w14:paraId="7D11CF17">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18</w:t>
            </w:r>
          </w:p>
        </w:tc>
        <w:tc>
          <w:tcPr>
            <w:tcW w:w="4028" w:type="dxa"/>
            <w:vAlign w:val="center"/>
          </w:tcPr>
          <w:p w14:paraId="5782CB73">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做好基本医保保费征缴、税收优惠政策落实工作。</w:t>
            </w:r>
          </w:p>
        </w:tc>
        <w:tc>
          <w:tcPr>
            <w:tcW w:w="3958" w:type="dxa"/>
            <w:vAlign w:val="center"/>
          </w:tcPr>
          <w:p w14:paraId="0B9E37E5">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做好基本医保保费征缴、税收优惠政策落实工作。</w:t>
            </w:r>
          </w:p>
        </w:tc>
        <w:tc>
          <w:tcPr>
            <w:tcW w:w="4230" w:type="dxa"/>
            <w:vAlign w:val="center"/>
          </w:tcPr>
          <w:p w14:paraId="7B9CE229">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做好基本医保保费征缴、税收优惠政策落实工作。</w:t>
            </w:r>
          </w:p>
        </w:tc>
        <w:tc>
          <w:tcPr>
            <w:tcW w:w="1477" w:type="dxa"/>
            <w:vAlign w:val="center"/>
          </w:tcPr>
          <w:p w14:paraId="5CF21592">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税务局</w:t>
            </w:r>
          </w:p>
        </w:tc>
      </w:tr>
      <w:tr w14:paraId="767A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645" w:type="dxa"/>
            <w:vAlign w:val="center"/>
          </w:tcPr>
          <w:p w14:paraId="17FCEE3C">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19</w:t>
            </w:r>
          </w:p>
        </w:tc>
        <w:tc>
          <w:tcPr>
            <w:tcW w:w="4028" w:type="dxa"/>
            <w:vAlign w:val="center"/>
          </w:tcPr>
          <w:p w14:paraId="3AC654C3">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扎实推进全市商业补充医疗保险“越惠保”稳健可持续发展，</w:t>
            </w:r>
            <w:r>
              <w:rPr>
                <w:rFonts w:hint="eastAsia" w:ascii="Times New Roman" w:hAnsi="Times New Roman" w:cs="仿宋_GB2312"/>
                <w:snapToGrid w:val="0"/>
                <w:kern w:val="0"/>
                <w:sz w:val="21"/>
                <w:szCs w:val="21"/>
              </w:rPr>
              <w:t>力争</w:t>
            </w:r>
            <w:r>
              <w:rPr>
                <w:rFonts w:hint="eastAsia" w:ascii="Times New Roman" w:hAnsi="Times New Roman" w:cs="仿宋_GB2312"/>
                <w:snapToGrid w:val="0"/>
                <w:kern w:val="0"/>
                <w:sz w:val="21"/>
                <w:szCs w:val="21"/>
                <w:lang w:val="en"/>
              </w:rPr>
              <w:t>参保规模、产品赔付和保险服务等在全省均处于前列。</w:t>
            </w:r>
          </w:p>
        </w:tc>
        <w:tc>
          <w:tcPr>
            <w:tcW w:w="3958" w:type="dxa"/>
            <w:vAlign w:val="center"/>
          </w:tcPr>
          <w:p w14:paraId="2AC90E7A">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扎实推进全市商业补充医疗保险“越惠保”稳健可持续发展，</w:t>
            </w:r>
            <w:r>
              <w:rPr>
                <w:rFonts w:hint="eastAsia" w:ascii="Times New Roman" w:hAnsi="Times New Roman" w:cs="仿宋_GB2312"/>
                <w:snapToGrid w:val="0"/>
                <w:kern w:val="0"/>
                <w:sz w:val="21"/>
                <w:szCs w:val="21"/>
              </w:rPr>
              <w:t>力争</w:t>
            </w:r>
            <w:r>
              <w:rPr>
                <w:rFonts w:hint="eastAsia" w:ascii="Times New Roman" w:hAnsi="Times New Roman" w:cs="仿宋_GB2312"/>
                <w:snapToGrid w:val="0"/>
                <w:kern w:val="0"/>
                <w:sz w:val="21"/>
                <w:szCs w:val="21"/>
                <w:lang w:val="en"/>
              </w:rPr>
              <w:t>参保规模、产品赔付和保险服务等在全省均处于前列。</w:t>
            </w:r>
          </w:p>
        </w:tc>
        <w:tc>
          <w:tcPr>
            <w:tcW w:w="4230" w:type="dxa"/>
            <w:vAlign w:val="center"/>
          </w:tcPr>
          <w:p w14:paraId="5958EC71">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扎实推进全市商业补充医疗保险“越惠保”稳健可持续发展，</w:t>
            </w:r>
            <w:r>
              <w:rPr>
                <w:rFonts w:hint="eastAsia" w:ascii="Times New Roman" w:hAnsi="Times New Roman" w:cs="仿宋_GB2312"/>
                <w:snapToGrid w:val="0"/>
                <w:kern w:val="0"/>
                <w:sz w:val="21"/>
                <w:szCs w:val="21"/>
              </w:rPr>
              <w:t>力争</w:t>
            </w:r>
            <w:r>
              <w:rPr>
                <w:rFonts w:hint="eastAsia" w:ascii="Times New Roman" w:hAnsi="Times New Roman" w:cs="仿宋_GB2312"/>
                <w:snapToGrid w:val="0"/>
                <w:kern w:val="0"/>
                <w:sz w:val="21"/>
                <w:szCs w:val="21"/>
                <w:lang w:val="en"/>
              </w:rPr>
              <w:t>参保规模、产品赔付和保险服务等在全省均处于前列。</w:t>
            </w:r>
          </w:p>
        </w:tc>
        <w:tc>
          <w:tcPr>
            <w:tcW w:w="1477" w:type="dxa"/>
            <w:vMerge w:val="restart"/>
            <w:vAlign w:val="center"/>
          </w:tcPr>
          <w:p w14:paraId="3F2183D1">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银保监</w:t>
            </w:r>
          </w:p>
          <w:p w14:paraId="18E64323">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组</w:t>
            </w:r>
          </w:p>
        </w:tc>
      </w:tr>
      <w:tr w14:paraId="2192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645" w:type="dxa"/>
            <w:vAlign w:val="center"/>
          </w:tcPr>
          <w:p w14:paraId="3A295869">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20</w:t>
            </w:r>
          </w:p>
        </w:tc>
        <w:tc>
          <w:tcPr>
            <w:tcW w:w="4028" w:type="dxa"/>
            <w:vAlign w:val="center"/>
          </w:tcPr>
          <w:p w14:paraId="5C4F51BF">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积极发展长期健康保险，稳定人民群众的保障预期；规范发展重大疾病保险，合理提高保障水平，覆盖重特大疾病的高额医疗费用风险敞口。</w:t>
            </w:r>
          </w:p>
        </w:tc>
        <w:tc>
          <w:tcPr>
            <w:tcW w:w="3958" w:type="dxa"/>
            <w:vAlign w:val="center"/>
          </w:tcPr>
          <w:p w14:paraId="0249F9D7">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积极发展长期健康保险，稳定人民群众的保障预期；规范发展重大疾病保险，合理提高保障水平，覆盖重特大疾病的高额医疗费用风险敞口。</w:t>
            </w:r>
          </w:p>
        </w:tc>
        <w:tc>
          <w:tcPr>
            <w:tcW w:w="4230" w:type="dxa"/>
            <w:vAlign w:val="center"/>
          </w:tcPr>
          <w:p w14:paraId="4EF629F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积极发展长期健康保险，稳定人民群众的保障预期；规范发展重大疾病保险，合理提高保障水平，覆盖重特大疾病的高额医疗费用风险敞口。</w:t>
            </w:r>
          </w:p>
        </w:tc>
        <w:tc>
          <w:tcPr>
            <w:tcW w:w="1477" w:type="dxa"/>
            <w:vMerge w:val="continue"/>
            <w:vAlign w:val="center"/>
          </w:tcPr>
          <w:p w14:paraId="66CB3B58">
            <w:pPr>
              <w:overflowPunct w:val="0"/>
              <w:adjustRightInd w:val="0"/>
              <w:snapToGrid w:val="0"/>
              <w:spacing w:line="260" w:lineRule="exact"/>
              <w:rPr>
                <w:rFonts w:ascii="Times New Roman" w:hAnsi="Times New Roman" w:cs="仿宋_GB2312"/>
                <w:snapToGrid w:val="0"/>
                <w:kern w:val="0"/>
                <w:sz w:val="21"/>
                <w:szCs w:val="21"/>
              </w:rPr>
            </w:pPr>
          </w:p>
        </w:tc>
      </w:tr>
      <w:tr w14:paraId="6B0E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645" w:type="dxa"/>
            <w:vAlign w:val="center"/>
          </w:tcPr>
          <w:p w14:paraId="1E12E5D8">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21</w:t>
            </w:r>
          </w:p>
        </w:tc>
        <w:tc>
          <w:tcPr>
            <w:tcW w:w="4028" w:type="dxa"/>
            <w:vAlign w:val="center"/>
          </w:tcPr>
          <w:p w14:paraId="7DE66862">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持续丰富针对儿童、老年人和生活困难群体的保险产品，满足人民群众多层次、多样化、个性化的健康保障需求。</w:t>
            </w:r>
          </w:p>
        </w:tc>
        <w:tc>
          <w:tcPr>
            <w:tcW w:w="3958" w:type="dxa"/>
            <w:vAlign w:val="center"/>
          </w:tcPr>
          <w:p w14:paraId="47DB2AE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持续丰富针对儿童、老年人和生活困难群体的保险产品，满足人民群众多层次、多样化、个性化的健康保障需求。</w:t>
            </w:r>
          </w:p>
        </w:tc>
        <w:tc>
          <w:tcPr>
            <w:tcW w:w="4230" w:type="dxa"/>
            <w:vAlign w:val="center"/>
          </w:tcPr>
          <w:p w14:paraId="686EF93D">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lang w:val="en"/>
              </w:rPr>
              <w:t>持续丰富针对儿童、老年人和生活困难群体的保险产品，满足人民群众多层次、多样化、个性化的健康保障需求。</w:t>
            </w:r>
          </w:p>
        </w:tc>
        <w:tc>
          <w:tcPr>
            <w:tcW w:w="1477" w:type="dxa"/>
            <w:vMerge w:val="continue"/>
            <w:vAlign w:val="center"/>
          </w:tcPr>
          <w:p w14:paraId="34C29C6F">
            <w:pPr>
              <w:overflowPunct w:val="0"/>
              <w:adjustRightInd w:val="0"/>
              <w:snapToGrid w:val="0"/>
              <w:spacing w:line="260" w:lineRule="exact"/>
              <w:rPr>
                <w:rFonts w:ascii="Times New Roman" w:hAnsi="Times New Roman" w:cs="仿宋_GB2312"/>
                <w:snapToGrid w:val="0"/>
                <w:kern w:val="0"/>
                <w:sz w:val="21"/>
                <w:szCs w:val="21"/>
              </w:rPr>
            </w:pPr>
          </w:p>
        </w:tc>
      </w:tr>
      <w:tr w14:paraId="13A4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jc w:val="center"/>
        </w:trPr>
        <w:tc>
          <w:tcPr>
            <w:tcW w:w="645" w:type="dxa"/>
            <w:vAlign w:val="center"/>
          </w:tcPr>
          <w:p w14:paraId="41057BF2">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22</w:t>
            </w:r>
          </w:p>
        </w:tc>
        <w:tc>
          <w:tcPr>
            <w:tcW w:w="4028" w:type="dxa"/>
            <w:vAlign w:val="center"/>
          </w:tcPr>
          <w:p w14:paraId="68B08795">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建立健全困难职工家庭常态化帮扶机制，在保障深度困难职工家庭基本生活基础上，加大对相对困难、因疫因灾等原因意外致困职工家庭帮扶救助力度，实时监测预警，预防返贫返困，切实兜住兜牢困难职工基本生活保障底线。主动感知未曾纳入各类帮扶渠道的因病（意外）致困职工。</w:t>
            </w:r>
          </w:p>
        </w:tc>
        <w:tc>
          <w:tcPr>
            <w:tcW w:w="3958" w:type="dxa"/>
            <w:vAlign w:val="center"/>
          </w:tcPr>
          <w:p w14:paraId="123D2148">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健全因病（意外）致困职工精准机制，根据困难职工的致困原因，针对性制定帮扶服务措施，对具有多重致困因素的困难职工，根据实际情况分类实施医疗救助、生活救助等，多角度、多方式帮扶困难职工家庭缓解现实困难。积极争取地方财政支持、加大工会经费投入、争取社会捐助资金等途径筹集帮扶资金。</w:t>
            </w:r>
          </w:p>
        </w:tc>
        <w:tc>
          <w:tcPr>
            <w:tcW w:w="4230" w:type="dxa"/>
            <w:vAlign w:val="center"/>
          </w:tcPr>
          <w:p w14:paraId="48A414B1">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助推以基本医疗保险为主体，医疗救助为托底，补充医疗保险、商业健康保险、慈善捐赠、医疗互助等共同发展的多层次医疗保障制度建设。进一步推进职工医疗互助工作向纵深发展，至2025年，职工医疗互助救助参保人数超5万。</w:t>
            </w:r>
          </w:p>
        </w:tc>
        <w:tc>
          <w:tcPr>
            <w:tcW w:w="1477" w:type="dxa"/>
            <w:vAlign w:val="center"/>
          </w:tcPr>
          <w:p w14:paraId="78C2E121">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总工会</w:t>
            </w:r>
          </w:p>
        </w:tc>
      </w:tr>
      <w:tr w14:paraId="6DD2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645" w:type="dxa"/>
            <w:vAlign w:val="center"/>
          </w:tcPr>
          <w:p w14:paraId="5CC17683">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23</w:t>
            </w:r>
          </w:p>
        </w:tc>
        <w:tc>
          <w:tcPr>
            <w:tcW w:w="4028" w:type="dxa"/>
            <w:vAlign w:val="center"/>
          </w:tcPr>
          <w:p w14:paraId="4CF40B41">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开展低收入“两癌”妇女救助工作。</w:t>
            </w:r>
          </w:p>
        </w:tc>
        <w:tc>
          <w:tcPr>
            <w:tcW w:w="3958" w:type="dxa"/>
            <w:vAlign w:val="center"/>
          </w:tcPr>
          <w:p w14:paraId="5D68BB81">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开展低收入“两癌”妇女救助工作。</w:t>
            </w:r>
          </w:p>
        </w:tc>
        <w:tc>
          <w:tcPr>
            <w:tcW w:w="4230" w:type="dxa"/>
            <w:vAlign w:val="center"/>
          </w:tcPr>
          <w:p w14:paraId="40C14220">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开展低收入“两癌”妇女救助工作。</w:t>
            </w:r>
          </w:p>
        </w:tc>
        <w:tc>
          <w:tcPr>
            <w:tcW w:w="1477" w:type="dxa"/>
            <w:vMerge w:val="restart"/>
            <w:vAlign w:val="center"/>
          </w:tcPr>
          <w:p w14:paraId="78152D6D">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妇联</w:t>
            </w:r>
          </w:p>
        </w:tc>
      </w:tr>
      <w:tr w14:paraId="5F99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45" w:type="dxa"/>
            <w:vAlign w:val="center"/>
          </w:tcPr>
          <w:p w14:paraId="5D32D047">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24</w:t>
            </w:r>
          </w:p>
        </w:tc>
        <w:tc>
          <w:tcPr>
            <w:tcW w:w="4028" w:type="dxa"/>
            <w:vAlign w:val="center"/>
          </w:tcPr>
          <w:p w14:paraId="3F6124AD">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配合省妇女儿童基金会持续推进“康乃馨女性健康关爱计划”等大病救助项目。</w:t>
            </w:r>
          </w:p>
        </w:tc>
        <w:tc>
          <w:tcPr>
            <w:tcW w:w="3958" w:type="dxa"/>
            <w:vAlign w:val="center"/>
          </w:tcPr>
          <w:p w14:paraId="7627DB35">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配合省妇女儿童基金会持续推进“康乃馨女性健康关爱计划”等大病救助项目。</w:t>
            </w:r>
          </w:p>
        </w:tc>
        <w:tc>
          <w:tcPr>
            <w:tcW w:w="4230" w:type="dxa"/>
            <w:vAlign w:val="center"/>
          </w:tcPr>
          <w:p w14:paraId="07366AC7">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配合省妇女儿童基金会持续推进“康乃馨女性健康关爱计划”等大病救助项目。</w:t>
            </w:r>
          </w:p>
        </w:tc>
        <w:tc>
          <w:tcPr>
            <w:tcW w:w="1477" w:type="dxa"/>
            <w:vMerge w:val="continue"/>
            <w:vAlign w:val="center"/>
          </w:tcPr>
          <w:p w14:paraId="75271CCD">
            <w:pPr>
              <w:overflowPunct w:val="0"/>
              <w:adjustRightInd w:val="0"/>
              <w:snapToGrid w:val="0"/>
              <w:spacing w:line="260" w:lineRule="exact"/>
              <w:rPr>
                <w:rFonts w:ascii="Times New Roman" w:hAnsi="Times New Roman" w:cs="仿宋_GB2312"/>
                <w:snapToGrid w:val="0"/>
                <w:kern w:val="0"/>
                <w:sz w:val="21"/>
                <w:szCs w:val="21"/>
              </w:rPr>
            </w:pPr>
          </w:p>
        </w:tc>
      </w:tr>
      <w:tr w14:paraId="42B3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45" w:type="dxa"/>
            <w:vAlign w:val="center"/>
          </w:tcPr>
          <w:p w14:paraId="19CCF79C">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25</w:t>
            </w:r>
          </w:p>
        </w:tc>
        <w:tc>
          <w:tcPr>
            <w:tcW w:w="4028" w:type="dxa"/>
            <w:vAlign w:val="center"/>
          </w:tcPr>
          <w:p w14:paraId="7C852A52">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常态化开展困难残疾人家庭访视工作，落实残疾儿童康复补贴50人以上。</w:t>
            </w:r>
          </w:p>
        </w:tc>
        <w:tc>
          <w:tcPr>
            <w:tcW w:w="3958" w:type="dxa"/>
            <w:vAlign w:val="center"/>
          </w:tcPr>
          <w:p w14:paraId="4B0DBF32">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常态化开展困难残疾人家庭访视工作，落实残疾儿童康复补贴50人以上。</w:t>
            </w:r>
          </w:p>
        </w:tc>
        <w:tc>
          <w:tcPr>
            <w:tcW w:w="4230" w:type="dxa"/>
            <w:vAlign w:val="center"/>
          </w:tcPr>
          <w:p w14:paraId="40B4DADA">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常态化开展困难残疾人家庭访视工作，落实残疾儿童康复补贴50人以上。</w:t>
            </w:r>
          </w:p>
        </w:tc>
        <w:tc>
          <w:tcPr>
            <w:tcW w:w="1477" w:type="dxa"/>
            <w:vAlign w:val="center"/>
          </w:tcPr>
          <w:p w14:paraId="54509439">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残联</w:t>
            </w:r>
          </w:p>
        </w:tc>
      </w:tr>
      <w:tr w14:paraId="3AA2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45" w:type="dxa"/>
            <w:vAlign w:val="center"/>
          </w:tcPr>
          <w:p w14:paraId="6DA18E1A">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26</w:t>
            </w:r>
          </w:p>
        </w:tc>
        <w:tc>
          <w:tcPr>
            <w:tcW w:w="4028" w:type="dxa"/>
            <w:vAlign w:val="center"/>
          </w:tcPr>
          <w:p w14:paraId="0C14320F">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发挥好“浙江昂利康·白血病救助基金”和“民生药业竺福江爱心助医济困基金”等品牌项目作用。</w:t>
            </w:r>
          </w:p>
        </w:tc>
        <w:tc>
          <w:tcPr>
            <w:tcW w:w="3958" w:type="dxa"/>
            <w:vAlign w:val="center"/>
          </w:tcPr>
          <w:p w14:paraId="34E12F7A">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发挥好“浙江昂利康·白血病救助基金”和“民生药业竺福江爱心助医济困基金”等品牌项目作用。</w:t>
            </w:r>
          </w:p>
        </w:tc>
        <w:tc>
          <w:tcPr>
            <w:tcW w:w="4230" w:type="dxa"/>
            <w:vAlign w:val="center"/>
          </w:tcPr>
          <w:p w14:paraId="50934209">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发挥好“浙江昂利康·白血病救助基金”和“民生药业竺福江爱心助医济困基金”等品牌项目作用。</w:t>
            </w:r>
          </w:p>
        </w:tc>
        <w:tc>
          <w:tcPr>
            <w:tcW w:w="1477" w:type="dxa"/>
            <w:vMerge w:val="restart"/>
            <w:vAlign w:val="center"/>
          </w:tcPr>
          <w:p w14:paraId="686AE166">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红十字会</w:t>
            </w:r>
          </w:p>
        </w:tc>
      </w:tr>
      <w:tr w14:paraId="4FA6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45" w:type="dxa"/>
            <w:vAlign w:val="center"/>
          </w:tcPr>
          <w:p w14:paraId="13F5F848">
            <w:pPr>
              <w:overflowPunct w:val="0"/>
              <w:adjustRightInd w:val="0"/>
              <w:snapToGrid w:val="0"/>
              <w:spacing w:line="260" w:lineRule="exact"/>
              <w:jc w:val="center"/>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27</w:t>
            </w:r>
          </w:p>
        </w:tc>
        <w:tc>
          <w:tcPr>
            <w:tcW w:w="4028" w:type="dxa"/>
            <w:vAlign w:val="center"/>
          </w:tcPr>
          <w:p w14:paraId="2A0EB04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积极利用“浙里博爱”，参与疾病救助网络众筹。</w:t>
            </w:r>
          </w:p>
        </w:tc>
        <w:tc>
          <w:tcPr>
            <w:tcW w:w="3958" w:type="dxa"/>
            <w:vAlign w:val="center"/>
          </w:tcPr>
          <w:p w14:paraId="309D08C7">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积极利用“浙里博爱”，参与疾病救助网络众筹。</w:t>
            </w:r>
          </w:p>
        </w:tc>
        <w:tc>
          <w:tcPr>
            <w:tcW w:w="4230" w:type="dxa"/>
            <w:vAlign w:val="center"/>
          </w:tcPr>
          <w:p w14:paraId="1FFF4144">
            <w:pPr>
              <w:overflowPunct w:val="0"/>
              <w:adjustRightInd w:val="0"/>
              <w:snapToGrid w:val="0"/>
              <w:spacing w:line="260" w:lineRule="exact"/>
              <w:rPr>
                <w:rFonts w:ascii="Times New Roman" w:hAnsi="Times New Roman" w:cs="仿宋_GB2312"/>
                <w:snapToGrid w:val="0"/>
                <w:kern w:val="0"/>
                <w:sz w:val="21"/>
                <w:szCs w:val="21"/>
              </w:rPr>
            </w:pPr>
            <w:r>
              <w:rPr>
                <w:rFonts w:hint="eastAsia" w:ascii="Times New Roman" w:hAnsi="Times New Roman" w:cs="仿宋_GB2312"/>
                <w:snapToGrid w:val="0"/>
                <w:kern w:val="0"/>
                <w:sz w:val="21"/>
                <w:szCs w:val="21"/>
              </w:rPr>
              <w:t>积极利用“浙里博爱”，参与疾病救助网络众筹。</w:t>
            </w:r>
          </w:p>
        </w:tc>
        <w:tc>
          <w:tcPr>
            <w:tcW w:w="1477" w:type="dxa"/>
            <w:vMerge w:val="continue"/>
            <w:vAlign w:val="center"/>
          </w:tcPr>
          <w:p w14:paraId="37C03B44">
            <w:pPr>
              <w:overflowPunct w:val="0"/>
              <w:adjustRightInd w:val="0"/>
              <w:snapToGrid w:val="0"/>
              <w:spacing w:line="260" w:lineRule="exact"/>
              <w:rPr>
                <w:rFonts w:ascii="Times New Roman" w:hAnsi="Times New Roman" w:cs="仿宋_GB2312"/>
                <w:snapToGrid w:val="0"/>
                <w:kern w:val="0"/>
                <w:sz w:val="21"/>
                <w:szCs w:val="21"/>
              </w:rPr>
            </w:pPr>
          </w:p>
        </w:tc>
      </w:tr>
    </w:tbl>
    <w:p w14:paraId="3437B07B">
      <w:pPr>
        <w:overflowPunct w:val="0"/>
        <w:rPr>
          <w:rFonts w:ascii="Times New Roman" w:hAnsi="Times New Roman" w:cs="仿宋_GB2312"/>
          <w:snapToGrid w:val="0"/>
          <w:kern w:val="0"/>
          <w:sz w:val="21"/>
          <w:szCs w:val="21"/>
        </w:rPr>
        <w:sectPr>
          <w:headerReference r:id="rId7" w:type="default"/>
          <w:footerReference r:id="rId8" w:type="default"/>
          <w:pgSz w:w="16838" w:h="11906" w:orient="landscape"/>
          <w:pgMar w:top="1474" w:right="1474" w:bottom="1474" w:left="1474" w:header="851" w:footer="1134" w:gutter="0"/>
          <w:pgNumType w:fmt="numberInDash"/>
          <w:cols w:space="0" w:num="1"/>
          <w:docGrid w:type="lines" w:linePitch="459" w:charSpace="0"/>
        </w:sectPr>
      </w:pPr>
      <w:r>
        <w:rPr>
          <w:rFonts w:hint="eastAsia" w:ascii="Times New Roman" w:hAnsi="Times New Roman" w:cs="仿宋_GB2312"/>
          <w:snapToGrid w:val="0"/>
          <w:kern w:val="0"/>
          <w:sz w:val="21"/>
          <w:szCs w:val="21"/>
        </w:rPr>
        <w:t>备注：各单位可根据当年度本单位工作计划，在此工作清单基础上作适当调整。</w:t>
      </w:r>
    </w:p>
    <w:p w14:paraId="23AE9297">
      <w:pPr>
        <w:overflowPunct w:val="0"/>
        <w:adjustRightInd w:val="0"/>
        <w:snapToGrid w:val="0"/>
        <w:spacing w:line="600" w:lineRule="exact"/>
        <w:rPr>
          <w:rFonts w:ascii="黑体" w:hAnsi="黑体" w:eastAsia="黑体" w:cs="黑体"/>
          <w:szCs w:val="32"/>
        </w:rPr>
      </w:pPr>
      <w:r>
        <w:rPr>
          <w:rFonts w:hint="eastAsia" w:ascii="黑体" w:hAnsi="黑体" w:eastAsia="黑体" w:cs="黑体"/>
          <w:szCs w:val="32"/>
        </w:rPr>
        <w:t>附件</w:t>
      </w:r>
      <w:r>
        <w:rPr>
          <w:rFonts w:hint="eastAsia" w:ascii="Times New Roman" w:hAnsi="Times New Roman" w:eastAsia="黑体" w:cs="Times New Roman"/>
          <w:szCs w:val="32"/>
        </w:rPr>
        <w:t>3</w:t>
      </w:r>
    </w:p>
    <w:p w14:paraId="4A112BCA">
      <w:pPr>
        <w:overflowPunct w:val="0"/>
        <w:spacing w:line="240" w:lineRule="exact"/>
        <w:jc w:val="center"/>
        <w:rPr>
          <w:rFonts w:ascii="方正小标宋简体" w:hAnsi="方正小标宋简体" w:eastAsia="方正小标宋简体"/>
          <w:sz w:val="44"/>
          <w:szCs w:val="44"/>
        </w:rPr>
      </w:pPr>
    </w:p>
    <w:p w14:paraId="1F431A0C">
      <w:pPr>
        <w:overflowPunct w:val="0"/>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嵊州市</w:t>
      </w:r>
      <w:bookmarkStart w:id="6" w:name="_Hlk127957899"/>
      <w:r>
        <w:rPr>
          <w:rFonts w:hint="eastAsia" w:ascii="方正小标宋简体" w:hAnsi="方正小标宋简体" w:eastAsia="方正小标宋简体"/>
          <w:sz w:val="36"/>
          <w:szCs w:val="36"/>
        </w:rPr>
        <w:t>暖心无忧基金</w:t>
      </w:r>
      <w:bookmarkEnd w:id="6"/>
      <w:r>
        <w:rPr>
          <w:rFonts w:hint="eastAsia" w:ascii="方正小标宋简体" w:hAnsi="方正小标宋简体" w:eastAsia="方正小标宋简体"/>
          <w:sz w:val="36"/>
          <w:szCs w:val="36"/>
        </w:rPr>
        <w:t>补助办法（试行）</w:t>
      </w:r>
    </w:p>
    <w:p w14:paraId="14368BA6">
      <w:pPr>
        <w:overflowPunct w:val="0"/>
        <w:ind w:firstLine="640" w:firstLineChars="200"/>
        <w:jc w:val="left"/>
      </w:pPr>
    </w:p>
    <w:p w14:paraId="19550B80">
      <w:pPr>
        <w:overflowPunct w:val="0"/>
        <w:spacing w:line="534" w:lineRule="exact"/>
        <w:ind w:firstLine="640" w:firstLineChars="200"/>
        <w:rPr>
          <w:rFonts w:ascii="仿宋_GB2312" w:hAnsi="仿宋_GB2312" w:cs="仿宋_GB2312"/>
          <w:szCs w:val="32"/>
        </w:rPr>
      </w:pPr>
      <w:r>
        <w:rPr>
          <w:rFonts w:hint="eastAsia" w:ascii="仿宋_GB2312" w:hAnsi="仿宋_GB2312" w:cs="仿宋_GB2312"/>
          <w:szCs w:val="32"/>
        </w:rPr>
        <w:t>为进一步巩固脱贫攻坚成果，促进高质量建设共同富裕示范区，建立健全因病致贫返贫防范长效机制，强化兜底保障机制，切实减轻群众看病就医后顾之忧，根据《嵊州市构建因病致贫返贫防范长效机制实施方案（2022—2025年）》要求，结合我市实际，现就嵊州市暖心无忧基金制定如下补助办法（试行）。</w:t>
      </w:r>
    </w:p>
    <w:p w14:paraId="715276EA">
      <w:pPr>
        <w:pStyle w:val="21"/>
        <w:numPr>
          <w:ilvl w:val="0"/>
          <w:numId w:val="6"/>
        </w:numPr>
        <w:overflowPunct w:val="0"/>
        <w:spacing w:line="534" w:lineRule="exact"/>
        <w:ind w:left="0" w:firstLine="640"/>
        <w:rPr>
          <w:rFonts w:ascii="仿宋_GB2312" w:hAnsi="仿宋_GB2312" w:cs="仿宋_GB2312"/>
          <w:szCs w:val="32"/>
        </w:rPr>
      </w:pPr>
      <w:r>
        <w:rPr>
          <w:rFonts w:hint="eastAsia" w:ascii="黑体" w:hAnsi="黑体" w:eastAsia="黑体"/>
        </w:rPr>
        <w:t>资金筹集。</w:t>
      </w:r>
      <w:r>
        <w:rPr>
          <w:rFonts w:hint="eastAsia" w:ascii="仿宋_GB2312" w:hAnsi="仿宋_GB2312" w:cs="仿宋_GB2312"/>
          <w:szCs w:val="32"/>
        </w:rPr>
        <w:t>财政每年安排预算100万元。慈善总会畅通社会力量参与暖心无忧基金渠道，向上市企业和其他爱心人士及组织等多途径募集社会资金，每年提供资金帮扶100万元以上，并逐年递增。</w:t>
      </w:r>
    </w:p>
    <w:p w14:paraId="3AC7F6FA">
      <w:pPr>
        <w:pStyle w:val="21"/>
        <w:numPr>
          <w:ilvl w:val="0"/>
          <w:numId w:val="6"/>
        </w:numPr>
        <w:overflowPunct w:val="0"/>
        <w:spacing w:line="534" w:lineRule="exact"/>
        <w:ind w:left="0" w:firstLine="640"/>
        <w:rPr>
          <w:rFonts w:ascii="黑体" w:hAnsi="黑体" w:eastAsia="黑体"/>
        </w:rPr>
      </w:pPr>
      <w:r>
        <w:rPr>
          <w:rFonts w:hint="eastAsia" w:ascii="黑体" w:hAnsi="黑体" w:eastAsia="黑体"/>
        </w:rPr>
        <w:t>补助标准</w:t>
      </w:r>
    </w:p>
    <w:p w14:paraId="2CBDEEF6">
      <w:pPr>
        <w:overflowPunct w:val="0"/>
        <w:spacing w:line="534" w:lineRule="exact"/>
        <w:ind w:firstLine="640" w:firstLineChars="200"/>
        <w:rPr>
          <w:rFonts w:ascii="仿宋_GB2312" w:hAnsi="仿宋_GB2312" w:cs="仿宋_GB2312"/>
          <w:szCs w:val="32"/>
        </w:rPr>
      </w:pPr>
      <w:r>
        <w:rPr>
          <w:rFonts w:hint="eastAsia" w:ascii="仿宋_GB2312" w:hAnsi="仿宋_GB2312" w:cs="仿宋_GB2312"/>
          <w:szCs w:val="32"/>
        </w:rPr>
        <w:t>困难人员（指特困人员、低保人员、低边人员和因病纳入低保或低边的支出型困难人员）年度内累计医疗费用经基本医保、大病保险、医疗救助、临时救助、商业健康保险、红十字会、慈善总会等报销、救助、补助后，个人负担金额较大的，给与适当比例的补助。具体补助标准根据年度资金筹集情况、困难人员年度自负医疗费用发生情况和年度低保低边认定标准等因素确定，由医保部门和民政部门提出意见，提交因病致贫返贫防范长效机制跨部门专班会议审核确定。</w:t>
      </w:r>
    </w:p>
    <w:p w14:paraId="6DD5D34E">
      <w:pPr>
        <w:pStyle w:val="21"/>
        <w:numPr>
          <w:ilvl w:val="0"/>
          <w:numId w:val="6"/>
        </w:numPr>
        <w:overflowPunct w:val="0"/>
        <w:ind w:left="0" w:firstLine="640"/>
        <w:rPr>
          <w:rFonts w:ascii="黑体" w:hAnsi="黑体" w:eastAsia="黑体"/>
        </w:rPr>
      </w:pPr>
      <w:r>
        <w:rPr>
          <w:rFonts w:hint="eastAsia" w:ascii="黑体" w:hAnsi="黑体" w:eastAsia="黑体"/>
        </w:rPr>
        <w:t>补助流程</w:t>
      </w:r>
    </w:p>
    <w:p w14:paraId="6E58A0C9">
      <w:pPr>
        <w:pStyle w:val="21"/>
        <w:overflowPunct w:val="0"/>
        <w:ind w:firstLine="640"/>
        <w:rPr>
          <w:rFonts w:ascii="仿宋_GB2312" w:hAnsi="仿宋_GB2312" w:cs="仿宋_GB2312"/>
          <w:szCs w:val="32"/>
        </w:rPr>
      </w:pPr>
      <w:r>
        <w:rPr>
          <w:rFonts w:hint="eastAsia" w:ascii="仿宋_GB2312" w:hAnsi="仿宋_GB2312" w:cs="仿宋_GB2312"/>
          <w:szCs w:val="32"/>
        </w:rPr>
        <w:t>为及时化解困难人员高额医疗费用负担，切实兜住兜牢因病困难人员的基本生活保障底线，高效发挥暖心无忧基金的兜底保障功能，应根据需要及时召开因病致贫返贫防范长效机制跨部门专班会议，核准补助人员信息，核发补助金额。</w:t>
      </w:r>
    </w:p>
    <w:p w14:paraId="35170104">
      <w:pPr>
        <w:pStyle w:val="21"/>
        <w:overflowPunct w:val="0"/>
        <w:ind w:left="640" w:firstLine="0" w:firstLineChars="0"/>
        <w:rPr>
          <w:rFonts w:ascii="仿宋_GB2312" w:hAnsi="仿宋_GB2312" w:cs="仿宋_GB2312"/>
          <w:szCs w:val="32"/>
        </w:rPr>
      </w:pPr>
      <w:r>
        <w:rPr>
          <w:rFonts w:hint="eastAsia" w:ascii="仿宋_GB2312" w:hAnsi="仿宋_GB2312" w:cs="仿宋_GB2312"/>
          <w:szCs w:val="32"/>
        </w:rPr>
        <w:t>暖心无忧基金按以下流程补助：</w:t>
      </w:r>
    </w:p>
    <w:p w14:paraId="24E67F71">
      <w:pPr>
        <w:pStyle w:val="21"/>
        <w:numPr>
          <w:ilvl w:val="3"/>
          <w:numId w:val="6"/>
        </w:numPr>
        <w:overflowPunct w:val="0"/>
        <w:ind w:left="0" w:firstLine="640"/>
        <w:rPr>
          <w:rFonts w:ascii="仿宋_GB2312" w:hAnsi="仿宋_GB2312" w:cs="仿宋_GB2312"/>
          <w:szCs w:val="32"/>
        </w:rPr>
      </w:pPr>
      <w:r>
        <w:rPr>
          <w:rFonts w:hint="eastAsia" w:ascii="仿宋_GB2312" w:hAnsi="仿宋_GB2312" w:cs="仿宋_GB2312"/>
          <w:szCs w:val="32"/>
        </w:rPr>
        <w:t>医保局统计困难人员医疗费用发生情况，形成初步名单，发送因病致贫返贫防范长效机制跨部门专班会议各成员单位。</w:t>
      </w:r>
    </w:p>
    <w:p w14:paraId="4FCB27E2">
      <w:pPr>
        <w:pStyle w:val="21"/>
        <w:numPr>
          <w:ilvl w:val="3"/>
          <w:numId w:val="6"/>
        </w:numPr>
        <w:overflowPunct w:val="0"/>
        <w:ind w:left="0" w:firstLine="640"/>
        <w:rPr>
          <w:rFonts w:ascii="仿宋_GB2312" w:hAnsi="仿宋_GB2312" w:cs="仿宋_GB2312"/>
          <w:szCs w:val="32"/>
        </w:rPr>
      </w:pPr>
      <w:r>
        <w:rPr>
          <w:rFonts w:hint="eastAsia" w:ascii="仿宋_GB2312" w:hAnsi="仿宋_GB2312" w:cs="仿宋_GB2312"/>
          <w:szCs w:val="32"/>
        </w:rPr>
        <w:t>各成员单位统计初步名单人员的报销、救助、补助金额，发送医保部门，医保局汇总后形成需核实名单。</w:t>
      </w:r>
    </w:p>
    <w:p w14:paraId="1484C7E6">
      <w:pPr>
        <w:pStyle w:val="21"/>
        <w:numPr>
          <w:ilvl w:val="3"/>
          <w:numId w:val="6"/>
        </w:numPr>
        <w:overflowPunct w:val="0"/>
        <w:ind w:left="0" w:firstLine="640"/>
        <w:rPr>
          <w:rFonts w:ascii="仿宋_GB2312" w:hAnsi="仿宋_GB2312" w:cs="仿宋_GB2312"/>
          <w:szCs w:val="32"/>
        </w:rPr>
      </w:pPr>
      <w:r>
        <w:rPr>
          <w:rFonts w:hint="eastAsia" w:ascii="仿宋_GB2312" w:hAnsi="仿宋_GB2312" w:cs="仿宋_GB2312"/>
          <w:szCs w:val="32"/>
        </w:rPr>
        <w:t>医保局将需核实名单发送民政局，民政局充分发挥乡镇（街道）村（社区）两级干部、基层网格员、民政助理员、社会组织、社会志愿者等力量，主动上门调查核实该些人员的医疗费用发生情况和各类报销、救助、补助等情况，形成需补助名单和金额。</w:t>
      </w:r>
    </w:p>
    <w:p w14:paraId="0E4FD53B">
      <w:pPr>
        <w:pStyle w:val="21"/>
        <w:numPr>
          <w:ilvl w:val="3"/>
          <w:numId w:val="6"/>
        </w:numPr>
        <w:overflowPunct w:val="0"/>
        <w:ind w:left="0" w:firstLine="640"/>
        <w:rPr>
          <w:rFonts w:ascii="仿宋_GB2312" w:hAnsi="仿宋_GB2312" w:cs="仿宋_GB2312"/>
          <w:szCs w:val="32"/>
        </w:rPr>
      </w:pPr>
      <w:r>
        <w:rPr>
          <w:rFonts w:hint="eastAsia" w:ascii="仿宋_GB2312" w:hAnsi="仿宋_GB2312" w:cs="仿宋_GB2312"/>
          <w:szCs w:val="32"/>
        </w:rPr>
        <w:t>医保局和民政局将需补助名单和金额提交因病致贫返贫防范长效机制跨部门专班会议审核，审核后形成最终补助名单和金额。</w:t>
      </w:r>
    </w:p>
    <w:p w14:paraId="30916468">
      <w:pPr>
        <w:pStyle w:val="21"/>
        <w:numPr>
          <w:ilvl w:val="3"/>
          <w:numId w:val="6"/>
        </w:numPr>
        <w:overflowPunct w:val="0"/>
        <w:ind w:left="0" w:firstLine="640"/>
        <w:rPr>
          <w:rFonts w:ascii="仿宋_GB2312" w:hAnsi="仿宋_GB2312" w:cs="仿宋_GB2312"/>
          <w:szCs w:val="32"/>
        </w:rPr>
      </w:pPr>
      <w:r>
        <w:rPr>
          <w:rFonts w:hint="eastAsia" w:ascii="仿宋_GB2312" w:hAnsi="仿宋_GB2312" w:cs="仿宋_GB2312"/>
          <w:szCs w:val="32"/>
        </w:rPr>
        <w:t>医保局对最终补助名单人员进行补助。</w:t>
      </w:r>
    </w:p>
    <w:p w14:paraId="19EA0053">
      <w:pPr>
        <w:pStyle w:val="21"/>
        <w:numPr>
          <w:ilvl w:val="0"/>
          <w:numId w:val="7"/>
        </w:numPr>
        <w:overflowPunct w:val="0"/>
        <w:ind w:firstLine="640"/>
        <w:rPr>
          <w:rFonts w:ascii="仿宋_GB2312" w:hAnsi="仿宋_GB2312" w:cs="仿宋_GB2312"/>
          <w:szCs w:val="32"/>
        </w:rPr>
      </w:pPr>
      <w:r>
        <w:rPr>
          <w:rFonts w:hint="eastAsia" w:ascii="黑体" w:hAnsi="黑体" w:eastAsia="黑体" w:cs="黑体"/>
        </w:rPr>
        <w:t>其他</w:t>
      </w:r>
      <w:r>
        <w:rPr>
          <w:rFonts w:hint="eastAsia" w:ascii="黑体" w:hAnsi="黑体" w:eastAsia="黑体"/>
        </w:rPr>
        <w:t>。</w:t>
      </w:r>
      <w:r>
        <w:rPr>
          <w:rFonts w:hint="eastAsia" w:ascii="仿宋_GB2312" w:hAnsi="仿宋_GB2312" w:cs="仿宋_GB2312"/>
          <w:szCs w:val="32"/>
        </w:rPr>
        <w:t>市级暖心无忧专项基金由医保局管理，实行专款专用，不得截留、挤占、挪用。年度内，财政投入资金额度不再追加，基金总额用完即止；民政局在收到医保局提供的补助名单等信息后及时将帮扶资金划入市级暖心无忧专项基金账户；基金有结余的，流转下一年度使用。医保局需完成基金使用情况年度报告，提交因病致贫返贫防范长效机制跨部门专班会议审议。</w:t>
      </w:r>
    </w:p>
    <w:sectPr>
      <w:pgSz w:w="11906" w:h="16838"/>
      <w:pgMar w:top="1984" w:right="1587" w:bottom="1814" w:left="1587" w:header="851" w:footer="1417" w:gutter="0"/>
      <w:pgNumType w:fmt="numberInDash"/>
      <w:cols w:space="0" w:num="1"/>
      <w:docGrid w:type="lines" w:linePitch="45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A64CB1-5C98-4305-9B0F-48F2AAC70F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D266EFC-318E-4BBB-BF13-1613A6EC8039}"/>
  </w:font>
  <w:font w:name="仿宋_GB2312">
    <w:altName w:val="仿宋"/>
    <w:panose1 w:val="00000000000000000000"/>
    <w:charset w:val="86"/>
    <w:family w:val="auto"/>
    <w:pitch w:val="default"/>
    <w:sig w:usb0="00000000" w:usb1="00000000" w:usb2="00000000" w:usb3="00000000" w:csb0="00040000" w:csb1="00000000"/>
    <w:embedRegular r:id="rId3" w:fontKey="{83214BB7-4FDB-44A8-B485-58B0C2896485}"/>
  </w:font>
  <w:font w:name="FZXBSJW--GB1-0">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E-BZ-PK7481d2-Identity-H">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embedRegular r:id="rId4" w:fontKey="{705C5A37-BA31-4160-82C6-E2E856AE4093}"/>
  </w:font>
  <w:font w:name="方正公文小标宋">
    <w:altName w:val="宋体"/>
    <w:panose1 w:val="00000000000000000000"/>
    <w:charset w:val="86"/>
    <w:family w:val="auto"/>
    <w:pitch w:val="default"/>
    <w:sig w:usb0="00000000" w:usb1="00000000" w:usb2="00000016" w:usb3="00000000" w:csb0="00040001" w:csb1="00000000"/>
    <w:embedRegular r:id="rId5" w:fontKey="{63D7CCD8-D8D5-4719-AD29-2A9FE2027006}"/>
  </w:font>
  <w:font w:name="楷体_GB2312">
    <w:altName w:val="楷体"/>
    <w:panose1 w:val="00000000000000000000"/>
    <w:charset w:val="86"/>
    <w:family w:val="auto"/>
    <w:pitch w:val="default"/>
    <w:sig w:usb0="00000000" w:usb1="00000000" w:usb2="00000000" w:usb3="00000000" w:csb0="00040000" w:csb1="00000000"/>
    <w:embedRegular r:id="rId6" w:fontKey="{40A2D804-FD6A-4EAC-9E2C-E6A0241A6AB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4C0C">
    <w:pPr>
      <w:pStyle w:val="10"/>
      <w:ind w:right="360" w:firstLine="360"/>
      <w:rPr>
        <w:sz w:val="28"/>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48A0C">
                          <w:pPr>
                            <w:pStyle w:val="1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E548A0C">
                    <w:pPr>
                      <w:pStyle w:val="1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30226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wps:spPr>
                    <wps:txbx>
                      <w:txbxContent>
                        <w:p w14:paraId="0999E5EA">
                          <w:pPr>
                            <w:pStyle w:val="10"/>
                          </w:pPr>
                        </w:p>
                        <w:p w14:paraId="2078A676"/>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8pt;width:9.05pt;mso-position-horizontal:center;mso-position-horizontal-relative:margin;mso-wrap-style:none;z-index:251661312;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blidEAAAADAQAADwAAAAAAAAABACAAAAAiAAAAZHJz&#10;L2Rvd25yZXYueG1sUEsBAhQAFAAAAAgAh07iQOypXvsLAgAAAgQAAA4AAAAAAAAAAQAgAAAAIAEA&#10;AGRycy9lMm9Eb2MueG1sUEsFBgAAAAAGAAYAWQEAAJ0FAAAAAA==&#10;">
              <v:fill on="f" focussize="0,0"/>
              <v:stroke on="f"/>
              <v:imagedata o:title=""/>
              <o:lock v:ext="edit" aspectratio="f"/>
              <v:textbox inset="0mm,0mm,0mm,0mm" style="mso-fit-shape-to-text:t;">
                <w:txbxContent>
                  <w:p w14:paraId="0999E5EA">
                    <w:pPr>
                      <w:pStyle w:val="10"/>
                    </w:pPr>
                  </w:p>
                  <w:p w14:paraId="2078A67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3AA4">
    <w:pPr>
      <w:pStyle w:val="10"/>
      <w:ind w:right="360" w:firstLine="360"/>
      <w:rPr>
        <w:sz w:val="28"/>
      </w:rP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2B0C3">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B72B0C3">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EA588F">
                          <w:pPr>
                            <w:pStyle w:val="10"/>
                          </w:pPr>
                        </w:p>
                        <w:p w14:paraId="4D5B2ACD"/>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3FEA588F">
                    <w:pPr>
                      <w:pStyle w:val="10"/>
                    </w:pPr>
                  </w:p>
                  <w:p w14:paraId="4D5B2AC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8CBC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86E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44D04"/>
    <w:multiLevelType w:val="multilevel"/>
    <w:tmpl w:val="00944D04"/>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9D33AC"/>
    <w:multiLevelType w:val="multilevel"/>
    <w:tmpl w:val="009D33AC"/>
    <w:lvl w:ilvl="0" w:tentative="0">
      <w:start w:val="1"/>
      <w:numFmt w:val="chineseCountingThousand"/>
      <w:suff w:val="nothing"/>
      <w:lvlText w:val="%1、"/>
      <w:lvlJc w:val="left"/>
      <w:pPr>
        <w:ind w:left="420" w:hanging="420"/>
      </w:pPr>
      <w:rPr>
        <w:rFonts w:hint="eastAsia"/>
        <w:b/>
        <w:bCs/>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3D44EE"/>
    <w:multiLevelType w:val="multilevel"/>
    <w:tmpl w:val="0C3D44EE"/>
    <w:lvl w:ilvl="0" w:tentative="0">
      <w:start w:val="1"/>
      <w:numFmt w:val="decimal"/>
      <w:suff w:val="nothing"/>
      <w:lvlText w:val="%1."/>
      <w:lvlJc w:val="left"/>
      <w:pPr>
        <w:ind w:left="795" w:hanging="795"/>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637395"/>
    <w:multiLevelType w:val="singleLevel"/>
    <w:tmpl w:val="26637395"/>
    <w:lvl w:ilvl="0" w:tentative="0">
      <w:start w:val="4"/>
      <w:numFmt w:val="chineseCounting"/>
      <w:suff w:val="nothing"/>
      <w:lvlText w:val="%1、"/>
      <w:lvlJc w:val="left"/>
      <w:rPr>
        <w:rFonts w:hint="eastAsia" w:ascii="黑体" w:hAnsi="黑体" w:eastAsia="黑体" w:cs="黑体"/>
      </w:rPr>
    </w:lvl>
  </w:abstractNum>
  <w:abstractNum w:abstractNumId="4">
    <w:nsid w:val="33C667F4"/>
    <w:multiLevelType w:val="multilevel"/>
    <w:tmpl w:val="33C667F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723975"/>
    <w:multiLevelType w:val="multilevel"/>
    <w:tmpl w:val="3B723975"/>
    <w:lvl w:ilvl="0" w:tentative="0">
      <w:start w:val="1"/>
      <w:numFmt w:val="decimal"/>
      <w:suff w:val="nothing"/>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692648"/>
    <w:multiLevelType w:val="multilevel"/>
    <w:tmpl w:val="3D692648"/>
    <w:lvl w:ilvl="0" w:tentative="0">
      <w:start w:val="1"/>
      <w:numFmt w:val="chineseCountingThousand"/>
      <w:suff w:val="nothing"/>
      <w:lvlText w:val="%1、"/>
      <w:lvlJc w:val="left"/>
      <w:pPr>
        <w:ind w:left="720" w:hanging="720"/>
      </w:pPr>
      <w:rPr>
        <w:rFonts w:hint="eastAsia" w:ascii="黑体" w:hAnsi="黑体" w:eastAsia="黑体" w:cs="黑体"/>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suff w:val="nothing"/>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0"/>
  <w:drawingGridHorizontalSpacing w:val="160"/>
  <w:drawingGridVerticalSpacing w:val="45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ZmZiZGU4MDg4NWFiNmMzYzZlZTI4M2JjOTM0NTYifQ=="/>
  </w:docVars>
  <w:rsids>
    <w:rsidRoot w:val="00297C7F"/>
    <w:rsid w:val="0003019F"/>
    <w:rsid w:val="00094BD3"/>
    <w:rsid w:val="000C1903"/>
    <w:rsid w:val="000D4AAE"/>
    <w:rsid w:val="001555E6"/>
    <w:rsid w:val="00162DAE"/>
    <w:rsid w:val="001A584D"/>
    <w:rsid w:val="001B2AC2"/>
    <w:rsid w:val="001B49C8"/>
    <w:rsid w:val="001C717C"/>
    <w:rsid w:val="001E65E5"/>
    <w:rsid w:val="00206F4C"/>
    <w:rsid w:val="002615D8"/>
    <w:rsid w:val="002627E9"/>
    <w:rsid w:val="00271D5F"/>
    <w:rsid w:val="00272E17"/>
    <w:rsid w:val="00297C7F"/>
    <w:rsid w:val="002A2C1C"/>
    <w:rsid w:val="002A5B12"/>
    <w:rsid w:val="002B2849"/>
    <w:rsid w:val="002D2D7A"/>
    <w:rsid w:val="002F0529"/>
    <w:rsid w:val="00325966"/>
    <w:rsid w:val="00330F91"/>
    <w:rsid w:val="00344478"/>
    <w:rsid w:val="00346900"/>
    <w:rsid w:val="00354A69"/>
    <w:rsid w:val="0036555B"/>
    <w:rsid w:val="00390A34"/>
    <w:rsid w:val="003E4D06"/>
    <w:rsid w:val="003F54E5"/>
    <w:rsid w:val="00404246"/>
    <w:rsid w:val="00445B7B"/>
    <w:rsid w:val="00447701"/>
    <w:rsid w:val="00463F77"/>
    <w:rsid w:val="00484299"/>
    <w:rsid w:val="00492208"/>
    <w:rsid w:val="004C3A03"/>
    <w:rsid w:val="004C6469"/>
    <w:rsid w:val="004F41B0"/>
    <w:rsid w:val="0054488B"/>
    <w:rsid w:val="00547B27"/>
    <w:rsid w:val="00547C88"/>
    <w:rsid w:val="005533FA"/>
    <w:rsid w:val="00556187"/>
    <w:rsid w:val="005606FE"/>
    <w:rsid w:val="005B077A"/>
    <w:rsid w:val="00641BDE"/>
    <w:rsid w:val="00650B3E"/>
    <w:rsid w:val="00652BE1"/>
    <w:rsid w:val="0066459D"/>
    <w:rsid w:val="006E6486"/>
    <w:rsid w:val="00764E27"/>
    <w:rsid w:val="00790A5E"/>
    <w:rsid w:val="0079365C"/>
    <w:rsid w:val="00794CC0"/>
    <w:rsid w:val="007A48DD"/>
    <w:rsid w:val="00801D12"/>
    <w:rsid w:val="00820672"/>
    <w:rsid w:val="00836FCE"/>
    <w:rsid w:val="008912EC"/>
    <w:rsid w:val="008B0F28"/>
    <w:rsid w:val="008C0CD4"/>
    <w:rsid w:val="008D4993"/>
    <w:rsid w:val="008E69B2"/>
    <w:rsid w:val="00905DD1"/>
    <w:rsid w:val="00946273"/>
    <w:rsid w:val="0094699B"/>
    <w:rsid w:val="00951875"/>
    <w:rsid w:val="0096723F"/>
    <w:rsid w:val="00982F62"/>
    <w:rsid w:val="009850C7"/>
    <w:rsid w:val="0099286A"/>
    <w:rsid w:val="009A4928"/>
    <w:rsid w:val="009C0BB9"/>
    <w:rsid w:val="009D00CC"/>
    <w:rsid w:val="009E1C88"/>
    <w:rsid w:val="00A47972"/>
    <w:rsid w:val="00A56E2B"/>
    <w:rsid w:val="00A945B1"/>
    <w:rsid w:val="00AB47CF"/>
    <w:rsid w:val="00AC78D1"/>
    <w:rsid w:val="00AD1591"/>
    <w:rsid w:val="00AE4705"/>
    <w:rsid w:val="00AE47E3"/>
    <w:rsid w:val="00B15892"/>
    <w:rsid w:val="00B26A70"/>
    <w:rsid w:val="00B42C89"/>
    <w:rsid w:val="00B54A73"/>
    <w:rsid w:val="00B57226"/>
    <w:rsid w:val="00B91437"/>
    <w:rsid w:val="00BB4633"/>
    <w:rsid w:val="00BC33A5"/>
    <w:rsid w:val="00BC614E"/>
    <w:rsid w:val="00BF21C4"/>
    <w:rsid w:val="00BF31E4"/>
    <w:rsid w:val="00C45ADC"/>
    <w:rsid w:val="00C964F3"/>
    <w:rsid w:val="00CB14E8"/>
    <w:rsid w:val="00D121EF"/>
    <w:rsid w:val="00D37580"/>
    <w:rsid w:val="00D43A07"/>
    <w:rsid w:val="00DE40A4"/>
    <w:rsid w:val="00E179DA"/>
    <w:rsid w:val="00E80FC4"/>
    <w:rsid w:val="00E84F18"/>
    <w:rsid w:val="00EB370A"/>
    <w:rsid w:val="00EE1DDA"/>
    <w:rsid w:val="00EF1975"/>
    <w:rsid w:val="00F037C1"/>
    <w:rsid w:val="00F0481C"/>
    <w:rsid w:val="00F17529"/>
    <w:rsid w:val="00F366CD"/>
    <w:rsid w:val="07190CB8"/>
    <w:rsid w:val="1045300B"/>
    <w:rsid w:val="11F867F6"/>
    <w:rsid w:val="12415CB3"/>
    <w:rsid w:val="14930FA1"/>
    <w:rsid w:val="16364CBC"/>
    <w:rsid w:val="18A36CD8"/>
    <w:rsid w:val="19E02DFC"/>
    <w:rsid w:val="1D8138D6"/>
    <w:rsid w:val="1EB924AD"/>
    <w:rsid w:val="21250E4F"/>
    <w:rsid w:val="24805806"/>
    <w:rsid w:val="26271489"/>
    <w:rsid w:val="280626B3"/>
    <w:rsid w:val="2EF57E92"/>
    <w:rsid w:val="3128284A"/>
    <w:rsid w:val="31E60698"/>
    <w:rsid w:val="3AF84BD8"/>
    <w:rsid w:val="3B410447"/>
    <w:rsid w:val="3F517860"/>
    <w:rsid w:val="40066326"/>
    <w:rsid w:val="42294FF4"/>
    <w:rsid w:val="440340E3"/>
    <w:rsid w:val="4AEE76F9"/>
    <w:rsid w:val="4E17700D"/>
    <w:rsid w:val="548D1FAE"/>
    <w:rsid w:val="5E9A26B8"/>
    <w:rsid w:val="5EE11E13"/>
    <w:rsid w:val="604B7DA6"/>
    <w:rsid w:val="64A37AD7"/>
    <w:rsid w:val="67991E74"/>
    <w:rsid w:val="6A1C7EA2"/>
    <w:rsid w:val="6A9A0071"/>
    <w:rsid w:val="6B2541AF"/>
    <w:rsid w:val="6FFF3474"/>
    <w:rsid w:val="78774165"/>
    <w:rsid w:val="7A994909"/>
    <w:rsid w:val="7A9D118A"/>
    <w:rsid w:val="7AFEC3C2"/>
    <w:rsid w:val="7B80320C"/>
    <w:rsid w:val="7C172A86"/>
    <w:rsid w:val="7E2174C8"/>
    <w:rsid w:val="ABFBEA68"/>
    <w:rsid w:val="B97F586C"/>
    <w:rsid w:val="B9A31130"/>
    <w:rsid w:val="EEFEBBA4"/>
    <w:rsid w:val="F3F6ADB9"/>
    <w:rsid w:val="FD7652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link w:val="22"/>
    <w:qFormat/>
    <w:uiPriority w:val="9"/>
    <w:pPr>
      <w:keepNext/>
      <w:keepLines/>
      <w:spacing w:before="340" w:after="330" w:line="578" w:lineRule="atLeast"/>
      <w:outlineLvl w:val="0"/>
    </w:pPr>
    <w:rPr>
      <w:rFonts w:eastAsia="黑体"/>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line="580" w:lineRule="exact"/>
      <w:ind w:firstLine="420" w:firstLineChars="200"/>
    </w:pPr>
    <w:rPr>
      <w:rFonts w:hint="eastAsia" w:ascii="仿宋_GB2312" w:hAnsi="Calibri" w:cs="Times New Roman"/>
      <w:szCs w:val="32"/>
    </w:rPr>
  </w:style>
  <w:style w:type="paragraph" w:styleId="3">
    <w:name w:val="Body Text Indent"/>
    <w:basedOn w:val="1"/>
    <w:unhideWhenUsed/>
    <w:qFormat/>
    <w:uiPriority w:val="99"/>
    <w:pPr>
      <w:ind w:left="420" w:leftChars="200"/>
    </w:pPr>
  </w:style>
  <w:style w:type="paragraph" w:styleId="5">
    <w:name w:val="Body Text"/>
    <w:basedOn w:val="1"/>
    <w:next w:val="6"/>
    <w:link w:val="28"/>
    <w:semiHidden/>
    <w:unhideWhenUsed/>
    <w:qFormat/>
    <w:uiPriority w:val="99"/>
    <w:pPr>
      <w:spacing w:after="120"/>
    </w:pPr>
  </w:style>
  <w:style w:type="paragraph" w:styleId="6">
    <w:name w:val="Body Text First Indent"/>
    <w:basedOn w:val="5"/>
    <w:next w:val="1"/>
    <w:unhideWhenUsed/>
    <w:qFormat/>
    <w:uiPriority w:val="99"/>
    <w:pPr>
      <w:ind w:firstLine="420" w:firstLineChars="100"/>
      <w:jc w:val="center"/>
    </w:pPr>
    <w:rPr>
      <w:rFonts w:ascii="Times New Roman" w:hAnsi="Times New Roman" w:eastAsia="宋体" w:cs="Times New Roman"/>
      <w:snapToGrid w:val="0"/>
      <w:sz w:val="44"/>
      <w:szCs w:val="24"/>
    </w:rPr>
  </w:style>
  <w:style w:type="paragraph" w:styleId="7">
    <w:name w:val="Date"/>
    <w:basedOn w:val="1"/>
    <w:next w:val="1"/>
    <w:link w:val="20"/>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rPr>
      <w:rFonts w:ascii="Times New Roman" w:hAnsi="Times New Roman" w:cs="Times New Roman"/>
      <w:kern w:val="0"/>
      <w:sz w:val="28"/>
      <w:szCs w:val="28"/>
    </w:rPr>
  </w:style>
  <w:style w:type="paragraph" w:styleId="9">
    <w:name w:val="Balloon Text"/>
    <w:basedOn w:val="1"/>
    <w:link w:val="26"/>
    <w:semiHidden/>
    <w:unhideWhenUsed/>
    <w:qFormat/>
    <w:uiPriority w:val="99"/>
    <w:pPr>
      <w:spacing w:line="240" w:lineRule="auto"/>
    </w:pPr>
    <w:rPr>
      <w:sz w:val="18"/>
      <w:szCs w:val="18"/>
    </w:rPr>
  </w:style>
  <w:style w:type="paragraph" w:styleId="10">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16"/>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spacing w:before="100" w:beforeAutospacing="1" w:after="100" w:afterAutospacing="1" w:line="240" w:lineRule="auto"/>
      <w:jc w:val="left"/>
    </w:pPr>
    <w:rPr>
      <w:rFonts w:ascii="Times New Roman" w:hAnsi="Times New Roman" w:eastAsia="宋体" w:cs="Times New Roman"/>
      <w:kern w:val="0"/>
      <w:sz w:val="24"/>
      <w:szCs w:val="24"/>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1"/>
    <w:qFormat/>
    <w:uiPriority w:val="99"/>
    <w:rPr>
      <w:rFonts w:eastAsia="仿宋_GB2312"/>
      <w:sz w:val="18"/>
      <w:szCs w:val="18"/>
    </w:rPr>
  </w:style>
  <w:style w:type="character" w:customStyle="1" w:styleId="17">
    <w:name w:val="页脚 字符"/>
    <w:basedOn w:val="15"/>
    <w:link w:val="10"/>
    <w:qFormat/>
    <w:uiPriority w:val="99"/>
    <w:rPr>
      <w:rFonts w:eastAsia="仿宋_GB2312"/>
      <w:sz w:val="18"/>
      <w:szCs w:val="18"/>
    </w:rPr>
  </w:style>
  <w:style w:type="character" w:customStyle="1" w:styleId="18">
    <w:name w:val="fontstyle01"/>
    <w:basedOn w:val="15"/>
    <w:qFormat/>
    <w:uiPriority w:val="0"/>
    <w:rPr>
      <w:rFonts w:hint="default" w:ascii="FZXBSJW--GB1-0" w:hAnsi="FZXBSJW--GB1-0"/>
      <w:color w:val="000000"/>
      <w:sz w:val="44"/>
      <w:szCs w:val="44"/>
    </w:rPr>
  </w:style>
  <w:style w:type="character" w:customStyle="1" w:styleId="19">
    <w:name w:val="fontstyle11"/>
    <w:basedOn w:val="15"/>
    <w:qFormat/>
    <w:uiPriority w:val="0"/>
    <w:rPr>
      <w:rFonts w:hint="default" w:ascii="E-BZ-PK7481d2-Identity-H" w:hAnsi="E-BZ-PK7481d2-Identity-H"/>
      <w:color w:val="000000"/>
      <w:sz w:val="40"/>
      <w:szCs w:val="40"/>
    </w:rPr>
  </w:style>
  <w:style w:type="character" w:customStyle="1" w:styleId="20">
    <w:name w:val="日期 字符"/>
    <w:basedOn w:val="15"/>
    <w:link w:val="7"/>
    <w:semiHidden/>
    <w:qFormat/>
    <w:uiPriority w:val="99"/>
    <w:rPr>
      <w:rFonts w:eastAsia="仿宋_GB2312"/>
      <w:sz w:val="32"/>
    </w:rPr>
  </w:style>
  <w:style w:type="paragraph" w:styleId="21">
    <w:name w:val="List Paragraph"/>
    <w:basedOn w:val="1"/>
    <w:qFormat/>
    <w:uiPriority w:val="34"/>
    <w:pPr>
      <w:ind w:firstLine="420" w:firstLineChars="200"/>
    </w:pPr>
  </w:style>
  <w:style w:type="character" w:customStyle="1" w:styleId="22">
    <w:name w:val="标题 1 字符"/>
    <w:basedOn w:val="15"/>
    <w:link w:val="4"/>
    <w:qFormat/>
    <w:uiPriority w:val="9"/>
    <w:rPr>
      <w:rFonts w:eastAsia="黑体"/>
      <w:b/>
      <w:bCs/>
      <w:kern w:val="44"/>
      <w:sz w:val="44"/>
      <w:szCs w:val="44"/>
    </w:rPr>
  </w:style>
  <w:style w:type="character" w:customStyle="1" w:styleId="23">
    <w:name w:val="fontstyle21"/>
    <w:basedOn w:val="15"/>
    <w:qFormat/>
    <w:uiPriority w:val="0"/>
    <w:rPr>
      <w:rFonts w:hint="eastAsia" w:ascii="仿宋_GB2312" w:eastAsia="仿宋_GB2312"/>
      <w:color w:val="000000"/>
      <w:sz w:val="32"/>
      <w:szCs w:val="32"/>
    </w:rPr>
  </w:style>
  <w:style w:type="character" w:customStyle="1" w:styleId="24">
    <w:name w:val="fontstyle31"/>
    <w:basedOn w:val="15"/>
    <w:qFormat/>
    <w:uiPriority w:val="0"/>
    <w:rPr>
      <w:rFonts w:hint="eastAsia" w:ascii="宋体" w:hAnsi="宋体" w:eastAsia="宋体"/>
      <w:color w:val="000000"/>
      <w:sz w:val="28"/>
      <w:szCs w:val="28"/>
    </w:rPr>
  </w:style>
  <w:style w:type="character" w:customStyle="1" w:styleId="25">
    <w:name w:val="fontstyle41"/>
    <w:basedOn w:val="15"/>
    <w:qFormat/>
    <w:uiPriority w:val="0"/>
    <w:rPr>
      <w:rFonts w:hint="default" w:ascii="TimesNewRomanPSMT" w:hAnsi="TimesNewRomanPSMT"/>
      <w:color w:val="000000"/>
      <w:sz w:val="32"/>
      <w:szCs w:val="32"/>
    </w:rPr>
  </w:style>
  <w:style w:type="character" w:customStyle="1" w:styleId="26">
    <w:name w:val="批注框文本 字符"/>
    <w:basedOn w:val="15"/>
    <w:link w:val="9"/>
    <w:semiHidden/>
    <w:qFormat/>
    <w:uiPriority w:val="99"/>
    <w:rPr>
      <w:rFonts w:eastAsia="仿宋_GB2312"/>
      <w:sz w:val="18"/>
      <w:szCs w:val="18"/>
    </w:rPr>
  </w:style>
  <w:style w:type="paragraph" w:customStyle="1" w:styleId="27">
    <w:name w:val="Body Text First Indent1"/>
    <w:basedOn w:val="5"/>
    <w:qFormat/>
    <w:uiPriority w:val="0"/>
    <w:pPr>
      <w:spacing w:after="0" w:line="240" w:lineRule="auto"/>
      <w:ind w:firstLine="420" w:firstLineChars="100"/>
      <w:jc w:val="center"/>
    </w:pPr>
    <w:rPr>
      <w:rFonts w:hint="eastAsia" w:ascii="仿宋_GB2312" w:hAnsi="Calibri" w:eastAsia="宋体" w:cs="Times New Roman"/>
      <w:b/>
      <w:bCs/>
      <w:snapToGrid w:val="0"/>
      <w:kern w:val="0"/>
      <w:sz w:val="21"/>
      <w:szCs w:val="21"/>
    </w:rPr>
  </w:style>
  <w:style w:type="character" w:customStyle="1" w:styleId="28">
    <w:name w:val="正文文本 字符"/>
    <w:basedOn w:val="15"/>
    <w:link w:val="5"/>
    <w:semiHidden/>
    <w:qFormat/>
    <w:uiPriority w:val="99"/>
    <w:rPr>
      <w:rFonts w:eastAsia="仿宋_GB2312"/>
      <w:sz w:val="32"/>
    </w:rPr>
  </w:style>
  <w:style w:type="paragraph" w:customStyle="1" w:styleId="29">
    <w:name w:val="p0"/>
    <w:basedOn w:val="1"/>
    <w:qFormat/>
    <w:uiPriority w:val="99"/>
    <w:pPr>
      <w:widowControl/>
      <w:ind w:firstLine="420"/>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6813</Words>
  <Characters>7020</Characters>
  <Lines>79</Lines>
  <Paragraphs>22</Paragraphs>
  <TotalTime>1</TotalTime>
  <ScaleCrop>false</ScaleCrop>
  <LinksUpToDate>false</LinksUpToDate>
  <CharactersWithSpaces>7045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2023-02-21T08:53:00Z</dcterms:created>
  <dc:creator>未定义</dc:creator>
  <cp:lastModifiedBy>YanG.YanG.</cp:lastModifiedBy>
  <cp:lastPrinted>2023-05-05T00:47:00Z</cp:lastPrinted>
  <dcterms:modified xsi:type="dcterms:W3CDTF">2025-05-07T09:17:39Z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D2DBB16D0EE3400EBC18BAAEBFF967EA</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eyJoZGlkIjoiNjU2NDYwMWNkODMwYzgzZjk5MTY0YzZlMjc4MDk5ODgiLCJ1c2VySWQiOiI2MjAzNjE3NDgifQ==</vt:lpwstr>
  </property>
</Properties>
</file>