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C77C1">
      <w:pPr>
        <w:snapToGrid w:val="0"/>
        <w:spacing w:line="600" w:lineRule="exact"/>
        <w:jc w:val="center"/>
        <w:rPr>
          <w:rFonts w:hint="eastAsia" w:ascii="Times New Roman" w:hAnsi="Times New Roman" w:eastAsia="方正小标宋简体" w:cs="Times New Roman"/>
          <w:sz w:val="44"/>
          <w:szCs w:val="44"/>
        </w:rPr>
      </w:pPr>
      <w:bookmarkStart w:id="0" w:name="OLE_LINK10"/>
      <w:r>
        <w:rPr>
          <w:rFonts w:hint="eastAsia" w:ascii="Times New Roman" w:hAnsi="Times New Roman" w:eastAsia="方正小标宋简体" w:cs="Times New Roman"/>
          <w:sz w:val="44"/>
          <w:szCs w:val="44"/>
        </w:rPr>
        <w:t>乐清市人民政府办公室关于加强耕地开垦费</w:t>
      </w:r>
    </w:p>
    <w:p w14:paraId="565D42FD">
      <w:pPr>
        <w:snapToGrid w:val="0"/>
        <w:spacing w:line="600" w:lineRule="exact"/>
        <w:jc w:val="center"/>
        <w:rPr>
          <w:rFonts w:hint="eastAsia" w:ascii="仿宋_GB2312" w:hAnsi="Times New Roman" w:eastAsia="仿宋_GB2312" w:cs="仿宋_GB2312"/>
          <w:color w:val="000000"/>
          <w:sz w:val="32"/>
          <w:szCs w:val="32"/>
        </w:rPr>
      </w:pPr>
      <w:r>
        <w:rPr>
          <w:rFonts w:hint="eastAsia" w:ascii="Times New Roman" w:hAnsi="Times New Roman" w:eastAsia="方正小标宋简体" w:cs="Times New Roman"/>
          <w:sz w:val="44"/>
          <w:szCs w:val="44"/>
        </w:rPr>
        <w:t>和补充耕地资金收缴与使用管理的</w:t>
      </w:r>
      <w:r>
        <w:rPr>
          <w:rFonts w:hint="eastAsia" w:ascii="方正小标宋简体" w:hAnsi="方正小标宋简体" w:eastAsia="方正小标宋简体" w:cs="方正小标宋简体"/>
          <w:sz w:val="44"/>
          <w:szCs w:val="44"/>
        </w:rPr>
        <w:t>通知</w:t>
      </w:r>
      <w:bookmarkEnd w:id="0"/>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bookmarkStart w:id="1" w:name="OLE_LINK2"/>
      <w:bookmarkStart w:id="5" w:name="_GoBack"/>
      <w:bookmarkEnd w:id="5"/>
    </w:p>
    <w:p w14:paraId="39FB6F87">
      <w:pPr>
        <w:spacing w:line="600" w:lineRule="exact"/>
        <w:jc w:val="left"/>
        <w:rPr>
          <w:rFonts w:ascii="仿宋_GB2312" w:eastAsia="仿宋_GB2312" w:cs="仿宋_GB2312"/>
          <w:color w:val="000000"/>
          <w:sz w:val="32"/>
          <w:szCs w:val="32"/>
        </w:rPr>
      </w:pPr>
      <w:r>
        <w:rPr>
          <w:rFonts w:hint="eastAsia" w:ascii="仿宋_GB2312" w:hAnsi="Times New Roman" w:eastAsia="仿宋_GB2312" w:cs="仿宋_GB2312"/>
          <w:color w:val="000000"/>
          <w:sz w:val="32"/>
          <w:szCs w:val="32"/>
        </w:rPr>
        <w:t>各乡镇人民政府（街道办事处）</w:t>
      </w:r>
      <w:bookmarkEnd w:id="1"/>
      <w:r>
        <w:rPr>
          <w:rFonts w:hint="eastAsia" w:ascii="仿宋_GB2312" w:hAnsi="Times New Roman" w:eastAsia="仿宋_GB2312" w:cs="仿宋_GB2312"/>
          <w:color w:val="000000"/>
          <w:sz w:val="32"/>
          <w:szCs w:val="32"/>
        </w:rPr>
        <w:t>、功能区：</w:t>
      </w:r>
    </w:p>
    <w:p w14:paraId="06BB96EC">
      <w:pPr>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cs="仿宋_GB2312"/>
          <w:sz w:val="32"/>
          <w:szCs w:val="32"/>
        </w:rPr>
        <w:t>为切实加强耕地开垦费使用管理，进一步规范补充耕地资金的收缴和使用，</w:t>
      </w:r>
      <w:r>
        <w:rPr>
          <w:rFonts w:ascii="Times New Roman" w:hAnsi="Times New Roman" w:eastAsia="仿宋_GB2312"/>
          <w:sz w:val="32"/>
          <w:szCs w:val="32"/>
        </w:rPr>
        <w:t>根据《浙江省人民政府办公厅关于调整耕地开垦费等有关政策的通知》</w:t>
      </w:r>
      <w:r>
        <w:rPr>
          <w:rFonts w:hint="eastAsia" w:ascii="Times New Roman" w:hAnsi="Times New Roman" w:eastAsia="仿宋_GB2312"/>
          <w:sz w:val="32"/>
          <w:szCs w:val="32"/>
        </w:rPr>
        <w:t>（浙政办函〔2025〕2号）和</w:t>
      </w:r>
      <w:r>
        <w:rPr>
          <w:rFonts w:hint="eastAsia" w:ascii="Times New Roman" w:hAnsi="Times New Roman" w:eastAsia="仿宋_GB2312"/>
          <w:sz w:val="32"/>
          <w:szCs w:val="32"/>
          <w:lang w:val="en-US" w:eastAsia="zh-CN"/>
        </w:rPr>
        <w:t>《浙江省自然资源厅 浙江省发展和改革委员会 浙江省财政厅印发关于加强耕地开垦费和补充耕地资金收缴与使用管理的通知》（浙自然资函〔2025〕4号）</w:t>
      </w:r>
      <w:r>
        <w:rPr>
          <w:rFonts w:ascii="Times New Roman" w:hAnsi="Times New Roman" w:eastAsia="仿宋_GB2312"/>
          <w:sz w:val="32"/>
          <w:szCs w:val="32"/>
        </w:rPr>
        <w:t>要求，</w:t>
      </w:r>
      <w:r>
        <w:rPr>
          <w:rFonts w:hint="eastAsia" w:ascii="Times New Roman" w:hAnsi="Times New Roman" w:eastAsia="仿宋_GB2312"/>
          <w:sz w:val="32"/>
          <w:szCs w:val="32"/>
        </w:rPr>
        <w:t>现将有关事项通知如下：</w:t>
      </w:r>
    </w:p>
    <w:p w14:paraId="6DB9D157">
      <w:pPr>
        <w:spacing w:line="6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一、征收范围</w:t>
      </w:r>
    </w:p>
    <w:p w14:paraId="309CC87E">
      <w:pPr>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非农业建设经批准占用耕地的单位和个人，按照“占多少，垦多少”的原则，由占用耕地的单位</w:t>
      </w:r>
      <w:r>
        <w:rPr>
          <w:rFonts w:ascii="仿宋_GB2312" w:hAnsi="仿宋_GB2312" w:eastAsia="仿宋_GB2312" w:cs="仿宋_GB2312"/>
          <w:color w:val="000000"/>
          <w:sz w:val="32"/>
          <w:szCs w:val="32"/>
        </w:rPr>
        <w:t>或者</w:t>
      </w:r>
      <w:r>
        <w:rPr>
          <w:rFonts w:hint="eastAsia" w:ascii="仿宋_GB2312" w:hAnsi="仿宋_GB2312" w:eastAsia="仿宋_GB2312" w:cs="仿宋_GB2312"/>
          <w:color w:val="000000"/>
          <w:sz w:val="32"/>
          <w:szCs w:val="32"/>
        </w:rPr>
        <w:t>个人负责</w:t>
      </w:r>
      <w:r>
        <w:rPr>
          <w:rFonts w:hint="eastAsia" w:ascii="仿宋_GB2312" w:hAnsi="仿宋_GB2312" w:eastAsia="仿宋_GB2312" w:cs="仿宋_GB2312"/>
          <w:color w:val="000000"/>
          <w:sz w:val="32"/>
          <w:szCs w:val="32"/>
          <w:lang w:val="en-US" w:eastAsia="zh-CN"/>
        </w:rPr>
        <w:t>恢复（</w:t>
      </w:r>
      <w:r>
        <w:rPr>
          <w:rFonts w:hint="eastAsia" w:ascii="仿宋_GB2312" w:hAnsi="仿宋_GB2312" w:eastAsia="仿宋_GB2312" w:cs="仿宋_GB2312"/>
          <w:color w:val="000000"/>
          <w:sz w:val="32"/>
          <w:szCs w:val="32"/>
        </w:rPr>
        <w:t>开垦</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与占用耕地数量和质量相当的耕地；没有条件</w:t>
      </w:r>
      <w:r>
        <w:rPr>
          <w:rFonts w:hint="eastAsia" w:ascii="仿宋_GB2312" w:hAnsi="仿宋_GB2312" w:eastAsia="仿宋_GB2312" w:cs="仿宋_GB2312"/>
          <w:color w:val="000000"/>
          <w:sz w:val="32"/>
          <w:szCs w:val="32"/>
          <w:lang w:val="en-US" w:eastAsia="zh-CN"/>
        </w:rPr>
        <w:t>恢复（</w:t>
      </w:r>
      <w:r>
        <w:rPr>
          <w:rFonts w:hint="eastAsia" w:ascii="仿宋_GB2312" w:hAnsi="仿宋_GB2312" w:eastAsia="仿宋_GB2312" w:cs="仿宋_GB2312"/>
          <w:color w:val="000000"/>
          <w:sz w:val="32"/>
          <w:szCs w:val="32"/>
        </w:rPr>
        <w:t>开垦</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或开垦的耕地不符合要求的，按照规定标准</w:t>
      </w:r>
      <w:r>
        <w:rPr>
          <w:rFonts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rPr>
        <w:t>市</w:t>
      </w:r>
      <w:r>
        <w:rPr>
          <w:rFonts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rPr>
        <w:t>部门缴纳</w:t>
      </w:r>
      <w:bookmarkStart w:id="2" w:name="OLE_LINK14"/>
      <w:r>
        <w:rPr>
          <w:rFonts w:hint="eastAsia" w:ascii="仿宋_GB2312" w:hAnsi="仿宋_GB2312" w:eastAsia="仿宋_GB2312" w:cs="仿宋_GB2312"/>
          <w:color w:val="000000"/>
          <w:sz w:val="32"/>
          <w:szCs w:val="32"/>
        </w:rPr>
        <w:t>耕地开垦费</w:t>
      </w:r>
      <w:bookmarkEnd w:id="2"/>
      <w:r>
        <w:rPr>
          <w:rFonts w:hint="eastAsia" w:ascii="仿宋_GB2312" w:hAnsi="仿宋_GB2312" w:eastAsia="仿宋_GB2312" w:cs="仿宋_GB2312"/>
          <w:color w:val="000000"/>
          <w:sz w:val="32"/>
          <w:szCs w:val="32"/>
        </w:rPr>
        <w:t>和委托补充耕地产生的相关费用（以下简称补充耕地资金），</w:t>
      </w:r>
      <w:bookmarkStart w:id="3" w:name="OLE_LINK1"/>
      <w:r>
        <w:rPr>
          <w:rFonts w:hint="eastAsia" w:ascii="仿宋_GB2312" w:hAnsi="仿宋_GB2312" w:eastAsia="仿宋_GB2312" w:cs="仿宋_GB2312"/>
          <w:color w:val="000000"/>
          <w:sz w:val="32"/>
          <w:szCs w:val="32"/>
        </w:rPr>
        <w:t>委托市政府组织</w:t>
      </w:r>
      <w:r>
        <w:rPr>
          <w:rFonts w:hint="eastAsia" w:ascii="仿宋_GB2312" w:hAnsi="仿宋_GB2312" w:eastAsia="仿宋_GB2312" w:cs="仿宋_GB2312"/>
          <w:color w:val="000000"/>
          <w:sz w:val="32"/>
          <w:szCs w:val="32"/>
          <w:lang w:val="en-US" w:eastAsia="zh-CN"/>
        </w:rPr>
        <w:t>恢复（</w:t>
      </w:r>
      <w:r>
        <w:rPr>
          <w:rFonts w:hint="eastAsia" w:ascii="仿宋_GB2312" w:hAnsi="仿宋_GB2312" w:eastAsia="仿宋_GB2312" w:cs="仿宋_GB2312"/>
          <w:color w:val="000000"/>
          <w:sz w:val="32"/>
          <w:szCs w:val="32"/>
        </w:rPr>
        <w:t>开垦</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相应的耕地</w:t>
      </w:r>
      <w:bookmarkEnd w:id="3"/>
      <w:r>
        <w:rPr>
          <w:rFonts w:ascii="仿宋_GB2312" w:hAnsi="仿宋_GB2312" w:eastAsia="仿宋_GB2312" w:cs="仿宋_GB2312"/>
          <w:color w:val="000000"/>
          <w:sz w:val="32"/>
          <w:szCs w:val="32"/>
        </w:rPr>
        <w:t>或者异地调剂补充耕地指标</w:t>
      </w:r>
      <w:r>
        <w:rPr>
          <w:rFonts w:hint="eastAsia" w:ascii="仿宋_GB2312" w:hAnsi="仿宋_GB2312" w:eastAsia="仿宋_GB2312" w:cs="仿宋_GB2312"/>
          <w:color w:val="000000"/>
          <w:sz w:val="32"/>
          <w:szCs w:val="32"/>
        </w:rPr>
        <w:t>。耕地开垦费和补充耕地资金作为建设成本，列入建设项目总投资或生产成本。</w:t>
      </w:r>
    </w:p>
    <w:p w14:paraId="3BB0D55F">
      <w:pPr>
        <w:spacing w:line="60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二、征收标准</w:t>
      </w:r>
    </w:p>
    <w:p w14:paraId="1AB56926">
      <w:pPr>
        <w:ind w:firstLine="480" w:firstLineChars="15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耕地开垦费</w:t>
      </w:r>
      <w:r>
        <w:rPr>
          <w:rFonts w:ascii="仿宋_GB2312" w:hAnsi="仿宋_GB2312" w:eastAsia="仿宋_GB2312" w:cs="仿宋_GB2312"/>
          <w:color w:val="000000"/>
          <w:sz w:val="32"/>
          <w:szCs w:val="32"/>
        </w:rPr>
        <w:t>：</w:t>
      </w:r>
      <w:r>
        <w:rPr>
          <w:rFonts w:hint="eastAsia" w:ascii="Times New Roman" w:hAnsi="Times New Roman" w:eastAsia="仿宋_GB2312"/>
          <w:color w:val="000000"/>
          <w:sz w:val="32"/>
          <w:szCs w:val="32"/>
        </w:rPr>
        <w:t>按照《浙江省人民政府办公厅关于调整耕地开垦费有关政策的通知》（浙政办函〔</w:t>
      </w:r>
      <w:r>
        <w:rPr>
          <w:rFonts w:ascii="Times New Roman" w:hAnsi="Times New Roman" w:eastAsia="仿宋_GB2312"/>
          <w:color w:val="000000"/>
          <w:sz w:val="32"/>
          <w:szCs w:val="32"/>
        </w:rPr>
        <w:t>2025</w:t>
      </w:r>
      <w:r>
        <w:rPr>
          <w:rFonts w:hint="eastAsia" w:ascii="Times New Roman" w:hAnsi="Times New Roman" w:eastAsia="仿宋_GB2312"/>
          <w:color w:val="000000"/>
          <w:sz w:val="32"/>
          <w:szCs w:val="32"/>
        </w:rPr>
        <w:t>〕２号）规定标准执行。</w:t>
      </w:r>
      <w:r>
        <w:rPr>
          <w:rFonts w:hint="eastAsia" w:ascii="仿宋_GB2312" w:hAnsi="仿宋_GB2312" w:eastAsia="仿宋_GB2312" w:cs="仿宋_GB2312"/>
          <w:color w:val="000000"/>
          <w:sz w:val="32"/>
          <w:szCs w:val="32"/>
        </w:rPr>
        <w:t>根据建设项目占用耕地质量等别，划分为４档，分别征收耕地开垦费：一类2-4等为72元／平方米，二类5-7等为64元／平方米，三类8-10</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等为56元／平方米，四类11-13等为40元／平方米。经依法批准占用永久基本农田的，按照上述标准的２</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倍收缴。</w:t>
      </w:r>
    </w:p>
    <w:p w14:paraId="29AE02D7">
      <w:pPr>
        <w:ind w:firstLine="480" w:firstLineChars="15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补充耕地资金</w:t>
      </w:r>
      <w:r>
        <w:rPr>
          <w:rFonts w:ascii="仿宋_GB2312" w:hAnsi="仿宋_GB2312" w:eastAsia="仿宋_GB2312" w:cs="仿宋_GB2312"/>
          <w:color w:val="000000"/>
          <w:sz w:val="32"/>
          <w:szCs w:val="32"/>
        </w:rPr>
        <w:t>：</w:t>
      </w:r>
      <w:bookmarkStart w:id="4" w:name="OLE_LINK3"/>
      <w:r>
        <w:rPr>
          <w:rFonts w:hint="eastAsia" w:ascii="仿宋_GB2312" w:hAnsi="仿宋_GB2312" w:eastAsia="仿宋_GB2312" w:cs="仿宋_GB2312"/>
          <w:color w:val="000000"/>
          <w:sz w:val="32"/>
          <w:szCs w:val="32"/>
        </w:rPr>
        <w:t>按照</w:t>
      </w:r>
      <w:r>
        <w:rPr>
          <w:rFonts w:hint="eastAsia" w:ascii="Times New Roman" w:hAnsi="Times New Roman" w:eastAsia="仿宋_GB2312"/>
          <w:color w:val="000000"/>
          <w:sz w:val="32"/>
          <w:szCs w:val="32"/>
        </w:rPr>
        <w:t>《浙江省人民政府办公厅关于调整耕地开垦费有关政策的通知》（浙政办函〔</w:t>
      </w:r>
      <w:r>
        <w:rPr>
          <w:rFonts w:ascii="Times New Roman" w:hAnsi="Times New Roman" w:eastAsia="仿宋_GB2312"/>
          <w:color w:val="000000"/>
          <w:sz w:val="32"/>
          <w:szCs w:val="32"/>
        </w:rPr>
        <w:t>2025</w:t>
      </w:r>
      <w:r>
        <w:rPr>
          <w:rFonts w:hint="eastAsia" w:ascii="Times New Roman" w:hAnsi="Times New Roman" w:eastAsia="仿宋_GB2312"/>
          <w:color w:val="000000"/>
          <w:sz w:val="32"/>
          <w:szCs w:val="32"/>
        </w:rPr>
        <w:t>〕２号）</w:t>
      </w:r>
      <w:r>
        <w:rPr>
          <w:rFonts w:hint="eastAsia" w:ascii="Times New Roman" w:hAnsi="Times New Roman" w:eastAsia="仿宋_GB2312"/>
          <w:color w:val="000000"/>
          <w:sz w:val="32"/>
          <w:szCs w:val="32"/>
          <w:lang w:eastAsia="zh-CN"/>
        </w:rPr>
        <w:t>征收标准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结合我市可恢复耕地后备资源稀缺以及耕地恢复成本等因素，</w:t>
      </w:r>
      <w:r>
        <w:rPr>
          <w:rFonts w:hint="eastAsia" w:ascii="仿宋_GB2312" w:hAnsi="仿宋_GB2312" w:eastAsia="仿宋_GB2312" w:cs="仿宋_GB2312"/>
          <w:color w:val="000000"/>
          <w:sz w:val="32"/>
          <w:szCs w:val="32"/>
          <w:lang w:val="en-US" w:eastAsia="zh-CN"/>
        </w:rPr>
        <w:t>非农业建设项目占用耕地</w:t>
      </w:r>
      <w:r>
        <w:rPr>
          <w:rFonts w:hint="eastAsia" w:ascii="仿宋_GB2312" w:hAnsi="仿宋_GB2312" w:eastAsia="仿宋_GB2312" w:cs="仿宋_GB2312"/>
          <w:color w:val="000000"/>
          <w:sz w:val="32"/>
          <w:szCs w:val="32"/>
          <w:lang w:eastAsia="zh-CN"/>
        </w:rPr>
        <w:t>（旱地、水田）</w:t>
      </w:r>
      <w:r>
        <w:rPr>
          <w:rFonts w:hint="eastAsia" w:ascii="仿宋_GB2312" w:hAnsi="仿宋_GB2312" w:eastAsia="仿宋_GB2312" w:cs="仿宋_GB2312"/>
          <w:color w:val="000000"/>
          <w:sz w:val="32"/>
          <w:szCs w:val="32"/>
        </w:rPr>
        <w:t>补充耕地资金征收标准</w:t>
      </w:r>
      <w:r>
        <w:rPr>
          <w:rFonts w:hint="eastAsia" w:ascii="仿宋_GB2312" w:hAnsi="仿宋_GB2312" w:eastAsia="仿宋_GB2312" w:cs="仿宋_GB2312"/>
          <w:color w:val="000000"/>
          <w:sz w:val="32"/>
          <w:szCs w:val="32"/>
          <w:lang w:val="en-US" w:eastAsia="zh-CN"/>
        </w:rPr>
        <w:t>统一</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万元/亩</w:t>
      </w:r>
      <w:bookmarkEnd w:id="4"/>
      <w:r>
        <w:rPr>
          <w:rFonts w:hint="eastAsia" w:ascii="仿宋_GB2312" w:hAnsi="仿宋_GB2312" w:eastAsia="仿宋_GB2312" w:cs="仿宋_GB2312"/>
          <w:color w:val="000000"/>
          <w:sz w:val="32"/>
          <w:szCs w:val="32"/>
        </w:rPr>
        <w:t>。</w:t>
      </w:r>
    </w:p>
    <w:p w14:paraId="28345D67">
      <w:pPr>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对于使用已购入的国家统筹、</w:t>
      </w:r>
      <w:r>
        <w:rPr>
          <w:rFonts w:hint="eastAsia" w:ascii="仿宋_GB2312" w:hAnsi="仿宋_GB2312" w:eastAsia="仿宋_GB2312" w:cs="仿宋_GB2312"/>
          <w:color w:val="000000"/>
          <w:sz w:val="32"/>
          <w:szCs w:val="32"/>
        </w:rPr>
        <w:t>省统筹、异地调剂</w:t>
      </w:r>
      <w:r>
        <w:rPr>
          <w:rFonts w:ascii="仿宋_GB2312" w:hAnsi="仿宋_GB2312" w:eastAsia="仿宋_GB2312" w:cs="仿宋_GB2312"/>
          <w:color w:val="000000"/>
          <w:sz w:val="32"/>
          <w:szCs w:val="32"/>
        </w:rPr>
        <w:t>补充耕地指标的，补充耕地资金可按原调剂补充耕地指标价格执行。</w:t>
      </w:r>
    </w:p>
    <w:p w14:paraId="71DE1B7A">
      <w:pPr>
        <w:ind w:firstLine="321"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三、征收程序</w:t>
      </w:r>
    </w:p>
    <w:p w14:paraId="5D79A02D">
      <w:pPr>
        <w:widowControl/>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非农</w:t>
      </w:r>
      <w:r>
        <w:rPr>
          <w:rFonts w:hint="eastAsia" w:ascii="Times New Roman" w:hAnsi="Times New Roman" w:eastAsia="仿宋_GB2312"/>
          <w:sz w:val="32"/>
          <w:szCs w:val="32"/>
          <w:lang w:val="en-US" w:eastAsia="zh-CN"/>
        </w:rPr>
        <w:t>业</w:t>
      </w:r>
      <w:r>
        <w:rPr>
          <w:rFonts w:hint="eastAsia" w:ascii="Times New Roman" w:hAnsi="Times New Roman" w:eastAsia="仿宋_GB2312"/>
          <w:sz w:val="32"/>
          <w:szCs w:val="32"/>
        </w:rPr>
        <w:t>建设占用耕地的在申请办理农用地转用审批前，用地申请单位或者个人凭借市</w:t>
      </w:r>
      <w:r>
        <w:rPr>
          <w:rFonts w:hint="eastAsia" w:ascii="Times New Roman" w:hAnsi="Times New Roman" w:eastAsia="仿宋_GB2312"/>
          <w:sz w:val="32"/>
          <w:szCs w:val="32"/>
          <w:lang w:val="en-US" w:eastAsia="zh-CN"/>
        </w:rPr>
        <w:t>自然资源和规划局</w:t>
      </w:r>
      <w:r>
        <w:rPr>
          <w:rFonts w:hint="eastAsia" w:ascii="Times New Roman" w:hAnsi="Times New Roman" w:eastAsia="仿宋_GB2312"/>
          <w:sz w:val="32"/>
          <w:szCs w:val="32"/>
        </w:rPr>
        <w:t>开具的缴款通知书</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足额</w:t>
      </w:r>
      <w:r>
        <w:rPr>
          <w:rFonts w:hint="eastAsia" w:ascii="Times New Roman" w:hAnsi="Times New Roman" w:eastAsia="仿宋_GB2312"/>
          <w:sz w:val="32"/>
          <w:szCs w:val="32"/>
        </w:rPr>
        <w:t>缴纳耕地开垦费和补充耕地资金。耕地开垦费和补充耕地资金纳入一般公共预算管理，具体收缴流程按非税收入管理规定执行。省级耕地开垦费统一</w:t>
      </w:r>
      <w:r>
        <w:rPr>
          <w:rFonts w:hint="eastAsia" w:ascii="Times New Roman" w:hAnsi="Times New Roman" w:eastAsia="仿宋_GB2312"/>
          <w:sz w:val="32"/>
          <w:szCs w:val="32"/>
          <w:lang w:val="en-US" w:eastAsia="zh-CN"/>
        </w:rPr>
        <w:t>由</w:t>
      </w:r>
      <w:r>
        <w:rPr>
          <w:rFonts w:hint="eastAsia" w:ascii="Times New Roman" w:hAnsi="Times New Roman" w:eastAsia="仿宋_GB2312"/>
          <w:sz w:val="32"/>
          <w:szCs w:val="32"/>
        </w:rPr>
        <w:t>市政府缴纳，市自然资源</w:t>
      </w:r>
      <w:r>
        <w:rPr>
          <w:rFonts w:hint="eastAsia" w:ascii="Times New Roman" w:hAnsi="Times New Roman" w:eastAsia="仿宋_GB2312"/>
          <w:sz w:val="32"/>
          <w:szCs w:val="32"/>
          <w:lang w:val="en-US" w:eastAsia="zh-CN"/>
        </w:rPr>
        <w:t>和规划</w:t>
      </w:r>
      <w:r>
        <w:rPr>
          <w:rFonts w:hint="eastAsia" w:ascii="Times New Roman" w:hAnsi="Times New Roman" w:eastAsia="仿宋_GB2312"/>
          <w:sz w:val="32"/>
          <w:szCs w:val="32"/>
        </w:rPr>
        <w:t>局收到省级耕地开垦费缴款通知书后，通知市财政局在10个工作日内将确定的费用缴入省财政厅非税收入结算账户。</w:t>
      </w:r>
    </w:p>
    <w:p w14:paraId="16743734">
      <w:pPr>
        <w:widowControl/>
        <w:spacing w:line="60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四、资金使用和管理</w:t>
      </w:r>
    </w:p>
    <w:p w14:paraId="7678ED86">
      <w:pPr>
        <w:suppressAutoHyphens/>
        <w:overflowPunct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耕地开垦费和补充耕地资金</w:t>
      </w:r>
      <w:r>
        <w:rPr>
          <w:rFonts w:hint="eastAsia" w:ascii="仿宋_GB2312" w:hAnsi="仿宋_GB2312" w:eastAsia="仿宋_GB2312" w:cs="仿宋_GB2312"/>
          <w:color w:val="000000"/>
          <w:sz w:val="32"/>
          <w:szCs w:val="32"/>
          <w:lang w:val="en-US" w:eastAsia="zh-CN"/>
        </w:rPr>
        <w:t>统筹</w:t>
      </w:r>
      <w:r>
        <w:rPr>
          <w:rFonts w:ascii="仿宋_GB2312" w:hAnsi="仿宋_GB2312" w:eastAsia="仿宋_GB2312" w:cs="仿宋_GB2312"/>
          <w:color w:val="000000"/>
          <w:sz w:val="32"/>
          <w:szCs w:val="32"/>
        </w:rPr>
        <w:t>用</w:t>
      </w:r>
      <w:r>
        <w:rPr>
          <w:rFonts w:hint="eastAsia" w:ascii="仿宋_GB2312" w:hAnsi="仿宋_GB2312" w:eastAsia="仿宋_GB2312" w:cs="仿宋_GB2312"/>
          <w:color w:val="000000"/>
          <w:sz w:val="32"/>
          <w:szCs w:val="32"/>
        </w:rPr>
        <w:t>于耕地保护与质量建设</w:t>
      </w:r>
      <w:r>
        <w:rPr>
          <w:rFonts w:hint="eastAsia" w:ascii="Times New Roman" w:hAnsi="Times New Roman" w:eastAsia="仿宋_GB2312" w:cs="仿宋_GB2312"/>
          <w:sz w:val="32"/>
          <w:szCs w:val="32"/>
        </w:rPr>
        <w:t>，具体包括：</w:t>
      </w:r>
      <w:r>
        <w:rPr>
          <w:rFonts w:hint="eastAsia" w:ascii="Times New Roman" w:hAnsi="Times New Roman" w:eastAsia="仿宋_GB2312"/>
          <w:sz w:val="32"/>
          <w:szCs w:val="32"/>
          <w:lang w:bidi="ar"/>
        </w:rPr>
        <w:t>耕地功能恢复（垦造）等补充耕地及后期管护支出；土地综合整治、永久基本农田集中连片建设、林耕置换、高标准农田建设与改造提升及后期管护等支出；其他耕地保护（包含田长制）等相关支出。</w:t>
      </w:r>
      <w:r>
        <w:rPr>
          <w:rFonts w:hint="eastAsia" w:ascii="Times New Roman" w:hAnsi="Times New Roman" w:eastAsia="仿宋_GB2312"/>
          <w:sz w:val="32"/>
          <w:szCs w:val="32"/>
          <w:lang w:val="en-US" w:eastAsia="zh-CN" w:bidi="ar"/>
        </w:rPr>
        <w:t>在“多田套合”任务未完成前，</w:t>
      </w:r>
      <w:r>
        <w:rPr>
          <w:rFonts w:ascii="Times New Roman" w:hAnsi="Times New Roman" w:eastAsia="仿宋_GB2312"/>
          <w:sz w:val="32"/>
          <w:szCs w:val="32"/>
          <w:lang w:bidi="ar"/>
        </w:rPr>
        <w:t>2027</w:t>
      </w:r>
      <w:r>
        <w:rPr>
          <w:rFonts w:hint="eastAsia" w:ascii="Times New Roman" w:hAnsi="Times New Roman" w:eastAsia="仿宋_GB2312"/>
          <w:sz w:val="32"/>
          <w:szCs w:val="32"/>
          <w:lang w:bidi="ar"/>
        </w:rPr>
        <w:t>年底前收取的资金专项用于</w:t>
      </w:r>
      <w:r>
        <w:rPr>
          <w:rFonts w:ascii="Times New Roman" w:hAnsi="Times New Roman" w:eastAsia="仿宋_GB2312"/>
          <w:sz w:val="32"/>
          <w:szCs w:val="32"/>
          <w:lang w:bidi="ar"/>
        </w:rPr>
        <w:t>“</w:t>
      </w:r>
      <w:r>
        <w:rPr>
          <w:rFonts w:hint="eastAsia" w:ascii="Times New Roman" w:hAnsi="Times New Roman" w:eastAsia="仿宋_GB2312"/>
          <w:sz w:val="32"/>
          <w:szCs w:val="32"/>
          <w:lang w:bidi="ar"/>
        </w:rPr>
        <w:t>多田套合</w:t>
      </w:r>
      <w:r>
        <w:rPr>
          <w:rFonts w:ascii="Times New Roman" w:hAnsi="Times New Roman" w:eastAsia="仿宋_GB2312"/>
          <w:sz w:val="32"/>
          <w:szCs w:val="32"/>
          <w:lang w:bidi="ar"/>
        </w:rPr>
        <w:t>”</w:t>
      </w:r>
      <w:r>
        <w:rPr>
          <w:rFonts w:hint="eastAsia" w:ascii="Times New Roman" w:hAnsi="Times New Roman" w:eastAsia="仿宋_GB2312"/>
          <w:sz w:val="32"/>
          <w:szCs w:val="32"/>
          <w:lang w:bidi="ar"/>
        </w:rPr>
        <w:t>工程。</w:t>
      </w:r>
      <w:r>
        <w:rPr>
          <w:rFonts w:hint="eastAsia" w:ascii="Times New Roman" w:hAnsi="Times New Roman" w:eastAsia="仿宋_GB2312" w:cs="仿宋_GB2312"/>
          <w:sz w:val="32"/>
          <w:szCs w:val="32"/>
        </w:rPr>
        <w:t>加强对耕地开垦费和补充耕地资金收缴和使用的监管，</w:t>
      </w:r>
      <w:r>
        <w:rPr>
          <w:rFonts w:hint="eastAsia" w:ascii="Times New Roman" w:hAnsi="Times New Roman" w:eastAsia="仿宋_GB2312" w:cs="仿宋_GB2312"/>
          <w:sz w:val="32"/>
          <w:szCs w:val="32"/>
          <w:lang w:val="en-US" w:eastAsia="zh-CN"/>
        </w:rPr>
        <w:t>市</w:t>
      </w:r>
      <w:r>
        <w:rPr>
          <w:rFonts w:hint="eastAsia" w:ascii="Times New Roman" w:hAnsi="Times New Roman" w:eastAsia="仿宋_GB2312" w:cs="仿宋_GB2312"/>
          <w:sz w:val="32"/>
          <w:szCs w:val="32"/>
        </w:rPr>
        <w:t>财政、自然资源</w:t>
      </w:r>
      <w:r>
        <w:rPr>
          <w:rFonts w:hint="eastAsia" w:ascii="Times New Roman" w:hAnsi="Times New Roman" w:eastAsia="仿宋_GB2312" w:cs="仿宋_GB2312"/>
          <w:sz w:val="32"/>
          <w:szCs w:val="32"/>
          <w:lang w:val="en-US" w:eastAsia="zh-CN"/>
        </w:rPr>
        <w:t>和规划</w:t>
      </w:r>
      <w:r>
        <w:rPr>
          <w:rFonts w:hint="eastAsia" w:ascii="Times New Roman" w:hAnsi="Times New Roman" w:eastAsia="仿宋_GB2312" w:cs="仿宋_GB2312"/>
          <w:sz w:val="32"/>
          <w:szCs w:val="32"/>
        </w:rPr>
        <w:t>、发展改革、审计等部门开展不定期联合检查，不得挪作他用。</w:t>
      </w:r>
    </w:p>
    <w:p w14:paraId="41A384BD">
      <w:pPr>
        <w:widowControl/>
        <w:spacing w:line="600" w:lineRule="exact"/>
        <w:ind w:firstLine="640" w:firstLineChars="200"/>
        <w:rPr>
          <w:rFonts w:ascii="黑体" w:hAnsi="宋体" w:eastAsia="黑体" w:cs="黑体"/>
          <w:color w:val="000000"/>
          <w:kern w:val="0"/>
          <w:sz w:val="32"/>
          <w:szCs w:val="32"/>
          <w:shd w:val="clear" w:color="auto" w:fill="FFFFFF"/>
        </w:rPr>
      </w:pPr>
      <w:r>
        <w:rPr>
          <w:rFonts w:hint="eastAsia" w:ascii="黑体" w:hAnsi="宋体" w:eastAsia="黑体" w:cs="黑体"/>
          <w:color w:val="000000"/>
          <w:kern w:val="0"/>
          <w:sz w:val="32"/>
          <w:szCs w:val="32"/>
          <w:shd w:val="clear" w:color="auto" w:fill="FFFFFF"/>
        </w:rPr>
        <w:t>五、其他事项</w:t>
      </w:r>
    </w:p>
    <w:p w14:paraId="25C85C87">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凡依法利用农村集体所有土地或国有土地（含依法征收为国有土地）用于农民建房或农民住房安置的新建、翻建自用住房，不缴纳耕地开垦费，由市政府统筹落实补充耕地任务。</w:t>
      </w:r>
    </w:p>
    <w:p w14:paraId="6A4AD679">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城乡建设用地增减挂钩项目区内新建农村居民安置住房和农村公共服务、基础设施用地，未超过项目增减挂钩建设用地复耕总面积的，不缴纳耕地开垦费。</w:t>
      </w:r>
    </w:p>
    <w:p w14:paraId="1AE35592">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非农业建设经批准占用园地的，不缴纳耕地开垦费。</w:t>
      </w:r>
    </w:p>
    <w:p w14:paraId="0566E762">
      <w:pPr>
        <w:widowControl/>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其他耕地开垦费减免政策按国家有关规定执行。</w:t>
      </w:r>
    </w:p>
    <w:p w14:paraId="15647D84">
      <w:pPr>
        <w:ind w:firstLine="640" w:firstLineChars="200"/>
        <w:jc w:val="left"/>
        <w:rPr>
          <w:rFonts w:hint="eastAsia" w:ascii="Times New Roman" w:hAnsi="Times New Roman" w:eastAsia="仿宋_GB2312"/>
          <w:color w:val="000000"/>
          <w:sz w:val="32"/>
          <w:szCs w:val="32"/>
        </w:rPr>
      </w:pPr>
      <w:r>
        <w:rPr>
          <w:rFonts w:hint="eastAsia" w:ascii="仿宋_GB2312" w:hAnsi="仿宋_GB2312" w:eastAsia="仿宋_GB2312" w:cs="仿宋_GB2312"/>
          <w:color w:val="000000"/>
          <w:kern w:val="0"/>
          <w:sz w:val="32"/>
          <w:szCs w:val="32"/>
          <w:shd w:val="clear" w:color="auto" w:fill="FFFFFF"/>
        </w:rPr>
        <w:t>本通知自2025年</w:t>
      </w:r>
      <w:r>
        <w:rPr>
          <w:rFonts w:hint="eastAsia" w:ascii="仿宋_GB2312" w:hAnsi="仿宋_GB2312" w:eastAsia="仿宋_GB2312" w:cs="仿宋_GB2312"/>
          <w:color w:val="000000"/>
          <w:kern w:val="0"/>
          <w:sz w:val="32"/>
          <w:szCs w:val="32"/>
          <w:shd w:val="clear" w:color="auto" w:fill="FFFFFF"/>
          <w:lang w:val="en-US" w:eastAsia="zh-CN"/>
        </w:rPr>
        <w:t>X</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X</w:t>
      </w:r>
      <w:r>
        <w:rPr>
          <w:rFonts w:hint="eastAsia" w:ascii="仿宋_GB2312" w:hAnsi="仿宋_GB2312" w:eastAsia="仿宋_GB2312" w:cs="仿宋_GB2312"/>
          <w:color w:val="000000"/>
          <w:kern w:val="0"/>
          <w:sz w:val="32"/>
          <w:szCs w:val="32"/>
          <w:shd w:val="clear" w:color="auto" w:fill="FFFFFF"/>
        </w:rPr>
        <w:t>日起施行 ，此前县内相关文件与本通知规定不一致的，以本通知为准。</w:t>
      </w:r>
    </w:p>
    <w:p w14:paraId="07C293C0">
      <w:pPr>
        <w:tabs>
          <w:tab w:val="left" w:pos="4554"/>
        </w:tabs>
        <w:spacing w:line="600" w:lineRule="exact"/>
        <w:jc w:val="righ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乐清市人民政府办公室</w:t>
      </w:r>
    </w:p>
    <w:p w14:paraId="0956D57F">
      <w:pPr>
        <w:spacing w:line="600" w:lineRule="exact"/>
        <w:ind w:left="3150" w:leftChars="1500"/>
        <w:jc w:val="center"/>
        <w:rPr>
          <w:rFonts w:ascii="仿宋_GB2312" w:eastAsia="仿宋_GB2312" w:cs="仿宋_GB2312"/>
          <w:sz w:val="32"/>
          <w:szCs w:val="32"/>
        </w:rPr>
      </w:pPr>
      <w:r>
        <w:rPr>
          <w:rFonts w:hint="eastAsia" w:ascii="仿宋_GB2312" w:hAnsi="Times New Roman" w:eastAsia="仿宋_GB2312" w:cs="仿宋_GB2312"/>
          <w:color w:val="000000"/>
          <w:sz w:val="32"/>
          <w:szCs w:val="32"/>
        </w:rPr>
        <w:t xml:space="preserve">      </w:t>
      </w:r>
      <w:r>
        <w:rPr>
          <w:rFonts w:hint="eastAsia" w:ascii="仿宋_GB2312" w:hAnsi="Times New Roman" w:eastAsia="仿宋_GB2312" w:cs="仿宋_GB2312"/>
          <w:color w:val="000000"/>
          <w:sz w:val="32"/>
          <w:szCs w:val="32"/>
          <w:lang w:val="en-US" w:eastAsia="zh-CN"/>
        </w:rPr>
        <w:t xml:space="preserve">          </w:t>
      </w:r>
      <w:r>
        <w:rPr>
          <w:rFonts w:hint="eastAsia" w:ascii="仿宋_GB2312" w:hAnsi="Times New Roman" w:eastAsia="仿宋_GB2312" w:cs="仿宋_GB2312"/>
          <w:color w:val="000000"/>
          <w:sz w:val="32"/>
          <w:szCs w:val="32"/>
        </w:rPr>
        <w:t>2025年 月 日</w:t>
      </w:r>
    </w:p>
    <w:p w14:paraId="71CC03AE"/>
    <w:sectPr>
      <w:pgSz w:w="12240" w:h="15840"/>
      <w:pgMar w:top="1440" w:right="1559" w:bottom="1440" w:left="1559"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172A27"/>
    <w:rsid w:val="00074E8A"/>
    <w:rsid w:val="001537BD"/>
    <w:rsid w:val="00162868"/>
    <w:rsid w:val="00172A27"/>
    <w:rsid w:val="001A4D12"/>
    <w:rsid w:val="001E746C"/>
    <w:rsid w:val="001F29BD"/>
    <w:rsid w:val="003039EA"/>
    <w:rsid w:val="00356088"/>
    <w:rsid w:val="00373F43"/>
    <w:rsid w:val="003C1ABC"/>
    <w:rsid w:val="003F166B"/>
    <w:rsid w:val="005F683C"/>
    <w:rsid w:val="006469D8"/>
    <w:rsid w:val="0065493C"/>
    <w:rsid w:val="00676F2A"/>
    <w:rsid w:val="00706E78"/>
    <w:rsid w:val="007233AC"/>
    <w:rsid w:val="007D451E"/>
    <w:rsid w:val="0086322A"/>
    <w:rsid w:val="008A0B78"/>
    <w:rsid w:val="008E6D38"/>
    <w:rsid w:val="009249BB"/>
    <w:rsid w:val="009469D7"/>
    <w:rsid w:val="009643EB"/>
    <w:rsid w:val="0096447E"/>
    <w:rsid w:val="00AE66B2"/>
    <w:rsid w:val="00AF071C"/>
    <w:rsid w:val="00B10F18"/>
    <w:rsid w:val="00B91736"/>
    <w:rsid w:val="00BE053F"/>
    <w:rsid w:val="00C87CE1"/>
    <w:rsid w:val="00D943AB"/>
    <w:rsid w:val="00DB4251"/>
    <w:rsid w:val="00DC7359"/>
    <w:rsid w:val="00EA1A3B"/>
    <w:rsid w:val="00ED4284"/>
    <w:rsid w:val="00F06A1A"/>
    <w:rsid w:val="00F13E5F"/>
    <w:rsid w:val="00F14BDF"/>
    <w:rsid w:val="00F47520"/>
    <w:rsid w:val="00F964D9"/>
    <w:rsid w:val="00FD4BD7"/>
    <w:rsid w:val="00FE41D8"/>
    <w:rsid w:val="014500C9"/>
    <w:rsid w:val="024F6B8D"/>
    <w:rsid w:val="05751F32"/>
    <w:rsid w:val="06580B7E"/>
    <w:rsid w:val="0CDB347F"/>
    <w:rsid w:val="0D454CC0"/>
    <w:rsid w:val="104E6927"/>
    <w:rsid w:val="14736A0B"/>
    <w:rsid w:val="16BE1DC0"/>
    <w:rsid w:val="19947044"/>
    <w:rsid w:val="1A2870BC"/>
    <w:rsid w:val="1CEB4A5A"/>
    <w:rsid w:val="201206B8"/>
    <w:rsid w:val="202C720D"/>
    <w:rsid w:val="22AA7BFB"/>
    <w:rsid w:val="23EE5EC3"/>
    <w:rsid w:val="24655E5A"/>
    <w:rsid w:val="29C87159"/>
    <w:rsid w:val="32EE5158"/>
    <w:rsid w:val="35A5720A"/>
    <w:rsid w:val="35F94D7F"/>
    <w:rsid w:val="39A2071D"/>
    <w:rsid w:val="3FA2040D"/>
    <w:rsid w:val="44B66F74"/>
    <w:rsid w:val="4A146D95"/>
    <w:rsid w:val="4F817C52"/>
    <w:rsid w:val="5198323A"/>
    <w:rsid w:val="523700E2"/>
    <w:rsid w:val="53CC1A31"/>
    <w:rsid w:val="5A345B39"/>
    <w:rsid w:val="5FFE2983"/>
    <w:rsid w:val="660E837E"/>
    <w:rsid w:val="67723EAB"/>
    <w:rsid w:val="6C4C78EF"/>
    <w:rsid w:val="730E4C86"/>
    <w:rsid w:val="777C7A56"/>
    <w:rsid w:val="77DDA48B"/>
    <w:rsid w:val="7860768E"/>
    <w:rsid w:val="7BAC5C31"/>
    <w:rsid w:val="7DBF35C5"/>
    <w:rsid w:val="7FEEE46F"/>
    <w:rsid w:val="7FFB535C"/>
    <w:rsid w:val="7FFFE2A7"/>
    <w:rsid w:val="97FEF3AF"/>
    <w:rsid w:val="B77D8E2C"/>
    <w:rsid w:val="DAD35F19"/>
    <w:rsid w:val="DFE3167D"/>
    <w:rsid w:val="EF7FB3E2"/>
    <w:rsid w:val="EFD59446"/>
    <w:rsid w:val="F7AFB197"/>
    <w:rsid w:val="F97D224E"/>
    <w:rsid w:val="FFEF45C1"/>
    <w:rsid w:val="FFF78F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eastAsia="宋体" w:cs="Times New Roman"/>
      <w:color w:val="000000"/>
      <w:kern w:val="0"/>
      <w:sz w:val="24"/>
    </w:rPr>
  </w:style>
  <w:style w:type="character" w:customStyle="1" w:styleId="9">
    <w:name w:val="标题 1 Char"/>
    <w:basedOn w:val="8"/>
    <w:link w:val="2"/>
    <w:qFormat/>
    <w:uiPriority w:val="0"/>
    <w:rPr>
      <w:rFonts w:hint="default" w:ascii="Times New Roman" w:hAnsi="Times New Roman" w:cs="Times New Roman"/>
      <w:b/>
      <w:bCs/>
      <w:kern w:val="44"/>
      <w:sz w:val="44"/>
      <w:szCs w:val="44"/>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3</Pages>
  <Words>1414</Words>
  <Characters>1452</Characters>
  <Lines>10</Lines>
  <Paragraphs>2</Paragraphs>
  <TotalTime>2</TotalTime>
  <ScaleCrop>false</ScaleCrop>
  <LinksUpToDate>false</LinksUpToDate>
  <CharactersWithSpaces>1476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2025-03-03T14:56:00Z</dcterms:created>
  <dc:creator>东方不败</dc:creator>
  <cp:lastModifiedBy>AShuo</cp:lastModifiedBy>
  <cp:lastPrinted>2025-04-21T07:21:00Z</cp:lastPrinted>
  <dcterms:modified xsi:type="dcterms:W3CDTF">2025-06-24T03:37:25Z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33E55C55C15841C1BB9F01A0AC4A6F53</vt:lpwstr>
  </property>
  <property fmtid="{D5CDD505-2E9C-101B-9397-08002B2CF9AE}" pid="4" name="KSOTemplateDocerSaveRecord">
    <vt:lpwstr>eyJoZGlkIjoiNDdjOTY3YTgxZTg3ZDM5MDRhN2MzMzM4MGZkNTZiYWUiLCJ1c2VySWQiOiI2NTYwNjc2MDYifQ==</vt:lpwstr>
  </property>
</Properties>
</file>