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 xml:space="preserve"> </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点击此处添加CCS号</w:t>
            </w:r>
            <w:r>
              <w:rPr>
                <w:rFonts w:ascii="黑体" w:hAnsi="黑体" w:eastAsia="黑体"/>
                <w:color w:val="auto"/>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741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990" w:hRule="atLeast"/>
        </w:trPr>
        <w:tc>
          <w:tcPr>
            <w:tcW w:w="7411" w:type="dxa"/>
          </w:tcPr>
          <w:p>
            <w:pPr>
              <w:pStyle w:val="50"/>
              <w:framePr w:w="0" w:hRule="auto" w:wrap="auto" w:vAnchor="margin" w:hAnchor="text" w:xAlign="left" w:yAlign="inline"/>
              <w:rPr>
                <w:rFonts w:ascii="宋体" w:hAnsi="宋体"/>
                <w:color w:val="auto"/>
                <w:sz w:val="28"/>
                <w:szCs w:val="28"/>
              </w:rPr>
            </w:pPr>
            <w:bookmarkStart w:id="2" w:name="_Hlk26473981"/>
            <w:r>
              <w:rPr>
                <w:rFonts w:hint="eastAsia"/>
                <w:color w:val="auto"/>
              </w:rPr>
              <w:t>DJG</w:t>
            </w:r>
            <w:r>
              <w:rPr>
                <w:color w:val="auto"/>
                <w:sz w:val="21"/>
                <w:szCs w:val="21"/>
              </w:rPr>
              <w:t xml:space="preserve"> </w:t>
            </w:r>
            <w:r>
              <w:rPr>
                <w:color w:val="auto"/>
              </w:rPr>
              <w:fldChar w:fldCharType="begin">
                <w:ffData>
                  <w:name w:val="c1"/>
                  <w:enabled/>
                  <w:calcOnExit w:val="0"/>
                  <w:textInput>
                    <w:default w:val="331102"/>
                    <w:maxLength w:val="8"/>
                  </w:textInput>
                </w:ffData>
              </w:fldChar>
            </w:r>
            <w:bookmarkStart w:id="3" w:name="c1"/>
            <w:r>
              <w:rPr>
                <w:color w:val="auto"/>
              </w:rPr>
              <w:instrText xml:space="preserve"> FORMTEXT </w:instrText>
            </w:r>
            <w:r>
              <w:rPr>
                <w:color w:val="auto"/>
              </w:rPr>
              <w:fldChar w:fldCharType="separate"/>
            </w:r>
            <w:r>
              <w:rPr>
                <w:color w:val="auto"/>
              </w:rPr>
              <w:t>331102</w:t>
            </w:r>
            <w:r>
              <w:rPr>
                <w:color w:val="auto"/>
              </w:rPr>
              <w:fldChar w:fldCharType="end"/>
            </w:r>
            <w:bookmarkEnd w:id="3"/>
          </w:p>
        </w:tc>
      </w:tr>
    </w:tbl>
    <w:p>
      <w:pPr>
        <w:pStyle w:val="51"/>
        <w:framePr w:w="9639" w:h="624" w:hRule="exact" w:hSpace="181" w:vSpace="181" w:hAnchor="page" w:x="1305" w:y="2269"/>
        <w:rPr>
          <w:rFonts w:ascii="黑体" w:hAnsi="黑体" w:eastAsia="黑体"/>
          <w:b w:val="0"/>
          <w:bCs w:val="0"/>
          <w:color w:val="auto"/>
          <w:w w:val="100"/>
          <w:sz w:val="48"/>
          <w:szCs w:val="48"/>
        </w:rPr>
      </w:pPr>
      <w:bookmarkStart w:id="4" w:name="c2"/>
      <w:r>
        <w:rPr>
          <w:rFonts w:ascii="黑体" w:eastAsia="黑体"/>
          <w:b w:val="0"/>
          <w:color w:val="auto"/>
          <w:w w:val="100"/>
          <w:sz w:val="48"/>
        </w:rPr>
        <w:fldChar w:fldCharType="begin">
          <w:ffData>
            <w:name w:val="c2"/>
            <w:enabled/>
            <w:calcOnExit w:val="0"/>
            <w:textInput>
              <w:default w:val="浙江省丽水市莲都区"/>
            </w:textInput>
          </w:ffData>
        </w:fldChar>
      </w:r>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浙江省丽水市莲都区</w:t>
      </w:r>
      <w:r>
        <w:rPr>
          <w:rFonts w:ascii="黑体" w:eastAsia="黑体"/>
          <w:b w:val="0"/>
          <w:color w:val="auto"/>
          <w:w w:val="100"/>
          <w:sz w:val="48"/>
        </w:rPr>
        <w:fldChar w:fldCharType="end"/>
      </w:r>
      <w:bookmarkEnd w:id="4"/>
      <w:r>
        <w:rPr>
          <w:rFonts w:hint="eastAsia" w:ascii="黑体" w:hAnsi="黑体" w:eastAsia="黑体"/>
          <w:b w:val="0"/>
          <w:bCs w:val="0"/>
          <w:color w:val="auto"/>
          <w:w w:val="100"/>
          <w:sz w:val="48"/>
          <w:szCs w:val="48"/>
        </w:rPr>
        <w:t>地方技术性规范</w:t>
      </w:r>
    </w:p>
    <w:bookmarkEnd w:id="2"/>
    <w:p>
      <w:pPr>
        <w:pStyle w:val="196"/>
        <w:rPr>
          <w:color w:val="auto"/>
          <w:lang w:val="fr-FR"/>
        </w:rPr>
      </w:pPr>
      <w:r>
        <w:rPr>
          <w:color w:val="auto"/>
          <w:lang w:val="fr-FR"/>
        </w:rPr>
        <w:t>D</w:t>
      </w:r>
      <w:r>
        <w:rPr>
          <w:rFonts w:hint="eastAsia"/>
          <w:color w:val="auto"/>
          <w:lang w:val="fr-FR"/>
        </w:rPr>
        <w:t>JG</w:t>
      </w:r>
      <w:r>
        <w:rPr>
          <w:color w:val="auto"/>
          <w:sz w:val="15"/>
          <w:szCs w:val="15"/>
          <w:lang w:val="fr-FR"/>
        </w:rPr>
        <w:t xml:space="preserve"> </w:t>
      </w:r>
      <w:r>
        <w:rPr>
          <w:color w:val="auto"/>
        </w:rPr>
        <w:fldChar w:fldCharType="begin">
          <w:ffData>
            <w:name w:val="文字1"/>
            <w:enabled/>
            <w:calcOnExit w:val="0"/>
            <w:textInput>
              <w:default w:val="331102/T"/>
            </w:textInput>
          </w:ffData>
        </w:fldChar>
      </w:r>
      <w:bookmarkStart w:id="5" w:name="文字1"/>
      <w:r>
        <w:rPr>
          <w:color w:val="auto"/>
        </w:rPr>
        <w:instrText xml:space="preserve"> FORMTEXT </w:instrText>
      </w:r>
      <w:r>
        <w:rPr>
          <w:color w:val="auto"/>
        </w:rPr>
        <w:fldChar w:fldCharType="separate"/>
      </w:r>
      <w:r>
        <w:rPr>
          <w:color w:val="auto"/>
        </w:rPr>
        <w:t>331102/T</w:t>
      </w:r>
      <w:r>
        <w:rPr>
          <w:color w:val="auto"/>
        </w:rPr>
        <w:fldChar w:fldCharType="end"/>
      </w:r>
      <w:bookmarkEnd w:id="5"/>
      <w:r>
        <w:rPr>
          <w:color w:val="auto"/>
          <w:lang w:val="fr-FR"/>
        </w:rPr>
        <w:t xml:space="preserve"> </w:t>
      </w:r>
      <w:r>
        <w:rPr>
          <w:color w:val="auto"/>
        </w:rPr>
        <w:fldChar w:fldCharType="begin">
          <w:ffData>
            <w:name w:val="NSTD_CODE_F"/>
            <w:enabled/>
            <w:calcOnExit w:val="0"/>
            <w:textInput>
              <w:default w:val="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6"/>
      <w:r>
        <w:rPr>
          <w:rFonts w:hAnsi="黑体"/>
          <w:color w:val="auto"/>
          <w:lang w:val="fr-FR"/>
        </w:rPr>
        <w:t>—</w:t>
      </w:r>
      <w:r>
        <w:rPr>
          <w:color w:val="auto"/>
        </w:rPr>
        <w:fldChar w:fldCharType="begin">
          <w:ffData>
            <w:name w:val="NSTD_CODE_B"/>
            <w:enabled/>
            <w:calcOnExit w:val="0"/>
            <w:textInput>
              <w:default w:val="XXXX"/>
            </w:textInput>
          </w:ffData>
        </w:fldChar>
      </w:r>
      <w:bookmarkStart w:id="7" w:name="NSTD_CODE_B"/>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7"/>
    </w:p>
    <w:p>
      <w:pPr>
        <w:pStyle w:val="197"/>
        <w:rPr>
          <w:rFonts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color w:val="auto"/>
          <w:w w:val="100"/>
        </w:rPr>
      </w:pPr>
    </w:p>
    <w:p>
      <w:pPr>
        <w:pStyle w:val="198"/>
        <w:framePr w:h="6974" w:hRule="exact" w:x="1419" w:anchorLock="1"/>
        <w:rPr>
          <w:color w:val="auto"/>
        </w:rPr>
      </w:pPr>
      <w:bookmarkStart w:id="9" w:name="CSTD_NAME"/>
      <w:r>
        <w:rPr>
          <w:color w:val="auto"/>
        </w:rPr>
        <w:fldChar w:fldCharType="begin">
          <w:ffData>
            <w:name w:val="CSTD_NAME"/>
            <w:enabled/>
            <w:calcOnExit w:val="0"/>
            <w:textInput>
              <w:default w:val="信用商圈基本规范"/>
            </w:textInput>
          </w:ffData>
        </w:fldChar>
      </w:r>
      <w:r>
        <w:rPr>
          <w:color w:val="auto"/>
        </w:rPr>
        <w:instrText xml:space="preserve">FORMTEXT</w:instrText>
      </w:r>
      <w:r>
        <w:rPr>
          <w:color w:val="auto"/>
        </w:rPr>
        <w:fldChar w:fldCharType="separate"/>
      </w:r>
      <w:r>
        <w:rPr>
          <w:color w:val="auto"/>
        </w:rPr>
        <w:t>信用商圈基本规范</w:t>
      </w:r>
      <w:r>
        <w:rPr>
          <w:color w:val="auto"/>
        </w:rPr>
        <w:fldChar w:fldCharType="end"/>
      </w:r>
      <w:bookmarkEnd w:id="9"/>
    </w:p>
    <w:p>
      <w:pPr>
        <w:framePr w:w="9639" w:h="6974" w:hRule="exact" w:wrap="around" w:vAnchor="page" w:hAnchor="page" w:x="1419" w:y="6408" w:anchorLock="1"/>
        <w:ind w:left="-1418"/>
        <w:rPr>
          <w:color w:val="auto"/>
        </w:rPr>
      </w:pPr>
    </w:p>
    <w:p>
      <w:pPr>
        <w:pStyle w:val="126"/>
        <w:framePr w:w="9639" w:h="6974" w:hRule="exact" w:wrap="around" w:vAnchor="page" w:hAnchor="page" w:x="1419" w:y="6408" w:anchorLock="1"/>
        <w:textAlignment w:val="bottom"/>
        <w:rPr>
          <w:rFonts w:ascii="黑体" w:hAnsi="黑体" w:eastAsia="黑体"/>
          <w:color w:val="auto"/>
          <w:szCs w:val="28"/>
        </w:rPr>
      </w:pPr>
      <w:r>
        <w:rPr>
          <w:rFonts w:ascii="黑体" w:hAnsi="黑体" w:eastAsia="黑体"/>
          <w:color w:val="auto"/>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color w:val="auto"/>
          <w:szCs w:val="28"/>
        </w:rPr>
        <w:instrText xml:space="preserve"> FORMTEXT </w:instrText>
      </w:r>
      <w:r>
        <w:rPr>
          <w:rFonts w:ascii="黑体" w:hAnsi="黑体" w:eastAsia="黑体"/>
          <w:color w:val="auto"/>
          <w:szCs w:val="28"/>
        </w:rPr>
        <w:fldChar w:fldCharType="separate"/>
      </w:r>
      <w:r>
        <w:rPr>
          <w:rFonts w:hint="eastAsia" w:ascii="黑体" w:hAnsi="黑体" w:eastAsia="黑体"/>
          <w:color w:val="auto"/>
          <w:szCs w:val="28"/>
        </w:rPr>
        <w:t>点击此处添加标准名称的英文译名</w:t>
      </w:r>
      <w:r>
        <w:rPr>
          <w:rFonts w:ascii="黑体" w:hAnsi="黑体" w:eastAsia="黑体"/>
          <w:color w:val="auto"/>
          <w:szCs w:val="28"/>
        </w:rPr>
        <w:fldChar w:fldCharType="end"/>
      </w:r>
      <w:bookmarkEnd w:id="10"/>
    </w:p>
    <w:p>
      <w:pPr>
        <w:framePr w:w="9639" w:h="6974" w:hRule="exact" w:wrap="around" w:vAnchor="page" w:hAnchor="page" w:x="1419" w:y="6408" w:anchorLock="1"/>
        <w:spacing w:line="760" w:lineRule="exact"/>
        <w:ind w:left="-1418"/>
        <w:rPr>
          <w:color w:val="auto"/>
        </w:rPr>
      </w:pPr>
    </w:p>
    <w:p>
      <w:pPr>
        <w:pStyle w:val="126"/>
        <w:framePr w:w="9639" w:h="6974" w:hRule="exact" w:wrap="around" w:vAnchor="page" w:hAnchor="page" w:x="1419" w:y="6408" w:anchorLock="1"/>
        <w:textAlignment w:val="bottom"/>
        <w:rPr>
          <w:rFonts w:eastAsia="黑体"/>
          <w:color w:val="auto"/>
          <w:szCs w:val="28"/>
        </w:rPr>
      </w:pPr>
    </w:p>
    <w:p>
      <w:pPr>
        <w:pStyle w:val="126"/>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listEntry w:val="（征求意见稿）"/>
              <w:listEntry w:val="（送审讨论稿）"/>
              <w:listEntry w:val="（送审稿）"/>
              <w:listEntry w:val="（报批稿）"/>
              <w:listEntry w:val=" "/>
              <w:listEntry w:val="草案版次选择"/>
              <w:listEntry w:val="（工作组讨论稿）"/>
            </w:ddList>
          </w:ffData>
        </w:fldChar>
      </w:r>
      <w:bookmarkStart w:id="11"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pPr>
        <w:pStyle w:val="194"/>
        <w:framePr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pPr>
        <w:pStyle w:val="195"/>
        <w:framePr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pPr>
        <w:pStyle w:val="152"/>
        <w:framePr w:h="584" w:hRule="exact" w:hSpace="181" w:vSpace="181" w:y="15027"/>
        <w:rPr>
          <w:rFonts w:hAnsi="黑体"/>
          <w:color w:val="auto"/>
        </w:rPr>
      </w:pPr>
      <w:r>
        <w:rPr>
          <w:rFonts w:hAnsi="黑体"/>
          <w:color w:val="auto"/>
          <w:w w:val="100"/>
          <w:sz w:val="28"/>
        </w:rPr>
        <w:fldChar w:fldCharType="begin">
          <w:ffData>
            <w:name w:val="fm"/>
            <w:enabled/>
            <w:calcOnExit w:val="0"/>
            <w:textInput>
              <w:default w:val="丽水市莲都区市场监督管理局"/>
            </w:textInput>
          </w:ffData>
        </w:fldChar>
      </w:r>
      <w:bookmarkStart w:id="20" w:name="fm"/>
      <w:r>
        <w:rPr>
          <w:rFonts w:hAnsi="黑体"/>
          <w:color w:val="auto"/>
          <w:w w:val="100"/>
          <w:sz w:val="28"/>
        </w:rPr>
        <w:instrText xml:space="preserve"> FORMTEXT </w:instrText>
      </w:r>
      <w:r>
        <w:rPr>
          <w:rFonts w:hAnsi="黑体"/>
          <w:color w:val="auto"/>
          <w:w w:val="100"/>
          <w:sz w:val="28"/>
        </w:rPr>
        <w:fldChar w:fldCharType="separate"/>
      </w:r>
      <w:r>
        <w:rPr>
          <w:rFonts w:hAnsi="黑体"/>
          <w:color w:val="auto"/>
          <w:w w:val="100"/>
          <w:sz w:val="28"/>
        </w:rPr>
        <w:t>丽水市莲都区市场监督管理局</w:t>
      </w:r>
      <w:r>
        <w:rPr>
          <w:rFonts w:hAnsi="黑体"/>
          <w:color w:val="auto"/>
          <w:w w:val="100"/>
          <w:sz w:val="28"/>
        </w:rPr>
        <w:fldChar w:fldCharType="end"/>
      </w:r>
      <w:bookmarkEnd w:id="20"/>
      <w:r>
        <w:rPr>
          <w:rFonts w:ascii="Times New Roman"/>
          <w:color w:val="auto"/>
          <w:w w:val="100"/>
          <w:sz w:val="28"/>
        </w:rPr>
        <w:t>  </w:t>
      </w:r>
      <w:r>
        <w:rPr>
          <w:rStyle w:val="230"/>
          <w:rFonts w:hint="eastAsia" w:hAnsi="黑体"/>
          <w:color w:val="auto"/>
          <w:position w:val="0"/>
        </w:rPr>
        <w:t>发</w:t>
      </w:r>
      <w:r>
        <w:rPr>
          <w:rStyle w:val="230"/>
          <w:rFonts w:hint="eastAsia" w:hAnsi="黑体"/>
          <w:color w:val="auto"/>
          <w:spacing w:val="0"/>
          <w:position w:val="0"/>
        </w:rPr>
        <w:t>布</w:t>
      </w:r>
    </w:p>
    <w:p>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0"/>
        <w:spacing w:before="900" w:after="468"/>
        <w:rPr>
          <w:color w:val="auto"/>
        </w:rPr>
      </w:pPr>
      <w:bookmarkStart w:id="21" w:name="BookMark2"/>
      <w:r>
        <w:rPr>
          <w:color w:val="auto"/>
          <w:spacing w:val="320"/>
        </w:rPr>
        <w:t>前</w:t>
      </w:r>
      <w:r>
        <w:rPr>
          <w:color w:val="auto"/>
        </w:rPr>
        <w:t>言</w:t>
      </w:r>
    </w:p>
    <w:p>
      <w:pPr>
        <w:pStyle w:val="57"/>
        <w:ind w:firstLine="420"/>
        <w:rPr>
          <w:color w:val="auto"/>
        </w:rPr>
      </w:pPr>
      <w:r>
        <w:rPr>
          <w:rFonts w:hint="eastAsia"/>
          <w:color w:val="auto"/>
        </w:rPr>
        <w:t>本文件按照GB/T 1.1—2020《标准化工作导则  第1部分：标准化文件的结构和起草规则》的规定起草。</w:t>
      </w:r>
    </w:p>
    <w:p>
      <w:pPr>
        <w:pStyle w:val="57"/>
        <w:ind w:firstLine="420"/>
        <w:rPr>
          <w:color w:val="auto"/>
        </w:rPr>
      </w:pPr>
      <w:r>
        <w:rPr>
          <w:rFonts w:hint="eastAsia"/>
          <w:color w:val="auto"/>
        </w:rPr>
        <w:t>本文件由莲都区发展和改革局提出并归口。</w:t>
      </w:r>
    </w:p>
    <w:p>
      <w:pPr>
        <w:pStyle w:val="57"/>
        <w:ind w:firstLine="420"/>
        <w:rPr>
          <w:color w:val="auto"/>
        </w:rPr>
      </w:pPr>
      <w:r>
        <w:rPr>
          <w:rFonts w:hint="eastAsia"/>
          <w:color w:val="auto"/>
        </w:rPr>
        <w:t>本文件起草单位：丽水市莲都区发展和改革局、遂昌原创标准化事务所有限公司</w:t>
      </w:r>
    </w:p>
    <w:p>
      <w:pPr>
        <w:pStyle w:val="57"/>
        <w:ind w:firstLine="420"/>
        <w:rPr>
          <w:color w:val="auto"/>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rPr>
          <w:rFonts w:hint="eastAsia"/>
          <w:color w:val="auto"/>
        </w:rPr>
        <w:t>本文件主要起草人：童力、汤金伟、陈俏、季阳、陈洁毅、袁蓉、李佳译。</w:t>
      </w:r>
    </w:p>
    <w:bookmarkEnd w:id="21"/>
    <w:p>
      <w:pPr>
        <w:spacing w:line="20" w:lineRule="exact"/>
        <w:jc w:val="center"/>
        <w:rPr>
          <w:rFonts w:ascii="黑体" w:hAnsi="黑体" w:eastAsia="黑体"/>
          <w:color w:val="auto"/>
          <w:sz w:val="32"/>
          <w:szCs w:val="32"/>
        </w:rPr>
      </w:pPr>
      <w:bookmarkStart w:id="22" w:name="BookMark4"/>
    </w:p>
    <w:p>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7A11B35FD0494E49B1663F3D47A3B3F7"/>
        </w:placeholder>
      </w:sdtPr>
      <w:sdtEndPr>
        <w:rPr>
          <w:color w:val="auto"/>
        </w:rPr>
      </w:sdtEndPr>
      <w:sdtContent>
        <w:p>
          <w:pPr>
            <w:pStyle w:val="178"/>
            <w:rPr>
              <w:color w:val="auto"/>
            </w:rPr>
          </w:pPr>
          <w:bookmarkStart w:id="23" w:name="NEW_STAND_NAME"/>
          <w:r>
            <w:rPr>
              <w:rFonts w:hint="eastAsia"/>
              <w:color w:val="auto"/>
            </w:rPr>
            <w:t>信用商圈基本规范</w:t>
          </w:r>
        </w:p>
      </w:sdtContent>
    </w:sdt>
    <w:bookmarkEnd w:id="23"/>
    <w:p>
      <w:pPr>
        <w:pStyle w:val="105"/>
        <w:spacing w:before="312" w:after="312"/>
        <w:ind w:left="0"/>
        <w:rPr>
          <w:color w:val="auto"/>
        </w:rPr>
      </w:pPr>
      <w:bookmarkStart w:id="24" w:name="_Toc24884211"/>
      <w:bookmarkStart w:id="25" w:name="_Toc26986771"/>
      <w:bookmarkStart w:id="26" w:name="_Toc26986530"/>
      <w:bookmarkStart w:id="27" w:name="_Toc17233333"/>
      <w:bookmarkStart w:id="28" w:name="_Toc26648465"/>
      <w:bookmarkStart w:id="29" w:name="_Toc24884218"/>
      <w:bookmarkStart w:id="30" w:name="_Toc26718930"/>
      <w:bookmarkStart w:id="31" w:name="_Toc97191423"/>
      <w:bookmarkStart w:id="32" w:name="_Toc17233325"/>
      <w:r>
        <w:rPr>
          <w:rFonts w:hint="eastAsia"/>
          <w:color w:val="auto"/>
        </w:rPr>
        <w:t>范围</w:t>
      </w:r>
      <w:bookmarkEnd w:id="24"/>
      <w:bookmarkEnd w:id="25"/>
      <w:bookmarkEnd w:id="26"/>
      <w:bookmarkEnd w:id="27"/>
      <w:bookmarkEnd w:id="28"/>
      <w:bookmarkEnd w:id="29"/>
      <w:bookmarkEnd w:id="30"/>
      <w:bookmarkEnd w:id="31"/>
      <w:bookmarkEnd w:id="32"/>
    </w:p>
    <w:p>
      <w:pPr>
        <w:pStyle w:val="57"/>
        <w:ind w:firstLine="420"/>
        <w:rPr>
          <w:color w:val="auto"/>
        </w:rPr>
      </w:pPr>
      <w:bookmarkStart w:id="33" w:name="_Toc17233326"/>
      <w:bookmarkStart w:id="34" w:name="_Toc17233334"/>
      <w:bookmarkStart w:id="35" w:name="_Toc24884219"/>
      <w:bookmarkStart w:id="36" w:name="_Toc24884212"/>
      <w:bookmarkStart w:id="37" w:name="_Toc26648466"/>
      <w:r>
        <w:rPr>
          <w:rFonts w:hint="eastAsia"/>
          <w:color w:val="auto"/>
        </w:rPr>
        <w:t>本文件规定了信用商圈评价规范的术语和定义、基本要求、经营环境、标识标志、安全管理、人员要求、信用管理、信用监督、信用评价的要求。</w:t>
      </w:r>
    </w:p>
    <w:p>
      <w:pPr>
        <w:pStyle w:val="57"/>
        <w:ind w:firstLine="420"/>
        <w:rPr>
          <w:color w:val="auto"/>
        </w:rPr>
      </w:pPr>
      <w:r>
        <w:rPr>
          <w:rFonts w:hint="eastAsia"/>
          <w:color w:val="auto"/>
        </w:rPr>
        <w:t xml:space="preserve">本文件适用于信用商圈的基本要求。 </w:t>
      </w:r>
    </w:p>
    <w:p>
      <w:pPr>
        <w:pStyle w:val="105"/>
        <w:spacing w:before="312" w:after="312"/>
        <w:ind w:left="0"/>
        <w:rPr>
          <w:color w:val="auto"/>
        </w:rPr>
      </w:pPr>
      <w:bookmarkStart w:id="38" w:name="_Toc26986531"/>
      <w:bookmarkStart w:id="39" w:name="_Toc26986772"/>
      <w:bookmarkStart w:id="40" w:name="_Toc97191424"/>
      <w:bookmarkStart w:id="41" w:name="_Toc26718931"/>
      <w:r>
        <w:rPr>
          <w:rFonts w:hint="eastAsia"/>
          <w:color w:val="auto"/>
        </w:rPr>
        <w:t>规范性引用文件</w:t>
      </w:r>
      <w:bookmarkEnd w:id="33"/>
      <w:bookmarkEnd w:id="34"/>
      <w:bookmarkEnd w:id="35"/>
      <w:bookmarkEnd w:id="36"/>
      <w:bookmarkEnd w:id="37"/>
      <w:bookmarkEnd w:id="38"/>
      <w:bookmarkEnd w:id="39"/>
      <w:bookmarkEnd w:id="40"/>
      <w:bookmarkEnd w:id="41"/>
    </w:p>
    <w:p>
      <w:pPr>
        <w:pStyle w:val="57"/>
        <w:ind w:firstLine="420"/>
        <w:rPr>
          <w:color w:val="auto"/>
        </w:rPr>
      </w:pPr>
      <w:sdt>
        <w:sdtPr>
          <w:rPr>
            <w:rFonts w:hint="eastAsia"/>
            <w:color w:val="auto"/>
          </w:rPr>
          <w:id w:val="715848253"/>
          <w:placeholder>
            <w:docPart w:val="B50896CE34134D2CBFD2F2F88DDEF9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bookmarkStart w:id="42" w:name="_Toc97191425"/>
    </w:p>
    <w:p>
      <w:pPr>
        <w:widowControl/>
        <w:adjustRightInd/>
        <w:spacing w:line="240" w:lineRule="auto"/>
        <w:ind w:firstLine="420" w:firstLineChars="200"/>
        <w:jc w:val="left"/>
        <w:rPr>
          <w:rFonts w:ascii="宋体" w:hAnsi="宋体" w:cs="宋体"/>
          <w:color w:val="auto"/>
          <w:kern w:val="0"/>
          <w:sz w:val="24"/>
          <w:szCs w:val="24"/>
        </w:rPr>
      </w:pPr>
      <w:r>
        <w:rPr>
          <w:rFonts w:hint="eastAsia" w:ascii="宋体" w:hAnsi="宋体" w:cs="宋体"/>
          <w:color w:val="auto"/>
          <w:kern w:val="0"/>
        </w:rPr>
        <w:t xml:space="preserve">GB 2894 安全标志及其使用导则 </w:t>
      </w:r>
    </w:p>
    <w:p>
      <w:pPr>
        <w:widowControl/>
        <w:adjustRightInd/>
        <w:spacing w:line="240" w:lineRule="auto"/>
        <w:ind w:firstLine="420" w:firstLineChars="200"/>
        <w:jc w:val="left"/>
        <w:rPr>
          <w:rFonts w:ascii="宋体" w:hAnsi="宋体" w:cs="宋体"/>
          <w:color w:val="auto"/>
          <w:kern w:val="0"/>
          <w:sz w:val="24"/>
          <w:szCs w:val="24"/>
        </w:rPr>
      </w:pPr>
      <w:r>
        <w:rPr>
          <w:rFonts w:hint="eastAsia" w:ascii="宋体" w:hAnsi="宋体" w:cs="宋体"/>
          <w:color w:val="auto"/>
          <w:kern w:val="0"/>
        </w:rPr>
        <w:t xml:space="preserve">GB/T 10001.1 标志用公共信息图形符号 </w:t>
      </w:r>
    </w:p>
    <w:p>
      <w:pPr>
        <w:widowControl/>
        <w:adjustRightInd/>
        <w:spacing w:line="240" w:lineRule="auto"/>
        <w:ind w:firstLine="420" w:firstLineChars="200"/>
        <w:jc w:val="left"/>
        <w:rPr>
          <w:rFonts w:ascii="宋体" w:hAnsi="宋体" w:cs="宋体"/>
          <w:color w:val="auto"/>
          <w:kern w:val="0"/>
          <w:sz w:val="24"/>
          <w:szCs w:val="24"/>
        </w:rPr>
      </w:pPr>
      <w:r>
        <w:rPr>
          <w:rFonts w:hint="eastAsia" w:ascii="宋体" w:hAnsi="宋体" w:cs="宋体"/>
          <w:color w:val="auto"/>
          <w:kern w:val="0"/>
        </w:rPr>
        <w:t xml:space="preserve">GB 13495 消防安全标志 </w:t>
      </w:r>
    </w:p>
    <w:p>
      <w:pPr>
        <w:widowControl/>
        <w:adjustRightInd/>
        <w:spacing w:line="240" w:lineRule="auto"/>
        <w:ind w:firstLine="420" w:firstLineChars="200"/>
        <w:jc w:val="left"/>
        <w:rPr>
          <w:rFonts w:ascii="宋体" w:hAnsi="宋体" w:cs="宋体"/>
          <w:color w:val="auto"/>
          <w:kern w:val="0"/>
          <w:sz w:val="24"/>
          <w:szCs w:val="24"/>
        </w:rPr>
      </w:pPr>
      <w:r>
        <w:rPr>
          <w:rFonts w:hint="eastAsia" w:ascii="宋体" w:hAnsi="宋体" w:cs="宋体"/>
          <w:color w:val="auto"/>
          <w:kern w:val="0"/>
        </w:rPr>
        <w:t xml:space="preserve">GB 15566.1 公共信息导向系统 设置原则与要求 第1部分：总则 </w:t>
      </w:r>
    </w:p>
    <w:p>
      <w:pPr>
        <w:widowControl/>
        <w:adjustRightInd/>
        <w:spacing w:line="240" w:lineRule="auto"/>
        <w:ind w:firstLine="420" w:firstLineChars="200"/>
        <w:jc w:val="left"/>
        <w:rPr>
          <w:rFonts w:ascii="宋体" w:hAnsi="宋体" w:cs="宋体"/>
          <w:color w:val="auto"/>
          <w:kern w:val="0"/>
          <w:sz w:val="24"/>
          <w:szCs w:val="24"/>
        </w:rPr>
      </w:pPr>
      <w:r>
        <w:rPr>
          <w:rFonts w:hint="eastAsia" w:ascii="宋体" w:hAnsi="宋体" w:cs="宋体"/>
          <w:color w:val="auto"/>
          <w:kern w:val="0"/>
        </w:rPr>
        <w:t xml:space="preserve">GB 15630 消防安全标志设置要求 </w:t>
      </w:r>
    </w:p>
    <w:p>
      <w:pPr>
        <w:widowControl/>
        <w:adjustRightInd/>
        <w:spacing w:line="240" w:lineRule="auto"/>
        <w:ind w:firstLine="420" w:firstLineChars="200"/>
        <w:jc w:val="left"/>
        <w:rPr>
          <w:rFonts w:ascii="宋体" w:hAnsi="宋体" w:cs="宋体"/>
          <w:color w:val="auto"/>
          <w:kern w:val="0"/>
          <w:sz w:val="24"/>
          <w:szCs w:val="24"/>
        </w:rPr>
      </w:pPr>
      <w:r>
        <w:rPr>
          <w:rFonts w:hint="eastAsia" w:ascii="宋体" w:hAnsi="宋体" w:cs="宋体"/>
          <w:color w:val="auto"/>
          <w:kern w:val="0"/>
        </w:rPr>
        <w:t xml:space="preserve">GB 50140 建筑灭火器配置设计规范(附条文说明) </w:t>
      </w:r>
    </w:p>
    <w:p>
      <w:pPr>
        <w:pStyle w:val="57"/>
        <w:ind w:firstLine="420"/>
        <w:rPr>
          <w:rFonts w:hAnsi="宋体" w:cs="宋体"/>
          <w:color w:val="auto"/>
          <w:szCs w:val="21"/>
        </w:rPr>
      </w:pPr>
      <w:r>
        <w:rPr>
          <w:rFonts w:hint="eastAsia" w:hAnsi="宋体" w:cs="宋体"/>
          <w:color w:val="auto"/>
          <w:szCs w:val="21"/>
        </w:rPr>
        <w:t xml:space="preserve">GB 50763 无障碍设计规范 </w:t>
      </w:r>
    </w:p>
    <w:p>
      <w:pPr>
        <w:pStyle w:val="105"/>
        <w:spacing w:before="312" w:after="312"/>
        <w:ind w:left="0"/>
        <w:rPr>
          <w:color w:val="auto"/>
        </w:rPr>
      </w:pPr>
      <w:r>
        <w:rPr>
          <w:rFonts w:hint="eastAsia"/>
          <w:color w:val="auto"/>
          <w:szCs w:val="21"/>
        </w:rPr>
        <w:t>术语和定义</w:t>
      </w:r>
      <w:bookmarkEnd w:id="42"/>
    </w:p>
    <w:sdt>
      <w:sdtPr>
        <w:rPr>
          <w:color w:val="auto"/>
        </w:rPr>
        <w:id w:val="-1909835108"/>
        <w:placeholder>
          <w:docPart w:val="00200C39B4114098BD27777308845D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7"/>
            <w:ind w:firstLine="420"/>
            <w:rPr>
              <w:color w:val="auto"/>
            </w:rPr>
          </w:pPr>
          <w:bookmarkStart w:id="43" w:name="_Toc26986532"/>
          <w:bookmarkEnd w:id="43"/>
          <w:r>
            <w:rPr>
              <w:rFonts w:hint="eastAsia"/>
              <w:color w:val="auto"/>
            </w:rPr>
            <w:t>下列术语和定义适用于本文件。</w:t>
          </w:r>
        </w:p>
      </w:sdtContent>
    </w:sdt>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商圈</w:t>
      </w:r>
    </w:p>
    <w:p>
      <w:pPr>
        <w:pStyle w:val="57"/>
        <w:ind w:firstLine="420"/>
        <w:rPr>
          <w:color w:val="auto"/>
        </w:rPr>
      </w:pPr>
      <w:r>
        <w:rPr>
          <w:rFonts w:hint="eastAsia"/>
          <w:color w:val="auto"/>
        </w:rPr>
        <w:t>在特定空间范围内，一种或多种业态、各种规模商业集群的集聚区。</w:t>
      </w:r>
    </w:p>
    <w:p>
      <w:pPr>
        <w:pStyle w:val="105"/>
        <w:spacing w:before="312" w:after="312"/>
        <w:ind w:left="0"/>
        <w:rPr>
          <w:color w:val="auto"/>
        </w:rPr>
      </w:pPr>
      <w:r>
        <w:rPr>
          <w:rFonts w:hint="eastAsia"/>
          <w:color w:val="auto"/>
        </w:rPr>
        <w:t>基本要求</w:t>
      </w:r>
    </w:p>
    <w:p>
      <w:pPr>
        <w:pStyle w:val="163"/>
        <w:ind w:left="0"/>
        <w:rPr>
          <w:color w:val="auto"/>
        </w:rPr>
      </w:pPr>
      <w:r>
        <w:rPr>
          <w:rFonts w:hint="eastAsia"/>
          <w:color w:val="auto"/>
        </w:rPr>
        <w:t>运营时间不少于两年，商圈内商户不少于50家。</w:t>
      </w:r>
    </w:p>
    <w:p>
      <w:pPr>
        <w:pStyle w:val="163"/>
        <w:ind w:left="0"/>
        <w:rPr>
          <w:color w:val="auto"/>
          <w:szCs w:val="22"/>
        </w:rPr>
      </w:pPr>
      <w:r>
        <w:rPr>
          <w:rFonts w:hint="eastAsia"/>
          <w:color w:val="auto"/>
          <w:szCs w:val="22"/>
        </w:rPr>
        <w:t>应注册在莲都区范围内，有专门的</w:t>
      </w:r>
      <w:r>
        <w:rPr>
          <w:rFonts w:hint="eastAsia"/>
          <w:color w:val="auto"/>
          <w:szCs w:val="22"/>
          <w:lang w:eastAsia="zh-CN"/>
        </w:rPr>
        <w:t>运营（管理）</w:t>
      </w:r>
      <w:r>
        <w:rPr>
          <w:rFonts w:hint="eastAsia"/>
          <w:color w:val="auto"/>
          <w:szCs w:val="22"/>
        </w:rPr>
        <w:t>机构，行使相关的管理职责，及独立的管理运营。</w:t>
      </w:r>
    </w:p>
    <w:p>
      <w:pPr>
        <w:pStyle w:val="163"/>
        <w:ind w:left="0"/>
        <w:rPr>
          <w:color w:val="auto"/>
          <w:szCs w:val="22"/>
        </w:rPr>
      </w:pPr>
      <w:r>
        <w:rPr>
          <w:rFonts w:hint="eastAsia"/>
          <w:color w:val="auto"/>
          <w:szCs w:val="22"/>
        </w:rPr>
        <w:t>商圈经营场所的总面积要求达10000平方米以上，商圈内商户月营业总额达50万元以上。</w:t>
      </w:r>
    </w:p>
    <w:p>
      <w:pPr>
        <w:pStyle w:val="163"/>
        <w:ind w:left="0"/>
        <w:rPr>
          <w:color w:val="auto"/>
        </w:rPr>
      </w:pPr>
      <w:r>
        <w:rPr>
          <w:rFonts w:hint="eastAsia"/>
          <w:color w:val="auto"/>
        </w:rPr>
        <w:t>商圈内商户及管理机构未被列入严重失信主体名单。</w:t>
      </w:r>
    </w:p>
    <w:p>
      <w:pPr>
        <w:pStyle w:val="163"/>
        <w:ind w:left="0"/>
        <w:rPr>
          <w:color w:val="auto"/>
        </w:rPr>
      </w:pPr>
      <w:r>
        <w:rPr>
          <w:rFonts w:hint="eastAsia"/>
          <w:color w:val="auto"/>
        </w:rPr>
        <w:t>近2年未发生意识形态责任事件、重大失信负面舆情，未发生重大及以上安全生产事故、群体性事件等。</w:t>
      </w:r>
    </w:p>
    <w:p>
      <w:pPr>
        <w:pStyle w:val="105"/>
        <w:spacing w:before="312" w:after="312"/>
        <w:ind w:left="0"/>
        <w:rPr>
          <w:color w:val="auto"/>
        </w:rPr>
      </w:pPr>
      <w:r>
        <w:rPr>
          <w:rFonts w:hint="eastAsia"/>
          <w:color w:val="auto"/>
        </w:rPr>
        <w:t>经营环境</w:t>
      </w:r>
    </w:p>
    <w:p>
      <w:pPr>
        <w:pStyle w:val="163"/>
        <w:ind w:left="0"/>
        <w:rPr>
          <w:color w:val="auto"/>
          <w:szCs w:val="22"/>
        </w:rPr>
      </w:pPr>
      <w:r>
        <w:rPr>
          <w:rFonts w:hint="eastAsia"/>
          <w:color w:val="auto"/>
          <w:szCs w:val="22"/>
        </w:rPr>
        <w:t>商圈</w:t>
      </w:r>
      <w:r>
        <w:rPr>
          <w:color w:val="auto"/>
          <w:szCs w:val="22"/>
        </w:rPr>
        <w:t>片区</w:t>
      </w:r>
      <w:r>
        <w:rPr>
          <w:rFonts w:hint="eastAsia"/>
          <w:color w:val="auto"/>
          <w:szCs w:val="22"/>
        </w:rPr>
        <w:t>道路</w:t>
      </w:r>
      <w:r>
        <w:rPr>
          <w:color w:val="auto"/>
          <w:szCs w:val="22"/>
        </w:rPr>
        <w:t>畅通</w:t>
      </w:r>
      <w:r>
        <w:rPr>
          <w:rFonts w:hint="eastAsia"/>
          <w:color w:val="auto"/>
          <w:szCs w:val="22"/>
        </w:rPr>
        <w:t>，</w:t>
      </w:r>
      <w:r>
        <w:rPr>
          <w:color w:val="auto"/>
          <w:szCs w:val="22"/>
        </w:rPr>
        <w:t>设置相应数量的停车位，</w:t>
      </w:r>
      <w:r>
        <w:rPr>
          <w:rFonts w:hint="eastAsia"/>
          <w:color w:val="auto"/>
          <w:szCs w:val="22"/>
        </w:rPr>
        <w:t>有条件的可</w:t>
      </w:r>
      <w:r>
        <w:rPr>
          <w:color w:val="auto"/>
          <w:szCs w:val="22"/>
        </w:rPr>
        <w:t>设置临时停车位和残疾人停车位，以满足不同人</w:t>
      </w:r>
      <w:r>
        <w:rPr>
          <w:rFonts w:hint="eastAsia"/>
          <w:color w:val="auto"/>
          <w:szCs w:val="22"/>
        </w:rPr>
        <w:t>群</w:t>
      </w:r>
      <w:r>
        <w:rPr>
          <w:color w:val="auto"/>
          <w:szCs w:val="22"/>
        </w:rPr>
        <w:t>的停车需求。</w:t>
      </w:r>
    </w:p>
    <w:p>
      <w:pPr>
        <w:pStyle w:val="163"/>
        <w:ind w:left="0"/>
        <w:rPr>
          <w:color w:val="auto"/>
          <w:szCs w:val="22"/>
        </w:rPr>
      </w:pPr>
      <w:r>
        <w:rPr>
          <w:rFonts w:hint="eastAsia"/>
          <w:color w:val="auto"/>
          <w:szCs w:val="22"/>
        </w:rPr>
        <w:t>应</w:t>
      </w:r>
      <w:r>
        <w:rPr>
          <w:rFonts w:hint="eastAsia"/>
          <w:color w:val="auto"/>
        </w:rPr>
        <w:t>设有</w:t>
      </w:r>
      <w:r>
        <w:rPr>
          <w:rFonts w:hint="eastAsia"/>
          <w:color w:val="auto"/>
          <w:szCs w:val="22"/>
        </w:rPr>
        <w:t>休息区、洗手间、寄存柜等便民功能区，有条件的可设置母婴室、儿童娱乐区等。</w:t>
      </w:r>
    </w:p>
    <w:p>
      <w:pPr>
        <w:pStyle w:val="163"/>
        <w:ind w:left="0"/>
        <w:rPr>
          <w:color w:val="auto"/>
        </w:rPr>
      </w:pPr>
      <w:r>
        <w:rPr>
          <w:color w:val="auto"/>
        </w:rPr>
        <w:t>应设立无障碍通道和设施，</w:t>
      </w:r>
      <w:r>
        <w:rPr>
          <w:rFonts w:hint="eastAsia"/>
          <w:color w:val="auto"/>
        </w:rPr>
        <w:t>符合GB 50763的规定。</w:t>
      </w:r>
    </w:p>
    <w:p>
      <w:pPr>
        <w:pStyle w:val="163"/>
        <w:ind w:left="0"/>
        <w:rPr>
          <w:color w:val="auto"/>
        </w:rPr>
      </w:pPr>
      <w:r>
        <w:rPr>
          <w:color w:val="auto"/>
        </w:rPr>
        <w:t>空调和通风系统应保持良好的功能和运行状态，保证室内空气质量和温湿度的舒适。</w:t>
      </w:r>
    </w:p>
    <w:p>
      <w:pPr>
        <w:pStyle w:val="163"/>
        <w:ind w:left="0"/>
        <w:rPr>
          <w:color w:val="auto"/>
        </w:rPr>
      </w:pPr>
      <w:r>
        <w:rPr>
          <w:color w:val="auto"/>
        </w:rPr>
        <w:t>照明设计应充分考虑自然采光和节能环保要求。</w:t>
      </w:r>
    </w:p>
    <w:p>
      <w:pPr>
        <w:pStyle w:val="163"/>
        <w:ind w:left="0"/>
        <w:rPr>
          <w:color w:val="auto"/>
        </w:rPr>
      </w:pPr>
      <w:r>
        <w:rPr>
          <w:color w:val="auto"/>
        </w:rPr>
        <w:t>醒目位置设有功能区分布图，标注</w:t>
      </w:r>
      <w:r>
        <w:rPr>
          <w:rFonts w:hint="eastAsia"/>
          <w:color w:val="auto"/>
        </w:rPr>
        <w:t>商圈</w:t>
      </w:r>
      <w:r>
        <w:rPr>
          <w:color w:val="auto"/>
        </w:rPr>
        <w:t>内各区域的位置。</w:t>
      </w:r>
    </w:p>
    <w:p>
      <w:pPr>
        <w:pStyle w:val="163"/>
        <w:ind w:left="0"/>
        <w:rPr>
          <w:color w:val="auto"/>
        </w:rPr>
      </w:pPr>
      <w:r>
        <w:rPr>
          <w:color w:val="auto"/>
        </w:rPr>
        <w:t>室内绿化应合理布局和选择植物，保持空气清新和舒适。</w:t>
      </w:r>
    </w:p>
    <w:p>
      <w:pPr>
        <w:pStyle w:val="105"/>
        <w:spacing w:before="312" w:after="312"/>
        <w:ind w:left="0"/>
        <w:rPr>
          <w:color w:val="auto"/>
        </w:rPr>
      </w:pPr>
      <w:r>
        <w:rPr>
          <w:rFonts w:hint="eastAsia"/>
          <w:color w:val="auto"/>
        </w:rPr>
        <w:t>标识标志</w:t>
      </w:r>
    </w:p>
    <w:p>
      <w:pPr>
        <w:pStyle w:val="163"/>
        <w:ind w:left="0"/>
        <w:rPr>
          <w:rFonts w:hAnsi="宋体" w:cs="宋体"/>
          <w:color w:val="auto"/>
          <w:sz w:val="24"/>
          <w:szCs w:val="24"/>
        </w:rPr>
      </w:pPr>
      <w:r>
        <w:rPr>
          <w:color w:val="auto"/>
        </w:rPr>
        <w:t>有标志导向系统，</w:t>
      </w:r>
      <w:r>
        <w:rPr>
          <w:rFonts w:hint="eastAsia"/>
          <w:color w:val="auto"/>
        </w:rPr>
        <w:t>商圈</w:t>
      </w:r>
      <w:r>
        <w:rPr>
          <w:color w:val="auto"/>
        </w:rPr>
        <w:t>内标志统一、醒目、美观，标志设置应符合GB/T</w:t>
      </w:r>
      <w:r>
        <w:rPr>
          <w:rFonts w:hint="eastAsia"/>
          <w:color w:val="auto"/>
        </w:rPr>
        <w:t xml:space="preserve"> </w:t>
      </w:r>
      <w:r>
        <w:rPr>
          <w:color w:val="auto"/>
        </w:rPr>
        <w:t>15566.1的要求，</w:t>
      </w:r>
      <w:r>
        <w:rPr>
          <w:rFonts w:ascii="CIDFont" w:hAnsi="CIDFont" w:cs="宋体"/>
          <w:color w:val="auto"/>
        </w:rPr>
        <w:t>标志</w:t>
      </w:r>
      <w:r>
        <w:rPr>
          <w:color w:val="auto"/>
        </w:rPr>
        <w:t xml:space="preserve">样式应符合GB/T 10001.1的要求。 </w:t>
      </w:r>
    </w:p>
    <w:p>
      <w:pPr>
        <w:pStyle w:val="163"/>
        <w:ind w:left="0"/>
        <w:rPr>
          <w:color w:val="auto"/>
        </w:rPr>
      </w:pPr>
      <w:r>
        <w:rPr>
          <w:color w:val="auto"/>
        </w:rPr>
        <w:t xml:space="preserve">消防安全标志设置应符合GB 15630的要求，消防安全标志样式符合GB 13495的要求。 </w:t>
      </w:r>
    </w:p>
    <w:p>
      <w:pPr>
        <w:pStyle w:val="163"/>
        <w:ind w:left="0"/>
        <w:rPr>
          <w:color w:val="auto"/>
        </w:rPr>
      </w:pPr>
      <w:r>
        <w:rPr>
          <w:color w:val="auto"/>
        </w:rPr>
        <w:t xml:space="preserve">安全标志及其使用应符合GB 2894的要求。 </w:t>
      </w:r>
    </w:p>
    <w:p>
      <w:pPr>
        <w:pStyle w:val="163"/>
        <w:ind w:left="0"/>
        <w:rPr>
          <w:rFonts w:hAnsi="宋体"/>
          <w:color w:val="auto"/>
          <w:sz w:val="24"/>
          <w:szCs w:val="24"/>
        </w:rPr>
      </w:pPr>
      <w:r>
        <w:rPr>
          <w:rFonts w:hint="eastAsia"/>
          <w:color w:val="auto"/>
        </w:rPr>
        <w:t>应设置便民标识和</w:t>
      </w:r>
      <w:r>
        <w:rPr>
          <w:rFonts w:hint="eastAsia"/>
          <w:color w:val="auto"/>
          <w:szCs w:val="22"/>
        </w:rPr>
        <w:t>安全警示标识。</w:t>
      </w:r>
    </w:p>
    <w:p>
      <w:pPr>
        <w:pStyle w:val="105"/>
        <w:spacing w:before="312" w:after="312"/>
        <w:ind w:left="0"/>
        <w:rPr>
          <w:color w:val="auto"/>
        </w:rPr>
      </w:pPr>
      <w:r>
        <w:rPr>
          <w:rFonts w:hint="eastAsia"/>
          <w:color w:val="auto"/>
        </w:rPr>
        <w:t>安全管理</w:t>
      </w:r>
    </w:p>
    <w:p>
      <w:pPr>
        <w:pStyle w:val="163"/>
        <w:ind w:left="0"/>
        <w:rPr>
          <w:color w:val="auto"/>
        </w:rPr>
      </w:pPr>
      <w:r>
        <w:rPr>
          <w:rFonts w:hint="eastAsia"/>
          <w:color w:val="auto"/>
        </w:rPr>
        <w:t>商圈应建立安全管理责任、工程物业管理等制度。</w:t>
      </w:r>
    </w:p>
    <w:p>
      <w:pPr>
        <w:pStyle w:val="163"/>
        <w:ind w:left="0"/>
        <w:rPr>
          <w:color w:val="auto"/>
          <w:sz w:val="24"/>
          <w:szCs w:val="24"/>
        </w:rPr>
      </w:pPr>
      <w:r>
        <w:rPr>
          <w:rFonts w:hint="eastAsia"/>
          <w:color w:val="auto"/>
        </w:rPr>
        <w:t>应配备应急照明设备和消防设施，消防设施应符合GB 50140的要</w:t>
      </w:r>
      <w:r>
        <w:rPr>
          <w:rFonts w:hint="eastAsia" w:hAnsi="宋体" w:cs="宋体"/>
          <w:color w:val="auto"/>
          <w:szCs w:val="21"/>
        </w:rPr>
        <w:t>求。</w:t>
      </w:r>
    </w:p>
    <w:p>
      <w:pPr>
        <w:pStyle w:val="163"/>
        <w:ind w:left="0"/>
        <w:rPr>
          <w:rFonts w:hAnsi="宋体"/>
          <w:color w:val="auto"/>
          <w:sz w:val="24"/>
          <w:szCs w:val="24"/>
        </w:rPr>
      </w:pPr>
      <w:r>
        <w:rPr>
          <w:color w:val="auto"/>
        </w:rPr>
        <w:t>应不定期对工作人员进行安全教育，每年开展不少于一次</w:t>
      </w:r>
      <w:r>
        <w:rPr>
          <w:rFonts w:hint="eastAsia"/>
          <w:color w:val="auto"/>
        </w:rPr>
        <w:t>紧急疏散的</w:t>
      </w:r>
      <w:r>
        <w:rPr>
          <w:color w:val="auto"/>
        </w:rPr>
        <w:t xml:space="preserve">消防演习。 </w:t>
      </w:r>
    </w:p>
    <w:p>
      <w:pPr>
        <w:pStyle w:val="163"/>
        <w:ind w:left="0"/>
        <w:rPr>
          <w:color w:val="auto"/>
          <w:szCs w:val="22"/>
        </w:rPr>
      </w:pPr>
      <w:r>
        <w:rPr>
          <w:rFonts w:hint="eastAsia"/>
          <w:color w:val="auto"/>
        </w:rPr>
        <w:t>应设有</w:t>
      </w:r>
      <w:r>
        <w:rPr>
          <w:color w:val="auto"/>
          <w:szCs w:val="22"/>
        </w:rPr>
        <w:t>监控设备，覆盖所有公共区域和重要部位，监控设备应具备高清画质、录音功能，并能够远程实时查看。</w:t>
      </w:r>
    </w:p>
    <w:p>
      <w:pPr>
        <w:pStyle w:val="163"/>
        <w:ind w:left="0"/>
        <w:rPr>
          <w:color w:val="auto"/>
        </w:rPr>
      </w:pPr>
      <w:r>
        <w:rPr>
          <w:color w:val="auto"/>
        </w:rPr>
        <w:t xml:space="preserve">定期对开关照明及设备电源进行巡查，发现安全隐患及时上报和处置。 </w:t>
      </w:r>
    </w:p>
    <w:p>
      <w:pPr>
        <w:pStyle w:val="163"/>
        <w:ind w:left="0"/>
        <w:rPr>
          <w:color w:val="auto"/>
          <w:szCs w:val="22"/>
        </w:rPr>
      </w:pPr>
      <w:r>
        <w:rPr>
          <w:color w:val="auto"/>
          <w:szCs w:val="22"/>
        </w:rPr>
        <w:t>应确保公共设施的安全性能，如电梯等设备应符合相关安全标准。</w:t>
      </w:r>
    </w:p>
    <w:p>
      <w:pPr>
        <w:pStyle w:val="163"/>
        <w:ind w:left="0"/>
        <w:rPr>
          <w:rFonts w:hAnsi="宋体"/>
          <w:color w:val="auto"/>
          <w:sz w:val="24"/>
          <w:szCs w:val="24"/>
        </w:rPr>
      </w:pPr>
      <w:r>
        <w:rPr>
          <w:color w:val="auto"/>
        </w:rPr>
        <w:t>应建立针对火灾、停电、网络故障、群体事件、现场救护等风险制定突发事件应急预案。</w:t>
      </w:r>
    </w:p>
    <w:p>
      <w:pPr>
        <w:pStyle w:val="105"/>
        <w:spacing w:before="312" w:after="312"/>
        <w:ind w:left="0"/>
        <w:rPr>
          <w:color w:val="auto"/>
        </w:rPr>
      </w:pPr>
      <w:r>
        <w:rPr>
          <w:color w:val="auto"/>
        </w:rPr>
        <w:t>人员要求</w:t>
      </w:r>
    </w:p>
    <w:p>
      <w:pPr>
        <w:pStyle w:val="163"/>
        <w:ind w:left="0"/>
        <w:rPr>
          <w:color w:val="auto"/>
        </w:rPr>
      </w:pPr>
      <w:r>
        <w:rPr>
          <w:rFonts w:hint="eastAsia"/>
          <w:color w:val="auto"/>
        </w:rPr>
        <w:t>应配备与商圈规模相适应管理人员、保安人员、保洁人员等。</w:t>
      </w:r>
    </w:p>
    <w:p>
      <w:pPr>
        <w:pStyle w:val="163"/>
        <w:ind w:left="0"/>
        <w:rPr>
          <w:color w:val="auto"/>
          <w:szCs w:val="22"/>
        </w:rPr>
      </w:pPr>
      <w:r>
        <w:rPr>
          <w:rFonts w:hint="eastAsia"/>
          <w:color w:val="auto"/>
        </w:rPr>
        <w:t>具备相应的专业技能</w:t>
      </w:r>
      <w:r>
        <w:rPr>
          <w:rFonts w:hint="eastAsia"/>
          <w:color w:val="auto"/>
          <w:lang w:eastAsia="zh-CN"/>
        </w:rPr>
        <w:t>。</w:t>
      </w:r>
      <w:r>
        <w:rPr>
          <w:rFonts w:hint="eastAsia"/>
          <w:color w:val="auto"/>
        </w:rPr>
        <w:t>及</w:t>
      </w:r>
      <w:r>
        <w:rPr>
          <w:color w:val="auto"/>
        </w:rPr>
        <w:t>法律法规</w:t>
      </w:r>
      <w:r>
        <w:rPr>
          <w:rFonts w:hint="eastAsia"/>
          <w:color w:val="auto"/>
        </w:rPr>
        <w:t>知识。</w:t>
      </w:r>
    </w:p>
    <w:p>
      <w:pPr>
        <w:pStyle w:val="163"/>
        <w:ind w:left="0"/>
        <w:rPr>
          <w:color w:val="auto"/>
          <w:szCs w:val="22"/>
        </w:rPr>
      </w:pPr>
      <w:r>
        <w:rPr>
          <w:rFonts w:hint="eastAsia"/>
          <w:color w:val="auto"/>
        </w:rPr>
        <w:t>人员档案规范和齐全，无严重失信</w:t>
      </w:r>
      <w:r>
        <w:rPr>
          <w:rFonts w:hint="eastAsia"/>
          <w:color w:val="auto"/>
          <w:lang w:eastAsia="zh-CN"/>
        </w:rPr>
        <w:t>人员</w:t>
      </w:r>
      <w:r>
        <w:rPr>
          <w:rFonts w:hint="eastAsia"/>
          <w:color w:val="auto"/>
        </w:rPr>
        <w:t>。</w:t>
      </w:r>
    </w:p>
    <w:p>
      <w:pPr>
        <w:pStyle w:val="105"/>
        <w:spacing w:before="312" w:after="312"/>
        <w:ind w:left="0"/>
        <w:rPr>
          <w:color w:val="auto"/>
        </w:rPr>
      </w:pPr>
      <w:r>
        <w:rPr>
          <w:rFonts w:hint="eastAsia"/>
          <w:color w:val="auto"/>
        </w:rPr>
        <w:t>信用管理</w:t>
      </w:r>
    </w:p>
    <w:p>
      <w:pPr>
        <w:pStyle w:val="163"/>
        <w:ind w:left="0"/>
        <w:rPr>
          <w:color w:val="auto"/>
          <w:szCs w:val="22"/>
        </w:rPr>
      </w:pPr>
      <w:r>
        <w:rPr>
          <w:rFonts w:hint="eastAsia"/>
          <w:color w:val="auto"/>
        </w:rPr>
        <w:t>按照浙江省公共信用信息平台的</w:t>
      </w:r>
      <w:r>
        <w:rPr>
          <w:color w:val="auto"/>
        </w:rPr>
        <w:t>信用</w:t>
      </w:r>
      <w:r>
        <w:rPr>
          <w:rFonts w:hint="eastAsia"/>
          <w:color w:val="auto"/>
        </w:rPr>
        <w:t>评价</w:t>
      </w:r>
      <w:r>
        <w:rPr>
          <w:color w:val="auto"/>
        </w:rPr>
        <w:t>结果</w:t>
      </w:r>
      <w:r>
        <w:rPr>
          <w:rFonts w:hint="eastAsia"/>
          <w:color w:val="auto"/>
        </w:rPr>
        <w:t>，商圈管理机构公共信用综合信用分达</w:t>
      </w:r>
      <w:r>
        <w:rPr>
          <w:rFonts w:hint="eastAsia"/>
          <w:color w:val="auto"/>
          <w:lang w:eastAsia="zh-CN"/>
        </w:rPr>
        <w:t>优秀评级（</w:t>
      </w:r>
      <w:r>
        <w:rPr>
          <w:rFonts w:hint="eastAsia"/>
          <w:color w:val="auto"/>
        </w:rPr>
        <w:t>850分</w:t>
      </w:r>
      <w:r>
        <w:rPr>
          <w:rFonts w:hint="eastAsia"/>
          <w:color w:val="auto"/>
          <w:lang w:eastAsia="zh-CN"/>
        </w:rPr>
        <w:t>）</w:t>
      </w:r>
      <w:r>
        <w:rPr>
          <w:rFonts w:hint="eastAsia"/>
          <w:color w:val="auto"/>
        </w:rPr>
        <w:t>以上，商圈内商户公共信用综合信用分</w:t>
      </w:r>
      <w:r>
        <w:rPr>
          <w:rFonts w:hint="eastAsia"/>
          <w:color w:val="auto"/>
          <w:szCs w:val="22"/>
        </w:rPr>
        <w:t>达</w:t>
      </w:r>
      <w:r>
        <w:rPr>
          <w:rFonts w:hint="eastAsia"/>
          <w:color w:val="auto"/>
          <w:szCs w:val="22"/>
          <w:lang w:eastAsia="zh-CN"/>
        </w:rPr>
        <w:t>优良率</w:t>
      </w:r>
      <w:r>
        <w:rPr>
          <w:rFonts w:hint="eastAsia"/>
          <w:color w:val="auto"/>
          <w:szCs w:val="22"/>
          <w:lang w:val="en-US" w:eastAsia="zh-CN"/>
        </w:rPr>
        <w:t>（</w:t>
      </w:r>
      <w:r>
        <w:rPr>
          <w:rFonts w:hint="eastAsia"/>
          <w:color w:val="auto"/>
          <w:szCs w:val="22"/>
        </w:rPr>
        <w:t>800分</w:t>
      </w:r>
      <w:r>
        <w:rPr>
          <w:rFonts w:hint="eastAsia"/>
          <w:color w:val="auto"/>
          <w:szCs w:val="22"/>
          <w:lang w:val="en-US" w:eastAsia="zh-CN"/>
        </w:rPr>
        <w:t>）占90%以上</w:t>
      </w:r>
      <w:r>
        <w:rPr>
          <w:rFonts w:hint="eastAsia"/>
          <w:color w:val="auto"/>
          <w:szCs w:val="22"/>
        </w:rPr>
        <w:t>。</w:t>
      </w:r>
    </w:p>
    <w:p>
      <w:pPr>
        <w:pStyle w:val="163"/>
        <w:ind w:left="0"/>
        <w:rPr>
          <w:color w:val="auto"/>
        </w:rPr>
      </w:pPr>
      <w:r>
        <w:rPr>
          <w:rFonts w:hint="eastAsia"/>
          <w:color w:val="auto"/>
        </w:rPr>
        <w:t>应建立信用奖惩、信用承诺、诚信管理、营运检查管理、培训考核等制度。</w:t>
      </w:r>
    </w:p>
    <w:p>
      <w:pPr>
        <w:pStyle w:val="163"/>
        <w:ind w:left="0"/>
        <w:rPr>
          <w:color w:val="auto"/>
          <w:szCs w:val="22"/>
        </w:rPr>
      </w:pPr>
      <w:r>
        <w:rPr>
          <w:rFonts w:hint="eastAsia"/>
          <w:color w:val="auto"/>
        </w:rPr>
        <w:t>商圈管理机构与商户签订的信用承诺书达100%。</w:t>
      </w:r>
    </w:p>
    <w:p>
      <w:pPr>
        <w:pStyle w:val="163"/>
        <w:ind w:left="0"/>
        <w:rPr>
          <w:color w:val="auto"/>
        </w:rPr>
      </w:pPr>
      <w:r>
        <w:rPr>
          <w:rFonts w:hint="eastAsia"/>
          <w:color w:val="auto"/>
        </w:rPr>
        <w:t>商圈管理机构应做好信用标识、信用服务活动等相关内容的宣传。</w:t>
      </w:r>
    </w:p>
    <w:p>
      <w:pPr>
        <w:pStyle w:val="163"/>
        <w:ind w:left="0"/>
        <w:rPr>
          <w:color w:val="auto"/>
        </w:rPr>
      </w:pPr>
      <w:r>
        <w:rPr>
          <w:rFonts w:hint="eastAsia"/>
          <w:color w:val="auto"/>
          <w:lang w:bidi="ar"/>
        </w:rPr>
        <w:t>建立商户信用档案，档案保存期限按相关规定执行。</w:t>
      </w:r>
    </w:p>
    <w:p>
      <w:pPr>
        <w:pStyle w:val="163"/>
        <w:ind w:left="0"/>
        <w:rPr>
          <w:color w:val="auto"/>
        </w:rPr>
      </w:pPr>
      <w:r>
        <w:rPr>
          <w:rFonts w:hint="eastAsia"/>
          <w:color w:val="auto"/>
          <w:lang w:eastAsia="zh-CN" w:bidi="ar"/>
        </w:rPr>
        <w:t>对商户信用评价加以适用，在租金、管理费和推广、评先评优等方面出台相关应用规定。</w:t>
      </w:r>
    </w:p>
    <w:p>
      <w:pPr>
        <w:pStyle w:val="105"/>
        <w:spacing w:before="312" w:after="312"/>
        <w:ind w:left="0"/>
        <w:rPr>
          <w:color w:val="auto"/>
        </w:rPr>
      </w:pPr>
      <w:r>
        <w:rPr>
          <w:rFonts w:hint="eastAsia"/>
          <w:color w:val="auto"/>
        </w:rPr>
        <w:t>信用监督</w:t>
      </w:r>
    </w:p>
    <w:p>
      <w:pPr>
        <w:pStyle w:val="163"/>
        <w:ind w:left="0"/>
        <w:rPr>
          <w:color w:val="auto"/>
        </w:rPr>
      </w:pPr>
      <w:r>
        <w:rPr>
          <w:rFonts w:hint="eastAsia"/>
          <w:color w:val="auto"/>
        </w:rPr>
        <w:t>应组织第三方对商圈内商户实施现场检查、及商圈管理部门的自查等。</w:t>
      </w:r>
    </w:p>
    <w:p>
      <w:pPr>
        <w:pStyle w:val="163"/>
        <w:ind w:left="0"/>
        <w:rPr>
          <w:color w:val="auto"/>
        </w:rPr>
      </w:pPr>
      <w:r>
        <w:rPr>
          <w:rFonts w:hint="eastAsia"/>
          <w:color w:val="auto"/>
        </w:rPr>
        <w:t>应建立完善的投诉处理机制并有效运行。</w:t>
      </w:r>
      <w:r>
        <w:rPr>
          <w:rFonts w:hint="eastAsia"/>
          <w:color w:val="auto"/>
          <w:lang w:eastAsia="zh-CN"/>
        </w:rPr>
        <w:t>根据</w:t>
      </w:r>
      <w:r>
        <w:rPr>
          <w:rFonts w:hint="eastAsia"/>
          <w:color w:val="auto"/>
        </w:rPr>
        <w:t>投诉意见箱</w:t>
      </w:r>
      <w:r>
        <w:rPr>
          <w:rFonts w:hint="eastAsia"/>
          <w:color w:val="auto"/>
          <w:lang w:eastAsia="zh-CN"/>
        </w:rPr>
        <w:t>、</w:t>
      </w:r>
      <w:r>
        <w:rPr>
          <w:rFonts w:hint="eastAsia"/>
          <w:color w:val="auto"/>
        </w:rPr>
        <w:t>热线电话</w:t>
      </w:r>
      <w:r>
        <w:rPr>
          <w:rFonts w:hint="eastAsia"/>
          <w:color w:val="auto"/>
          <w:lang w:eastAsia="zh-CN"/>
        </w:rPr>
        <w:t>、</w:t>
      </w:r>
      <w:r>
        <w:rPr>
          <w:rFonts w:hint="eastAsia"/>
          <w:color w:val="auto"/>
        </w:rPr>
        <w:t>顾客投诉留言</w:t>
      </w:r>
      <w:r>
        <w:rPr>
          <w:rFonts w:hint="eastAsia"/>
          <w:color w:val="auto"/>
          <w:lang w:eastAsia="zh-CN"/>
        </w:rPr>
        <w:t>、</w:t>
      </w:r>
      <w:r>
        <w:rPr>
          <w:rFonts w:hint="eastAsia"/>
          <w:color w:val="auto"/>
        </w:rPr>
        <w:t>平台线上评价等</w:t>
      </w:r>
      <w:r>
        <w:rPr>
          <w:rFonts w:hint="eastAsia"/>
          <w:color w:val="auto"/>
          <w:lang w:eastAsia="zh-CN"/>
        </w:rPr>
        <w:t>渠道反馈情况</w:t>
      </w:r>
      <w:r>
        <w:rPr>
          <w:rFonts w:hint="eastAsia"/>
          <w:color w:val="auto"/>
        </w:rPr>
        <w:t>，</w:t>
      </w:r>
      <w:r>
        <w:rPr>
          <w:rFonts w:hint="eastAsia"/>
          <w:color w:val="auto"/>
          <w:lang w:eastAsia="zh-CN"/>
        </w:rPr>
        <w:t>出台相应的投诉</w:t>
      </w:r>
      <w:r>
        <w:rPr>
          <w:rFonts w:hint="eastAsia"/>
          <w:color w:val="auto"/>
        </w:rPr>
        <w:t>处理</w:t>
      </w:r>
      <w:r>
        <w:rPr>
          <w:rFonts w:hint="eastAsia"/>
          <w:color w:val="auto"/>
          <w:lang w:eastAsia="zh-CN"/>
        </w:rPr>
        <w:t>规范并及时妥善处理</w:t>
      </w:r>
      <w:r>
        <w:rPr>
          <w:rFonts w:hint="eastAsia"/>
          <w:color w:val="auto"/>
        </w:rPr>
        <w:t>。</w:t>
      </w:r>
    </w:p>
    <w:p>
      <w:pPr>
        <w:pStyle w:val="105"/>
        <w:spacing w:before="312" w:after="312"/>
        <w:ind w:left="0"/>
        <w:rPr>
          <w:color w:val="auto"/>
        </w:rPr>
      </w:pPr>
      <w:r>
        <w:rPr>
          <w:rFonts w:hint="eastAsia"/>
          <w:color w:val="auto"/>
        </w:rPr>
        <w:t>信用评价</w:t>
      </w:r>
    </w:p>
    <w:p>
      <w:pPr>
        <w:pStyle w:val="57"/>
        <w:ind w:firstLine="420"/>
        <w:rPr>
          <w:color w:val="auto"/>
        </w:rPr>
      </w:pPr>
      <w:r>
        <w:rPr>
          <w:rFonts w:hint="eastAsia"/>
          <w:color w:val="auto"/>
          <w:lang w:eastAsia="zh-CN"/>
        </w:rPr>
        <w:t>建立信用评价应用机制，</w:t>
      </w:r>
      <w:bookmarkStart w:id="44" w:name="_GoBack"/>
      <w:bookmarkEnd w:id="44"/>
      <w:r>
        <w:rPr>
          <w:rFonts w:hint="eastAsia"/>
          <w:color w:val="auto"/>
        </w:rPr>
        <w:t>可采取部门联合成立评价小组或委托第三方的方式，实施对信用商圈评价，评价内容应包括：基本要求、经营环境、安全管理、人员要求、信用管理、信用监督等内容。</w:t>
      </w:r>
    </w:p>
    <w:p>
      <w:pPr>
        <w:pStyle w:val="57"/>
        <w:ind w:firstLine="420"/>
        <w:rPr>
          <w:color w:val="auto"/>
        </w:rPr>
      </w:pPr>
    </w:p>
    <w:p>
      <w:pPr>
        <w:pStyle w:val="57"/>
        <w:ind w:firstLine="420"/>
        <w:jc w:val="center"/>
        <w:rPr>
          <w:color w:val="auto"/>
        </w:rPr>
      </w:pPr>
      <w:r>
        <w:rPr>
          <w:color w:val="auto"/>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a:stretch>
                      <a:fillRect/>
                    </a:stretch>
                  </pic:blipFill>
                  <pic:spPr>
                    <a:xfrm>
                      <a:off x="0" y="0"/>
                      <a:ext cx="1485900" cy="317500"/>
                    </a:xfrm>
                    <a:prstGeom prst="rect">
                      <a:avLst/>
                    </a:prstGeom>
                  </pic:spPr>
                </pic:pic>
              </a:graphicData>
            </a:graphic>
          </wp:inline>
        </w:drawing>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199"/>
        <w:rPr>
          <w:color w:val="auto"/>
          <w:lang w:bidi="ar"/>
        </w:rPr>
      </w:pPr>
      <w:r>
        <w:rPr>
          <w:color w:val="auto"/>
        </w:rPr>
        <w:tab/>
      </w:r>
      <w:bookmarkEnd w:id="22"/>
    </w:p>
    <w:sectPr>
      <w:headerReference r:id="rId12" w:type="default"/>
      <w:footerReference r:id="rId14" w:type="default"/>
      <w:headerReference r:id="rId13" w:type="even"/>
      <w:footerReference r:id="rId15"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IDFont">
    <w:altName w:val="Times New Roman"/>
    <w:panose1 w:val="00000000000000000000"/>
    <w:charset w:val="00"/>
    <w:family w:val="roman"/>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p>
    <w:pPr>
      <w:pStyle w:val="62"/>
    </w:pPr>
    <w:r>
      <w:fldChar w:fldCharType="begin"/>
    </w:r>
    <w:r>
      <w:instrText xml:space="preserve"> STYLEREF  标准文件_文件编号  \* MERGEFORMAT </w:instrText>
    </w:r>
    <w:r>
      <w:fldChar w:fldCharType="separate"/>
    </w:r>
    <w:r>
      <w:t>DJG 331102/T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DJG 331102/T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DJG 331102/T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DJG 331102/T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7513"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1418" w:firstLine="0"/>
      </w:pPr>
      <w:rPr>
        <w:rFonts w:hint="eastAsia" w:ascii="黑体" w:eastAsia="黑体"/>
        <w:b w:val="0"/>
        <w:i w:val="0"/>
        <w:sz w:val="21"/>
      </w:rPr>
    </w:lvl>
    <w:lvl w:ilvl="2" w:tentative="0">
      <w:start w:val="1"/>
      <w:numFmt w:val="decimal"/>
      <w:pStyle w:val="106"/>
      <w:suff w:val="nothing"/>
      <w:lvlText w:val="%1%2.%3　"/>
      <w:lvlJc w:val="left"/>
      <w:pPr>
        <w:ind w:left="71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709"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0"/>
  <w:defaultTabStop w:val="420"/>
  <w:evenAndOddHeaders w:val="true"/>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OTE4NzM4ZGQ3ZTk3Mjk0MTdlMmJhZWU2YjNjYzgifQ=="/>
  </w:docVars>
  <w:rsids>
    <w:rsidRoot w:val="00F3409E"/>
    <w:rsid w:val="0000040A"/>
    <w:rsid w:val="00000A94"/>
    <w:rsid w:val="00001972"/>
    <w:rsid w:val="00001D9A"/>
    <w:rsid w:val="00007B3A"/>
    <w:rsid w:val="000107E0"/>
    <w:rsid w:val="00011FDE"/>
    <w:rsid w:val="00012FFD"/>
    <w:rsid w:val="00013EE9"/>
    <w:rsid w:val="00014162"/>
    <w:rsid w:val="00014340"/>
    <w:rsid w:val="00016A9C"/>
    <w:rsid w:val="00021387"/>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BEF"/>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9E1"/>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32A5"/>
    <w:rsid w:val="00104926"/>
    <w:rsid w:val="00113B1E"/>
    <w:rsid w:val="0011711C"/>
    <w:rsid w:val="0012059C"/>
    <w:rsid w:val="00124E4F"/>
    <w:rsid w:val="001260B7"/>
    <w:rsid w:val="001265CB"/>
    <w:rsid w:val="001321C6"/>
    <w:rsid w:val="001325C4"/>
    <w:rsid w:val="00133010"/>
    <w:rsid w:val="001338EE"/>
    <w:rsid w:val="00133AAE"/>
    <w:rsid w:val="00134E53"/>
    <w:rsid w:val="00135323"/>
    <w:rsid w:val="001356C4"/>
    <w:rsid w:val="00141114"/>
    <w:rsid w:val="00142969"/>
    <w:rsid w:val="001446C2"/>
    <w:rsid w:val="001457E7"/>
    <w:rsid w:val="00145D9D"/>
    <w:rsid w:val="00146388"/>
    <w:rsid w:val="00151250"/>
    <w:rsid w:val="001529E5"/>
    <w:rsid w:val="00153C7E"/>
    <w:rsid w:val="00156B25"/>
    <w:rsid w:val="00156E1A"/>
    <w:rsid w:val="00157894"/>
    <w:rsid w:val="00157B55"/>
    <w:rsid w:val="00162B95"/>
    <w:rsid w:val="001642FA"/>
    <w:rsid w:val="001649EB"/>
    <w:rsid w:val="00164BAF"/>
    <w:rsid w:val="00164FA8"/>
    <w:rsid w:val="00165065"/>
    <w:rsid w:val="00165434"/>
    <w:rsid w:val="0016580B"/>
    <w:rsid w:val="00165F49"/>
    <w:rsid w:val="00166B88"/>
    <w:rsid w:val="0016770A"/>
    <w:rsid w:val="00170804"/>
    <w:rsid w:val="001708E9"/>
    <w:rsid w:val="00172593"/>
    <w:rsid w:val="0017340B"/>
    <w:rsid w:val="0017395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D1E"/>
    <w:rsid w:val="001D0ED4"/>
    <w:rsid w:val="001D212F"/>
    <w:rsid w:val="001D213D"/>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F06"/>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77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C7D"/>
    <w:rsid w:val="002B7F51"/>
    <w:rsid w:val="002C09E7"/>
    <w:rsid w:val="002C0F51"/>
    <w:rsid w:val="002C1E06"/>
    <w:rsid w:val="002C1E1C"/>
    <w:rsid w:val="002C3F07"/>
    <w:rsid w:val="002C5278"/>
    <w:rsid w:val="002C7EBB"/>
    <w:rsid w:val="002D06C1"/>
    <w:rsid w:val="002D42B5"/>
    <w:rsid w:val="002D4F1A"/>
    <w:rsid w:val="002D6EC6"/>
    <w:rsid w:val="002D79AC"/>
    <w:rsid w:val="002E039D"/>
    <w:rsid w:val="002E4D5A"/>
    <w:rsid w:val="002E5589"/>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945"/>
    <w:rsid w:val="00376713"/>
    <w:rsid w:val="00381815"/>
    <w:rsid w:val="003819AF"/>
    <w:rsid w:val="003820E9"/>
    <w:rsid w:val="00382DE7"/>
    <w:rsid w:val="00384FFC"/>
    <w:rsid w:val="003865C5"/>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A10"/>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776"/>
    <w:rsid w:val="003E1C53"/>
    <w:rsid w:val="003E2A69"/>
    <w:rsid w:val="003E2D49"/>
    <w:rsid w:val="003E2FD4"/>
    <w:rsid w:val="003E49F6"/>
    <w:rsid w:val="003E65AA"/>
    <w:rsid w:val="003E660F"/>
    <w:rsid w:val="003F0154"/>
    <w:rsid w:val="003F0841"/>
    <w:rsid w:val="003F23D3"/>
    <w:rsid w:val="003F3F08"/>
    <w:rsid w:val="003F49F1"/>
    <w:rsid w:val="003F6272"/>
    <w:rsid w:val="00400E72"/>
    <w:rsid w:val="00401400"/>
    <w:rsid w:val="00401667"/>
    <w:rsid w:val="00404869"/>
    <w:rsid w:val="00405884"/>
    <w:rsid w:val="00407D39"/>
    <w:rsid w:val="0041477A"/>
    <w:rsid w:val="004167A3"/>
    <w:rsid w:val="004233C2"/>
    <w:rsid w:val="00432DAA"/>
    <w:rsid w:val="00434305"/>
    <w:rsid w:val="00435DF7"/>
    <w:rsid w:val="00437823"/>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EAE"/>
    <w:rsid w:val="004D7C42"/>
    <w:rsid w:val="004E0465"/>
    <w:rsid w:val="004E127B"/>
    <w:rsid w:val="004E1C0A"/>
    <w:rsid w:val="004E2B06"/>
    <w:rsid w:val="004E30C5"/>
    <w:rsid w:val="004E4AA5"/>
    <w:rsid w:val="004E4AEE"/>
    <w:rsid w:val="004E59E3"/>
    <w:rsid w:val="004E67C0"/>
    <w:rsid w:val="004F37C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7C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FF2"/>
    <w:rsid w:val="005A0966"/>
    <w:rsid w:val="005A11B7"/>
    <w:rsid w:val="005A260B"/>
    <w:rsid w:val="005A4A1B"/>
    <w:rsid w:val="005A7830"/>
    <w:rsid w:val="005A7FCE"/>
    <w:rsid w:val="005B0F3F"/>
    <w:rsid w:val="005B4903"/>
    <w:rsid w:val="005B51CE"/>
    <w:rsid w:val="005B5885"/>
    <w:rsid w:val="005B5A23"/>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99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5FC"/>
    <w:rsid w:val="006840A6"/>
    <w:rsid w:val="006850CD"/>
    <w:rsid w:val="00685AAB"/>
    <w:rsid w:val="00687A8B"/>
    <w:rsid w:val="00695D22"/>
    <w:rsid w:val="006A07AA"/>
    <w:rsid w:val="006A25E5"/>
    <w:rsid w:val="006A2B46"/>
    <w:rsid w:val="006A336D"/>
    <w:rsid w:val="006A37B9"/>
    <w:rsid w:val="006B2672"/>
    <w:rsid w:val="006B54BF"/>
    <w:rsid w:val="006B5F44"/>
    <w:rsid w:val="006B5F90"/>
    <w:rsid w:val="006B5FEA"/>
    <w:rsid w:val="006B62E4"/>
    <w:rsid w:val="006C1BBA"/>
    <w:rsid w:val="006C2079"/>
    <w:rsid w:val="006C5A62"/>
    <w:rsid w:val="006C5D68"/>
    <w:rsid w:val="006C6976"/>
    <w:rsid w:val="006C6DD0"/>
    <w:rsid w:val="006D04EA"/>
    <w:rsid w:val="006D0AB7"/>
    <w:rsid w:val="006D16C4"/>
    <w:rsid w:val="006D3E96"/>
    <w:rsid w:val="006D4515"/>
    <w:rsid w:val="006D4BB1"/>
    <w:rsid w:val="006D563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9FC"/>
    <w:rsid w:val="00765C43"/>
    <w:rsid w:val="00765EFB"/>
    <w:rsid w:val="007671CA"/>
    <w:rsid w:val="00767C61"/>
    <w:rsid w:val="0077008A"/>
    <w:rsid w:val="0077318E"/>
    <w:rsid w:val="00773C1F"/>
    <w:rsid w:val="00774CD3"/>
    <w:rsid w:val="00774DA4"/>
    <w:rsid w:val="00776599"/>
    <w:rsid w:val="0078114B"/>
    <w:rsid w:val="00781DD2"/>
    <w:rsid w:val="00783887"/>
    <w:rsid w:val="00783ECF"/>
    <w:rsid w:val="0078413A"/>
    <w:rsid w:val="007959E8"/>
    <w:rsid w:val="00795E9C"/>
    <w:rsid w:val="007A0521"/>
    <w:rsid w:val="007A2E12"/>
    <w:rsid w:val="007A3475"/>
    <w:rsid w:val="007A41C8"/>
    <w:rsid w:val="007A54CE"/>
    <w:rsid w:val="007A6FD9"/>
    <w:rsid w:val="007A7A5A"/>
    <w:rsid w:val="007A7FFA"/>
    <w:rsid w:val="007B04EB"/>
    <w:rsid w:val="007B0D4F"/>
    <w:rsid w:val="007B318F"/>
    <w:rsid w:val="007B5A3D"/>
    <w:rsid w:val="007B5B95"/>
    <w:rsid w:val="007B68EA"/>
    <w:rsid w:val="007B7453"/>
    <w:rsid w:val="007C1E8B"/>
    <w:rsid w:val="007C2D89"/>
    <w:rsid w:val="007C4593"/>
    <w:rsid w:val="007C5309"/>
    <w:rsid w:val="007C6069"/>
    <w:rsid w:val="007D06C4"/>
    <w:rsid w:val="007D0B5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4B6"/>
    <w:rsid w:val="00815419"/>
    <w:rsid w:val="008163C8"/>
    <w:rsid w:val="008164A1"/>
    <w:rsid w:val="00817325"/>
    <w:rsid w:val="008209E6"/>
    <w:rsid w:val="00823303"/>
    <w:rsid w:val="008233B2"/>
    <w:rsid w:val="00823A9F"/>
    <w:rsid w:val="00823C85"/>
    <w:rsid w:val="00825138"/>
    <w:rsid w:val="008269DD"/>
    <w:rsid w:val="00830621"/>
    <w:rsid w:val="00831B81"/>
    <w:rsid w:val="0083348C"/>
    <w:rsid w:val="008373D3"/>
    <w:rsid w:val="00840617"/>
    <w:rsid w:val="00840F84"/>
    <w:rsid w:val="00842A47"/>
    <w:rsid w:val="00843C13"/>
    <w:rsid w:val="008454F8"/>
    <w:rsid w:val="0085173A"/>
    <w:rsid w:val="0085290C"/>
    <w:rsid w:val="00856316"/>
    <w:rsid w:val="008603CE"/>
    <w:rsid w:val="008620FC"/>
    <w:rsid w:val="008627A5"/>
    <w:rsid w:val="00863E05"/>
    <w:rsid w:val="00865ACA"/>
    <w:rsid w:val="00865D28"/>
    <w:rsid w:val="00865F85"/>
    <w:rsid w:val="00867C10"/>
    <w:rsid w:val="00870439"/>
    <w:rsid w:val="00870DA1"/>
    <w:rsid w:val="008776B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6FB"/>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2EF2"/>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6BD"/>
    <w:rsid w:val="009062E6"/>
    <w:rsid w:val="00911BE5"/>
    <w:rsid w:val="00913CA9"/>
    <w:rsid w:val="009145AE"/>
    <w:rsid w:val="009146CE"/>
    <w:rsid w:val="00914CA7"/>
    <w:rsid w:val="00915C3E"/>
    <w:rsid w:val="009161A8"/>
    <w:rsid w:val="009245F5"/>
    <w:rsid w:val="009249EC"/>
    <w:rsid w:val="009273B3"/>
    <w:rsid w:val="009305B5"/>
    <w:rsid w:val="00930F82"/>
    <w:rsid w:val="00940B21"/>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ACB"/>
    <w:rsid w:val="00977D02"/>
    <w:rsid w:val="009809BB"/>
    <w:rsid w:val="00981FA0"/>
    <w:rsid w:val="0098364B"/>
    <w:rsid w:val="00983DBE"/>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8CD"/>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A0B"/>
    <w:rsid w:val="00A07E47"/>
    <w:rsid w:val="00A129D0"/>
    <w:rsid w:val="00A12C33"/>
    <w:rsid w:val="00A138BA"/>
    <w:rsid w:val="00A14C8E"/>
    <w:rsid w:val="00A153D9"/>
    <w:rsid w:val="00A15F09"/>
    <w:rsid w:val="00A169B6"/>
    <w:rsid w:val="00A170C4"/>
    <w:rsid w:val="00A2271D"/>
    <w:rsid w:val="00A237D5"/>
    <w:rsid w:val="00A30EFC"/>
    <w:rsid w:val="00A311F2"/>
    <w:rsid w:val="00A31984"/>
    <w:rsid w:val="00A32D73"/>
    <w:rsid w:val="00A3367B"/>
    <w:rsid w:val="00A33DC0"/>
    <w:rsid w:val="00A3597D"/>
    <w:rsid w:val="00A36DD1"/>
    <w:rsid w:val="00A4006C"/>
    <w:rsid w:val="00A40091"/>
    <w:rsid w:val="00A4030F"/>
    <w:rsid w:val="00A41C79"/>
    <w:rsid w:val="00A41CB5"/>
    <w:rsid w:val="00A42CDF"/>
    <w:rsid w:val="00A4452E"/>
    <w:rsid w:val="00A4472C"/>
    <w:rsid w:val="00A44E69"/>
    <w:rsid w:val="00A46311"/>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9AB"/>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623"/>
    <w:rsid w:val="00AF0C18"/>
    <w:rsid w:val="00AF47C5"/>
    <w:rsid w:val="00AF5398"/>
    <w:rsid w:val="00B049AF"/>
    <w:rsid w:val="00B071DB"/>
    <w:rsid w:val="00B07242"/>
    <w:rsid w:val="00B10534"/>
    <w:rsid w:val="00B113DB"/>
    <w:rsid w:val="00B11D8A"/>
    <w:rsid w:val="00B12981"/>
    <w:rsid w:val="00B147DD"/>
    <w:rsid w:val="00B156FD"/>
    <w:rsid w:val="00B21F61"/>
    <w:rsid w:val="00B25F35"/>
    <w:rsid w:val="00B261F1"/>
    <w:rsid w:val="00B265BC"/>
    <w:rsid w:val="00B31FB1"/>
    <w:rsid w:val="00B33952"/>
    <w:rsid w:val="00B33C5E"/>
    <w:rsid w:val="00B342F4"/>
    <w:rsid w:val="00B34369"/>
    <w:rsid w:val="00B34DC2"/>
    <w:rsid w:val="00B36246"/>
    <w:rsid w:val="00B378E5"/>
    <w:rsid w:val="00B4132E"/>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67448"/>
    <w:rsid w:val="00B72880"/>
    <w:rsid w:val="00B758BF"/>
    <w:rsid w:val="00B77EC8"/>
    <w:rsid w:val="00B827A6"/>
    <w:rsid w:val="00B831CE"/>
    <w:rsid w:val="00B86677"/>
    <w:rsid w:val="00B87131"/>
    <w:rsid w:val="00B92790"/>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B8E"/>
    <w:rsid w:val="00C013AD"/>
    <w:rsid w:val="00C04904"/>
    <w:rsid w:val="00C056B3"/>
    <w:rsid w:val="00C103E5"/>
    <w:rsid w:val="00C13319"/>
    <w:rsid w:val="00C13E25"/>
    <w:rsid w:val="00C13EE9"/>
    <w:rsid w:val="00C15BA4"/>
    <w:rsid w:val="00C21540"/>
    <w:rsid w:val="00C21906"/>
    <w:rsid w:val="00C21BFA"/>
    <w:rsid w:val="00C22148"/>
    <w:rsid w:val="00C24C8D"/>
    <w:rsid w:val="00C25147"/>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F68"/>
    <w:rsid w:val="00C70E71"/>
    <w:rsid w:val="00C71372"/>
    <w:rsid w:val="00C72410"/>
    <w:rsid w:val="00C7287F"/>
    <w:rsid w:val="00C80982"/>
    <w:rsid w:val="00C80CB8"/>
    <w:rsid w:val="00C819F8"/>
    <w:rsid w:val="00C8248C"/>
    <w:rsid w:val="00C84E33"/>
    <w:rsid w:val="00C86D6F"/>
    <w:rsid w:val="00C905FC"/>
    <w:rsid w:val="00C90F41"/>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83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0839"/>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48C9"/>
    <w:rsid w:val="00D77031"/>
    <w:rsid w:val="00D81D0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522"/>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900"/>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3E5B"/>
    <w:rsid w:val="00E1518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3C9F"/>
    <w:rsid w:val="00EE0350"/>
    <w:rsid w:val="00EE0719"/>
    <w:rsid w:val="00EE0E80"/>
    <w:rsid w:val="00EE24EC"/>
    <w:rsid w:val="00EE54A6"/>
    <w:rsid w:val="00EE613F"/>
    <w:rsid w:val="00EE64B2"/>
    <w:rsid w:val="00EE7295"/>
    <w:rsid w:val="00EE7869"/>
    <w:rsid w:val="00EF054A"/>
    <w:rsid w:val="00EF3235"/>
    <w:rsid w:val="00EF3284"/>
    <w:rsid w:val="00EF7E72"/>
    <w:rsid w:val="00F06D37"/>
    <w:rsid w:val="00F07B9D"/>
    <w:rsid w:val="00F11586"/>
    <w:rsid w:val="00F1183B"/>
    <w:rsid w:val="00F11C9F"/>
    <w:rsid w:val="00F12263"/>
    <w:rsid w:val="00F1409D"/>
    <w:rsid w:val="00F14214"/>
    <w:rsid w:val="00F15441"/>
    <w:rsid w:val="00F157A9"/>
    <w:rsid w:val="00F25BB6"/>
    <w:rsid w:val="00F26B7E"/>
    <w:rsid w:val="00F27A3B"/>
    <w:rsid w:val="00F33817"/>
    <w:rsid w:val="00F3409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FAE"/>
    <w:rsid w:val="00FF3E7D"/>
    <w:rsid w:val="00FF5B99"/>
    <w:rsid w:val="00FF730C"/>
    <w:rsid w:val="00FF73F4"/>
    <w:rsid w:val="00FF7CE4"/>
    <w:rsid w:val="00FF7E39"/>
    <w:rsid w:val="02B21E12"/>
    <w:rsid w:val="03011DC0"/>
    <w:rsid w:val="09CE6E36"/>
    <w:rsid w:val="0C6F13EA"/>
    <w:rsid w:val="162807D3"/>
    <w:rsid w:val="172A5EF3"/>
    <w:rsid w:val="176740B1"/>
    <w:rsid w:val="189476E8"/>
    <w:rsid w:val="1C8FEF0A"/>
    <w:rsid w:val="1CB90150"/>
    <w:rsid w:val="1D7D7842"/>
    <w:rsid w:val="1EF530DF"/>
    <w:rsid w:val="25E75089"/>
    <w:rsid w:val="2B024EEA"/>
    <w:rsid w:val="358F2AEF"/>
    <w:rsid w:val="366F0EEF"/>
    <w:rsid w:val="40446F1F"/>
    <w:rsid w:val="42FE7145"/>
    <w:rsid w:val="456A70A1"/>
    <w:rsid w:val="4D96320E"/>
    <w:rsid w:val="4F1D420F"/>
    <w:rsid w:val="52992D87"/>
    <w:rsid w:val="538D234C"/>
    <w:rsid w:val="57DB7E95"/>
    <w:rsid w:val="57E83E75"/>
    <w:rsid w:val="5CB25683"/>
    <w:rsid w:val="5D244D96"/>
    <w:rsid w:val="5D436874"/>
    <w:rsid w:val="60CC1F36"/>
    <w:rsid w:val="6467588B"/>
    <w:rsid w:val="665F1F42"/>
    <w:rsid w:val="66C90E6A"/>
    <w:rsid w:val="67EBB5C7"/>
    <w:rsid w:val="69817884"/>
    <w:rsid w:val="6AD8251B"/>
    <w:rsid w:val="6CB3082F"/>
    <w:rsid w:val="6CDB237D"/>
    <w:rsid w:val="6E4C1895"/>
    <w:rsid w:val="6F8121C8"/>
    <w:rsid w:val="6FF47D26"/>
    <w:rsid w:val="771654E8"/>
    <w:rsid w:val="7CB509BB"/>
    <w:rsid w:val="7D7FC4D8"/>
    <w:rsid w:val="B31F98B9"/>
    <w:rsid w:val="C11E5CA2"/>
    <w:rsid w:val="D2FDD2ED"/>
    <w:rsid w:val="E57F5D37"/>
    <w:rsid w:val="ECE3C017"/>
    <w:rsid w:val="EDF514CC"/>
    <w:rsid w:val="F5698AFA"/>
    <w:rsid w:val="FBEC0EE1"/>
    <w:rsid w:val="FEF7EA16"/>
    <w:rsid w:val="FFB8A650"/>
    <w:rsid w:val="FFED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djustRightInd/>
      <w:spacing w:before="100" w:beforeAutospacing="1" w:after="100" w:afterAutospacing="1" w:line="240" w:lineRule="auto"/>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ind w:left="7371"/>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425"/>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ind w:left="71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ind w:left="709"/>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正文1"/>
    <w:qFormat/>
    <w:uiPriority w:val="0"/>
    <w:pPr>
      <w:jc w:val="both"/>
    </w:pPr>
    <w:rPr>
      <w:rFonts w:ascii="宋体" w:hAnsi="宋体" w:eastAsia="宋体" w:cs="宋体"/>
      <w:kern w:val="2"/>
      <w:sz w:val="21"/>
      <w:szCs w:val="21"/>
      <w:lang w:val="en-US" w:eastAsia="zh-CN" w:bidi="ar-SA"/>
    </w:rPr>
  </w:style>
  <w:style w:type="paragraph" w:customStyle="1" w:styleId="232">
    <w:name w:val="Table Text"/>
    <w:basedOn w:val="1"/>
    <w:qFormat/>
    <w:uiPriority w:val="0"/>
    <w:pPr>
      <w:widowControl/>
      <w:kinsoku w:val="0"/>
      <w:autoSpaceDE w:val="0"/>
      <w:autoSpaceDN w:val="0"/>
      <w:snapToGrid w:val="0"/>
      <w:spacing w:line="240" w:lineRule="auto"/>
      <w:jc w:val="left"/>
      <w:textAlignment w:val="baseline"/>
    </w:pPr>
    <w:rPr>
      <w:rFonts w:ascii="仿宋" w:hAnsi="仿宋" w:eastAsia="仿宋" w:cs="宋体"/>
      <w:color w:val="000000"/>
      <w:kern w:val="0"/>
      <w:sz w:val="31"/>
      <w:szCs w:val="31"/>
    </w:rPr>
  </w:style>
  <w:style w:type="table" w:customStyle="1" w:styleId="233">
    <w:name w:val="Table Normal"/>
    <w:basedOn w:val="27"/>
    <w:qFormat/>
    <w:uiPriority w:val="0"/>
    <w:rPr>
      <w:rFonts w:eastAsia="Times New Roman"/>
    </w:rPr>
    <w:tblPr>
      <w:tblCellMar>
        <w:left w:w="0" w:type="dxa"/>
        <w:right w:w="0" w:type="dxa"/>
      </w:tblCellMar>
    </w:tblPr>
  </w:style>
  <w:style w:type="paragraph" w:customStyle="1" w:styleId="234">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35">
    <w:name w:val="章标题"/>
    <w:next w:val="236"/>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7">
    <w:name w:val="一级条标题"/>
    <w:next w:val="236"/>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8">
    <w:name w:val="二级条标题"/>
    <w:basedOn w:val="237"/>
    <w:next w:val="236"/>
    <w:qFormat/>
    <w:uiPriority w:val="0"/>
    <w:pPr>
      <w:spacing w:before="50" w:after="50"/>
      <w:outlineLvl w:val="3"/>
    </w:pPr>
  </w:style>
  <w:style w:type="paragraph" w:customStyle="1" w:styleId="239">
    <w:name w:val="is-blur"/>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styleId="2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11B35FD0494E49B1663F3D47A3B3F7"/>
        <w:style w:val=""/>
        <w:category>
          <w:name w:val="常规"/>
          <w:gallery w:val="placeholder"/>
        </w:category>
        <w:types>
          <w:type w:val="bbPlcHdr"/>
        </w:types>
        <w:behaviors>
          <w:behavior w:val="content"/>
        </w:behaviors>
        <w:description w:val=""/>
        <w:guid w:val="{89A6C72D-6301-4F96-B92B-A324291A9F21}"/>
      </w:docPartPr>
      <w:docPartBody>
        <w:p>
          <w:pPr>
            <w:pStyle w:val="5"/>
          </w:pPr>
          <w:r>
            <w:rPr>
              <w:rStyle w:val="4"/>
              <w:rFonts w:hint="eastAsia"/>
            </w:rPr>
            <w:t>单击或点击此处输入文字。</w:t>
          </w:r>
        </w:p>
      </w:docPartBody>
    </w:docPart>
    <w:docPart>
      <w:docPartPr>
        <w:name w:val="B50896CE34134D2CBFD2F2F88DDEF916"/>
        <w:style w:val=""/>
        <w:category>
          <w:name w:val="常规"/>
          <w:gallery w:val="placeholder"/>
        </w:category>
        <w:types>
          <w:type w:val="bbPlcHdr"/>
        </w:types>
        <w:behaviors>
          <w:behavior w:val="content"/>
        </w:behaviors>
        <w:description w:val=""/>
        <w:guid w:val="{38A9A72A-C2BD-48EF-B4FB-FD6B972F0EEB}"/>
      </w:docPartPr>
      <w:docPartBody>
        <w:p>
          <w:pPr>
            <w:pStyle w:val="6"/>
          </w:pPr>
          <w:r>
            <w:rPr>
              <w:rStyle w:val="4"/>
              <w:rFonts w:hint="eastAsia"/>
            </w:rPr>
            <w:t>选择一项。</w:t>
          </w:r>
        </w:p>
      </w:docPartBody>
    </w:docPart>
    <w:docPart>
      <w:docPartPr>
        <w:name w:val="00200C39B4114098BD27777308845D80"/>
        <w:style w:val=""/>
        <w:category>
          <w:name w:val="常规"/>
          <w:gallery w:val="placeholder"/>
        </w:category>
        <w:types>
          <w:type w:val="bbPlcHdr"/>
        </w:types>
        <w:behaviors>
          <w:behavior w:val="content"/>
        </w:behaviors>
        <w:description w:val=""/>
        <w:guid w:val="{53147DA3-04F4-4629-8E87-D4AB5838B79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D6"/>
    <w:rsid w:val="000463AE"/>
    <w:rsid w:val="000931CB"/>
    <w:rsid w:val="00125557"/>
    <w:rsid w:val="00176895"/>
    <w:rsid w:val="00180B14"/>
    <w:rsid w:val="00192E33"/>
    <w:rsid w:val="001D1871"/>
    <w:rsid w:val="001D359E"/>
    <w:rsid w:val="00267728"/>
    <w:rsid w:val="004F5BC7"/>
    <w:rsid w:val="005576A7"/>
    <w:rsid w:val="005933D6"/>
    <w:rsid w:val="0068364B"/>
    <w:rsid w:val="007140FC"/>
    <w:rsid w:val="007A1BA9"/>
    <w:rsid w:val="00855A88"/>
    <w:rsid w:val="009142B3"/>
    <w:rsid w:val="009E3EF8"/>
    <w:rsid w:val="00A620A2"/>
    <w:rsid w:val="00D167BD"/>
    <w:rsid w:val="00DD3833"/>
    <w:rsid w:val="00E57B59"/>
    <w:rsid w:val="00F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A11B35FD0494E49B1663F3D47A3B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50896CE34134D2CBFD2F2F88DDEF9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0200C39B4114098BD27777308845D8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7</Pages>
  <Words>367</Words>
  <Characters>2092</Characters>
  <Lines>17</Lines>
  <Paragraphs>4</Paragraphs>
  <TotalTime>1</TotalTime>
  <ScaleCrop>false</ScaleCrop>
  <LinksUpToDate>false</LinksUpToDate>
  <CharactersWithSpaces>2455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2024-10-30T01:28:00Z</dcterms:created>
  <dc:creator>lenovo</dc:creator>
  <cp:lastModifiedBy>陈洁毅</cp:lastModifiedBy>
  <cp:lastPrinted>2024-10-26T01:26:00Z</cp:lastPrinted>
  <dcterms:modified xsi:type="dcterms:W3CDTF">2024-10-28T10:59:49Z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y fmtid="{D5CDD505-2E9C-101B-9397-08002B2CF9AE}" pid="15" name="ICV">
    <vt:lpwstr>8AB68F55EF3741E4834950584E62CDBB_13</vt:lpwstr>
  </property>
</Properties>
</file>