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景宁畲族自治县村（社区）法律顾问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2" w:firstLineChars="200"/>
        <w:jc w:val="center"/>
        <w:textAlignment w:val="auto"/>
        <w:rPr>
          <w:rFonts w:hint="eastAsia" w:ascii="仿宋_GB2312" w:hAnsi="微软雅黑" w:eastAsia="方正小标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工作考核办法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试行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）（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征求意见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为进一步完善村（社区）法律顾问制度，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不断规范和提升法律顾问工作质量，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根据《浙江省村</w:t>
      </w:r>
      <w:bookmarkStart w:id="0" w:name="_GoBack"/>
      <w:bookmarkEnd w:id="0"/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（社区）法律顾问工作考核办法》（浙司〔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2013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〕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140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号）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《关于进一步加强和改进律师工作的实施意见》（丽委办〔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2012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〕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91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号）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《丽水市司法局关于进一步推进村（社区）法律顾问制度的实施意见》（丽司〔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2014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〕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53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号）等文件精神，结合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我县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实际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情况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，制定本办法。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村（社区）法律顾问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由景宁县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律师、基层法律服务工作者、专职人民调解员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担任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 xml:space="preserve"> 县司法局负责全县村（社区）法律顾问管理和考核工作。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 xml:space="preserve"> 村（社）法律顾问主要提供以下服务内容：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（一）开展“法律体检”，协助草拟、修改、审查合同和有关法律事务文书；审查村、居民自治章程及村规民约；参与重大决策、重大事项法律分析等，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为村（社区）基层民主法治建设和重大工程项目提供法律意见和建议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（二）开展法治宣传教育、提供法律咨询；为符合条件的困难群众提供法律援助；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default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 xml:space="preserve">（三）协助基层组织依法处理涉法信访、矛盾纠纷等调解处置；为基层组织实施换届选举、乡村振兴等重点工作提供法律服务；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default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（四）做好“1名村（社区）法律顾问+N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名法律明白人”结对工作，履行“传帮带”职责，积极开展结对活动；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其他应当由村（社区）法律顾问承担的法律事务。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b/>
          <w:bCs/>
          <w:color w:val="auto"/>
          <w:sz w:val="32"/>
          <w:szCs w:val="32"/>
          <w:lang w:val="en-US" w:eastAsia="zh-CN"/>
        </w:rPr>
        <w:t>第五条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 xml:space="preserve">  村(社）法律顾问应承担下列工作职责：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（一）定期服务。法律顾问与各村（社区）签订合同后，保证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每月到社区开展法律服务1天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eastAsia="zh-CN"/>
        </w:rPr>
        <w:t>每年进村服务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原则上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eastAsia="zh-CN"/>
        </w:rPr>
        <w:t xml:space="preserve">不少于 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次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，及时保留服务照片、服务内容等相关材料。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（二）台账记录。法律顾问应对服务情况进行登记，现场、电话、微信、网络或来访服务需及时进行工作台账记录，完整填写服务对象、时间、方式、类型和内容，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做到一事一记、一次一记、一村（社区）一记。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（三）重大事项报告。法律顾问在服务中遇到以下重大事项的，应及时向司法局报告：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1.涉及集体诉讼或上访的案件；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2.涉及重大经营决策和涉及面广、影响较大的涉法问题；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3.涉及因违法行为可能引发不稳定因素的事项；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4.涉及重大突发事件；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5.涉及影响稳定的其它重大事项。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cs="Times New Roman"/>
          <w:b/>
          <w:bCs/>
          <w:color w:val="auto"/>
          <w:sz w:val="32"/>
          <w:szCs w:val="32"/>
          <w:lang w:val="en-US" w:eastAsia="zh-CN"/>
        </w:rPr>
        <w:t>第六条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景宁县司法局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每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半年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对村（社区）法律顾问工作进行检查，检查情况纳入年终考核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每年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月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底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对村（社区）法律顾问工作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情况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进行年终考核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cs="Times New Roman"/>
          <w:b/>
          <w:bCs/>
          <w:color w:val="auto"/>
          <w:sz w:val="32"/>
          <w:szCs w:val="32"/>
          <w:lang w:val="en-US" w:eastAsia="zh-CN"/>
        </w:rPr>
        <w:t>第七条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 xml:space="preserve">  考核采取征求村（社区）考核意见以及司法局最终评定的方式。根据各村(社区)法律顾问实际开展工作情况，司法局结合村（社区）考核意见，以系统核查、电话回访、实地征求意见、查阅台账资料、走访顾问村(社区)等方式核定考核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b/>
          <w:bCs/>
          <w:color w:val="auto"/>
          <w:sz w:val="32"/>
          <w:szCs w:val="32"/>
          <w:lang w:val="en-US" w:eastAsia="zh-CN"/>
        </w:rPr>
        <w:t>第八条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微软雅黑" w:cs="Times New Roman"/>
          <w:color w:val="auto"/>
          <w:sz w:val="32"/>
          <w:szCs w:val="32"/>
          <w:lang w:val="en-US" w:eastAsia="zh-CN"/>
        </w:rPr>
        <w:t>考核结果作为村（社区）法律顾问工作补助经费发放的主要依据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微软雅黑" w:cs="Times New Roman"/>
          <w:color w:val="auto"/>
          <w:sz w:val="32"/>
          <w:szCs w:val="32"/>
          <w:lang w:val="en-US" w:eastAsia="zh-CN"/>
        </w:rPr>
        <w:t>司法局根据考核结果及时发放村（社区）法律顾问补助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b/>
          <w:bCs/>
          <w:color w:val="auto"/>
          <w:sz w:val="32"/>
          <w:szCs w:val="32"/>
          <w:lang w:val="en-US" w:eastAsia="zh-CN"/>
        </w:rPr>
        <w:t>第九条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 xml:space="preserve">  考核以“一村一考核”形式开展。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考核结果分为合格、不合格等次，根据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每个村（社）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实际工作情况予以认定。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default" w:ascii="仿宋_GB2312" w:hAnsi="微软雅黑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（一）法律顾问符合下列所有情形的，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该村（社区）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考核为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合格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等次，按补助标准全额发放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1、在该村（社区）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未发生因法律顾问服务问题的投诉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default" w:ascii="仿宋_GB2312" w:hAnsi="微软雅黑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2、对接景宁县社会治理中心，经核查，该村（社）未发生重大信访事件等；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完成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该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村(社区)法律顾问工作，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台账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记录完整，做到一事一记、一案一档；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服务意识到位，村(社区)综合评价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较高。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default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法律顾问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存在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下列情形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之一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的，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该村（社区）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考核为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不合格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等次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，停止发放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补助经费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并取消该村（社区）法律顾问资格：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default" w:ascii="仿宋_GB2312" w:hAnsi="微软雅黑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1.未履行村（社区）法律顾问考核内容工作职责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，未按要求提供法律服务或不按规定时间参加法律顾问工作考核的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2.未及时掌握上报所在村（社区）出现的重大纠纷、集体信访、越级上访等重大事件。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法律顾问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存在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下列情形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之一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，取消全县所有村（社区）法律顾问资格：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default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_GB2312" w:hAnsi="微软雅黑" w:cs="Times New Roman"/>
          <w:color w:val="auto"/>
          <w:sz w:val="32"/>
          <w:szCs w:val="32"/>
          <w:lang w:val="en-US" w:eastAsia="zh-CN"/>
        </w:rPr>
        <w:t>在法律顾问工作中因执业违法违规行为受到行政处罚或行业处分的；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default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微软雅黑" w:cs="Times New Roman"/>
          <w:color w:val="auto"/>
          <w:sz w:val="32"/>
          <w:szCs w:val="32"/>
          <w:lang w:val="en-US" w:eastAsia="zh-CN"/>
        </w:rPr>
        <w:t>2.因违法行为造成村（社区）基层组织重大损失或者严重社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微软雅黑" w:cs="Times New Roman"/>
          <w:color w:val="auto"/>
          <w:sz w:val="32"/>
          <w:szCs w:val="32"/>
          <w:lang w:val="en-US" w:eastAsia="zh-CN"/>
        </w:rPr>
        <w:t>会影响的；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default" w:ascii="仿宋_GB2312" w:hAnsi="微软雅黑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微软雅黑" w:cs="Times New Roman"/>
          <w:color w:val="auto"/>
          <w:sz w:val="32"/>
          <w:szCs w:val="32"/>
          <w:lang w:val="en-US" w:eastAsia="zh-CN"/>
        </w:rPr>
        <w:t>3.法律顾问在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处理</w:t>
      </w:r>
      <w:r>
        <w:rPr>
          <w:rFonts w:hint="default" w:ascii="仿宋_GB2312" w:hAnsi="微软雅黑" w:cs="Times New Roman"/>
          <w:color w:val="auto"/>
          <w:sz w:val="32"/>
          <w:szCs w:val="32"/>
          <w:lang w:val="en-US" w:eastAsia="zh-CN"/>
        </w:rPr>
        <w:t>法律事务过程中另行收取费用的；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default" w:ascii="仿宋_GB2312" w:hAnsi="微软雅黑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仿宋_GB2312" w:hAnsi="微软雅黑" w:cs="Times New Roman"/>
          <w:color w:val="auto"/>
          <w:sz w:val="32"/>
          <w:szCs w:val="32"/>
          <w:lang w:val="en-US" w:eastAsia="zh-CN"/>
        </w:rPr>
        <w:t>.其他法律、法规等规定的相关失信行为。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default" w:ascii="仿宋_GB2312" w:hAnsi="微软雅黑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b/>
          <w:bCs/>
          <w:color w:val="auto"/>
          <w:sz w:val="32"/>
          <w:szCs w:val="32"/>
          <w:lang w:val="en-US" w:eastAsia="zh-CN"/>
        </w:rPr>
        <w:t>第十条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村（社区）法律顾问年度工作考核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合格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等次的，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按下列标准发放补助经费：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1.担任社区法律顾问每年每社区补助3000元；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2.担任附件1所列村法律顾问每年每村补助1300元；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3.担任附件2所列村法律顾问每年每村补助1000元。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b/>
          <w:bCs/>
          <w:color w:val="auto"/>
          <w:sz w:val="32"/>
          <w:szCs w:val="32"/>
          <w:lang w:val="en-US" w:eastAsia="zh-CN"/>
        </w:rPr>
        <w:t>第十一条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 xml:space="preserve">  为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鼓励村（社区）法律顾问积极发挥作用，在按固定标准发放补助外，根据我县实际，法律顾问每进村服务一次给予适当的补贴（补贴标准详见附件3）。经常性服务每年每村补贴上限均为4次，但涉及重大事故处理等特殊事项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微软雅黑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微软雅黑" w:cs="Times New Roman"/>
          <w:b/>
          <w:bCs/>
          <w:color w:val="auto"/>
          <w:sz w:val="32"/>
          <w:szCs w:val="32"/>
          <w:lang w:val="en-US" w:eastAsia="zh-CN"/>
        </w:rPr>
        <w:t>第十二条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本办法自发布之日起施行。《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景宁畲族自治县村（社区）法律顾问工作考核办法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》同时废止。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default" w:ascii="仿宋_GB2312" w:hAnsi="微软雅黑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附件1：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补助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经费1300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元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的村名单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default" w:ascii="仿宋_GB2312" w:hAnsi="微软雅黑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附件2：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补助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经费1000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元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的村名单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附件3：进村服务补贴标</w:t>
      </w:r>
      <w:r>
        <w:rPr>
          <w:rFonts w:hint="eastAsia" w:ascii="仿宋_GB2312" w:hAnsi="微软雅黑" w:cs="Times New Roman"/>
          <w:color w:val="auto"/>
          <w:sz w:val="32"/>
          <w:szCs w:val="32"/>
          <w:lang w:val="en-US" w:eastAsia="zh-CN"/>
        </w:rPr>
        <w:t>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8" w:firstLineChars="200"/>
        <w:jc w:val="right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8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>景宁畲族自治县</w:t>
      </w:r>
      <w:r>
        <w:rPr>
          <w:rFonts w:hint="eastAsia"/>
          <w:sz w:val="32"/>
          <w:szCs w:val="32"/>
          <w:lang w:eastAsia="zh-CN"/>
        </w:rPr>
        <w:t>司法局</w:t>
      </w:r>
      <w:r>
        <w:rPr>
          <w:rFonts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28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                  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  2024年4月30日</w:t>
      </w:r>
    </w:p>
    <w:sectPr>
      <w:headerReference r:id="rId3" w:type="default"/>
      <w:footerReference r:id="rId4" w:type="default"/>
      <w:footerReference r:id="rId5" w:type="even"/>
      <w:pgSz w:w="11906" w:h="16838"/>
      <w:pgMar w:top="1967" w:right="1474" w:bottom="1899" w:left="1587" w:header="851" w:footer="1049" w:gutter="0"/>
      <w:pgNumType w:start="1"/>
      <w:cols w:space="720" w:num="1"/>
      <w:rtlGutter w:val="0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 w:val="0"/>
      <w:overflowPunct w:val="0"/>
      <w:topLinePunct w:val="0"/>
      <w:autoSpaceDE w:val="0"/>
      <w:autoSpaceDN w:val="0"/>
      <w:bidi w:val="0"/>
      <w:adjustRightInd w:val="0"/>
      <w:snapToGrid/>
      <w:spacing w:line="471" w:lineRule="auto"/>
      <w:ind w:left="0" w:leftChars="0" w:right="308" w:rightChars="100" w:firstLine="0" w:firstLineChars="0"/>
      <w:jc w:val="right"/>
      <w:textAlignment w:val="baseline"/>
      <w:outlineLvl w:val="9"/>
      <w:rPr>
        <w:rFonts w:hint="eastAsia" w:ascii="楷体_GB2312" w:eastAsia="楷体_GB2312"/>
        <w:sz w:val="28"/>
      </w:rPr>
    </w:pPr>
    <w:r>
      <w:rPr>
        <w:rStyle w:val="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6"/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t>3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308" w:leftChars="100"/>
      <w:jc w:val="left"/>
      <w:rPr>
        <w:rStyle w:val="6"/>
        <w:rFonts w:hint="eastAsia" w:ascii="宋体" w:hAnsi="宋体" w:eastAsia="宋体"/>
        <w:sz w:val="28"/>
      </w:rPr>
    </w:pPr>
    <w:r>
      <w:rPr>
        <w:rStyle w:val="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8922"/>
    <w:multiLevelType w:val="singleLevel"/>
    <w:tmpl w:val="177A8922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549EB5D"/>
    <w:multiLevelType w:val="singleLevel"/>
    <w:tmpl w:val="2549EB5D"/>
    <w:lvl w:ilvl="0" w:tentative="0">
      <w:start w:val="1"/>
      <w:numFmt w:val="chineseCounting"/>
      <w:suff w:val="space"/>
      <w:lvlText w:val="第%1条"/>
      <w:lvlJc w:val="left"/>
      <w:rPr>
        <w:rFonts w:hint="eastAsia" w:ascii="仿宋_GB2312" w:hAnsi="仿宋_GB2312" w:eastAsia="仿宋_GB2312" w:cs="仿宋_GB2312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D196F"/>
    <w:rsid w:val="025D196F"/>
    <w:rsid w:val="3240243B"/>
    <w:rsid w:val="62BF01FD"/>
    <w:rsid w:val="706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2024-04-15T03:38:00Z</dcterms:created>
  <dc:creator>张烨</dc:creator>
  <cp:lastModifiedBy>张烨</cp:lastModifiedBy>
  <cp:lastPrinted>2024-07-08T03:11:00Z</cp:lastPrinted>
  <dcterms:modified xsi:type="dcterms:W3CDTF">2024-07-18T08:40:34Z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