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auto"/>
        <w:rPr>
          <w:rFonts w:hint="eastAsia" w:ascii="国标小标宋" w:hAnsi="国标小标宋" w:eastAsia="国标小标宋" w:cs="国标小标宋"/>
          <w:b/>
          <w:bCs/>
          <w:i w:val="0"/>
          <w:iCs w:val="0"/>
          <w:caps w:val="0"/>
          <w:color w:val="auto"/>
          <w:spacing w:val="0"/>
          <w:kern w:val="0"/>
          <w:sz w:val="42"/>
          <w:szCs w:val="42"/>
          <w:highlight w:val="none"/>
          <w:shd w:val="clear" w:fill="FFFFFF"/>
          <w:lang w:val="en-US" w:eastAsia="zh-CN" w:bidi="ar"/>
        </w:rPr>
      </w:pPr>
      <w:r>
        <w:rPr>
          <w:rFonts w:hint="eastAsia" w:ascii="国标小标宋" w:hAnsi="国标小标宋" w:eastAsia="国标小标宋" w:cs="国标小标宋"/>
          <w:b/>
          <w:bCs/>
          <w:i w:val="0"/>
          <w:iCs w:val="0"/>
          <w:caps w:val="0"/>
          <w:color w:val="auto"/>
          <w:spacing w:val="0"/>
          <w:kern w:val="0"/>
          <w:sz w:val="42"/>
          <w:szCs w:val="42"/>
          <w:highlight w:val="none"/>
          <w:shd w:val="clear" w:fill="FFFFFF"/>
          <w:lang w:val="en-US" w:eastAsia="zh-CN" w:bidi="ar"/>
        </w:rPr>
        <w:t>关于公开征求《杭州市绿道网专项规划（2023-2035年）》（征求意见稿）</w:t>
      </w:r>
    </w:p>
    <w:p>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auto"/>
        <w:rPr>
          <w:rFonts w:hint="eastAsia" w:ascii="国标小标宋" w:hAnsi="国标小标宋" w:eastAsia="国标小标宋" w:cs="国标小标宋"/>
          <w:color w:val="auto"/>
          <w:highlight w:val="none"/>
        </w:rPr>
      </w:pPr>
      <w:r>
        <w:rPr>
          <w:rFonts w:hint="eastAsia" w:ascii="国标小标宋" w:hAnsi="国标小标宋" w:eastAsia="国标小标宋" w:cs="国标小标宋"/>
          <w:b/>
          <w:bCs/>
          <w:i w:val="0"/>
          <w:iCs w:val="0"/>
          <w:caps w:val="0"/>
          <w:color w:val="auto"/>
          <w:spacing w:val="0"/>
          <w:kern w:val="0"/>
          <w:sz w:val="42"/>
          <w:szCs w:val="42"/>
          <w:highlight w:val="none"/>
          <w:shd w:val="clear" w:fill="FFFFFF"/>
          <w:lang w:val="en-US" w:eastAsia="zh-CN" w:bidi="ar"/>
        </w:rPr>
        <w:t>意见的通知</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highlight w:val="none"/>
          <w:shd w:val="clear" w:fill="FFFFFF"/>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highlight w:val="none"/>
          <w:shd w:val="clear" w:fill="FFFFFF"/>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为进一步科学统筹指导我市绿道规划建设工作，我委</w:t>
      </w:r>
      <w:r>
        <w:rPr>
          <w:rFonts w:hint="eastAsia" w:ascii="仿宋_GB2312" w:hAnsi="仿宋_GB2312" w:eastAsia="仿宋_GB2312" w:cs="仿宋_GB2312"/>
          <w:i w:val="0"/>
          <w:iCs w:val="0"/>
          <w:caps w:val="0"/>
          <w:color w:val="auto"/>
          <w:spacing w:val="0"/>
          <w:sz w:val="32"/>
          <w:szCs w:val="32"/>
          <w:highlight w:val="none"/>
          <w:shd w:val="clear" w:fill="FFFFFF"/>
          <w:lang w:eastAsia="zh-CN"/>
        </w:rPr>
        <w:t>委托编制了</w:t>
      </w:r>
      <w:r>
        <w:rPr>
          <w:rFonts w:hint="eastAsia" w:ascii="仿宋_GB2312" w:hAnsi="仿宋_GB2312" w:eastAsia="仿宋_GB2312" w:cs="仿宋_GB2312"/>
          <w:i w:val="0"/>
          <w:iCs w:val="0"/>
          <w:caps w:val="0"/>
          <w:color w:val="auto"/>
          <w:spacing w:val="0"/>
          <w:sz w:val="32"/>
          <w:szCs w:val="32"/>
          <w:highlight w:val="none"/>
          <w:shd w:val="clear" w:fill="FFFFFF"/>
        </w:rPr>
        <w:t>《杭州市绿道网专项规划（2023-2035年）》</w:t>
      </w:r>
      <w:r>
        <w:rPr>
          <w:rFonts w:hint="eastAsia" w:ascii="仿宋_GB2312" w:hAnsi="仿宋_GB2312" w:eastAsia="仿宋_GB2312" w:cs="仿宋_GB2312"/>
          <w:i w:val="0"/>
          <w:iCs w:val="0"/>
          <w:caps w:val="0"/>
          <w:color w:val="auto"/>
          <w:spacing w:val="0"/>
          <w:sz w:val="32"/>
          <w:szCs w:val="32"/>
          <w:highlight w:val="none"/>
          <w:shd w:val="clear" w:fill="FFFFFF"/>
          <w:lang w:eastAsia="zh-CN"/>
        </w:rPr>
        <w:t>（征求意见稿）</w:t>
      </w:r>
      <w:r>
        <w:rPr>
          <w:rFonts w:hint="eastAsia" w:ascii="仿宋_GB2312" w:hAnsi="仿宋_GB2312" w:eastAsia="仿宋_GB2312" w:cs="仿宋_GB2312"/>
          <w:i w:val="0"/>
          <w:iCs w:val="0"/>
          <w:caps w:val="0"/>
          <w:color w:val="auto"/>
          <w:spacing w:val="0"/>
          <w:sz w:val="32"/>
          <w:szCs w:val="32"/>
          <w:highlight w:val="none"/>
          <w:shd w:val="clear" w:fill="FFFFFF"/>
        </w:rPr>
        <w:t>。为提高规划编制的科学性、精准性和可操作性，现向社会公开征求意见，相关意见与建议请于202</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5</w:t>
      </w:r>
      <w:r>
        <w:rPr>
          <w:rFonts w:hint="eastAsia" w:ascii="仿宋_GB2312" w:hAnsi="仿宋_GB2312" w:eastAsia="仿宋_GB2312" w:cs="仿宋_GB2312"/>
          <w:i w:val="0"/>
          <w:iCs w:val="0"/>
          <w:caps w:val="0"/>
          <w:color w:val="auto"/>
          <w:spacing w:val="0"/>
          <w:sz w:val="32"/>
          <w:szCs w:val="32"/>
          <w:highlight w:val="none"/>
          <w:shd w:val="clear" w:fill="FFFFFF"/>
        </w:rPr>
        <w:t>年</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5</w:t>
      </w:r>
      <w:r>
        <w:rPr>
          <w:rFonts w:hint="eastAsia" w:ascii="仿宋_GB2312" w:hAnsi="仿宋_GB2312" w:eastAsia="仿宋_GB2312" w:cs="仿宋_GB2312"/>
          <w:i w:val="0"/>
          <w:iCs w:val="0"/>
          <w:caps w:val="0"/>
          <w:color w:val="auto"/>
          <w:spacing w:val="0"/>
          <w:sz w:val="32"/>
          <w:szCs w:val="32"/>
          <w:highlight w:val="none"/>
          <w:shd w:val="clear" w:fill="FFFFFF"/>
        </w:rPr>
        <w:t>月2</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8</w:t>
      </w:r>
      <w:r>
        <w:rPr>
          <w:rFonts w:hint="eastAsia" w:ascii="仿宋_GB2312" w:hAnsi="仿宋_GB2312" w:eastAsia="仿宋_GB2312" w:cs="仿宋_GB2312"/>
          <w:i w:val="0"/>
          <w:iCs w:val="0"/>
          <w:caps w:val="0"/>
          <w:color w:val="auto"/>
          <w:spacing w:val="0"/>
          <w:sz w:val="32"/>
          <w:szCs w:val="32"/>
          <w:highlight w:val="none"/>
          <w:shd w:val="clear" w:fill="FFFFFF"/>
        </w:rPr>
        <w:t>日前，以书面或电子邮件形式反馈至我委。</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highlight w:val="none"/>
          <w:lang w:eastAsia="zh-CN"/>
        </w:rPr>
      </w:pPr>
      <w:r>
        <w:rPr>
          <w:rFonts w:hint="eastAsia" w:ascii="仿宋_GB2312" w:hAnsi="仿宋_GB2312" w:eastAsia="仿宋_GB2312" w:cs="仿宋_GB2312"/>
          <w:i w:val="0"/>
          <w:iCs w:val="0"/>
          <w:caps w:val="0"/>
          <w:color w:val="auto"/>
          <w:spacing w:val="0"/>
          <w:sz w:val="32"/>
          <w:szCs w:val="32"/>
          <w:highlight w:val="none"/>
          <w:shd w:val="clear" w:fill="FFFFFF"/>
        </w:rPr>
        <w:t>通信地址：上城区中河中路275-1号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邮编：310000</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rPr>
        <w:t>联系人：</w:t>
      </w:r>
      <w:r>
        <w:rPr>
          <w:rFonts w:hint="eastAsia" w:ascii="仿宋_GB2312" w:hAnsi="仿宋_GB2312" w:eastAsia="仿宋_GB2312" w:cs="仿宋_GB2312"/>
          <w:i w:val="0"/>
          <w:iCs w:val="0"/>
          <w:caps w:val="0"/>
          <w:color w:val="auto"/>
          <w:spacing w:val="0"/>
          <w:sz w:val="32"/>
          <w:szCs w:val="32"/>
          <w:highlight w:val="none"/>
          <w:shd w:val="clear" w:fill="FFFFFF"/>
          <w:lang w:eastAsia="zh-CN"/>
        </w:rPr>
        <w:t>姜丰、胡雪凌</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default"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rPr>
        <w:t>联系电话：0571-8717</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3526，0571-87173673</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default"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rPr>
        <w:t>邮箱：</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hzjwczc@126.com</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highlight w:val="none"/>
          <w:shd w:val="clear" w:fill="FFFFFF"/>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420"/>
        <w:jc w:val="right"/>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杭州市城乡建设委员会</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420"/>
        <w:jc w:val="right"/>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202</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5</w:t>
      </w:r>
      <w:r>
        <w:rPr>
          <w:rFonts w:hint="eastAsia" w:ascii="仿宋_GB2312" w:hAnsi="仿宋_GB2312" w:eastAsia="仿宋_GB2312" w:cs="仿宋_GB2312"/>
          <w:i w:val="0"/>
          <w:iCs w:val="0"/>
          <w:caps w:val="0"/>
          <w:color w:val="auto"/>
          <w:spacing w:val="0"/>
          <w:sz w:val="32"/>
          <w:szCs w:val="32"/>
          <w:highlight w:val="none"/>
          <w:shd w:val="clear" w:fill="FFFFFF"/>
        </w:rPr>
        <w:t>年</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auto"/>
          <w:spacing w:val="0"/>
          <w:sz w:val="32"/>
          <w:szCs w:val="32"/>
          <w:highlight w:val="none"/>
          <w:shd w:val="clear" w:fill="FFFFFF"/>
        </w:rPr>
        <w:t>月</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29</w:t>
      </w:r>
      <w:r>
        <w:rPr>
          <w:rFonts w:hint="eastAsia" w:ascii="仿宋_GB2312" w:hAnsi="仿宋_GB2312" w:eastAsia="仿宋_GB2312" w:cs="仿宋_GB2312"/>
          <w:i w:val="0"/>
          <w:iCs w:val="0"/>
          <w:caps w:val="0"/>
          <w:color w:val="auto"/>
          <w:spacing w:val="0"/>
          <w:sz w:val="32"/>
          <w:szCs w:val="32"/>
          <w:highlight w:val="none"/>
          <w:shd w:val="clear" w:fill="FFFFFF"/>
        </w:rPr>
        <w:t>日</w:t>
      </w:r>
    </w:p>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color w:val="auto"/>
          <w:sz w:val="32"/>
          <w:szCs w:val="32"/>
          <w:highlight w:val="none"/>
        </w:rPr>
      </w:pPr>
      <w:bookmarkStart w:id="75" w:name="_GoBack"/>
      <w:bookmarkEnd w:id="75"/>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jc w:val="left"/>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附件：《杭州市</w:t>
      </w:r>
      <w:r>
        <w:rPr>
          <w:rFonts w:hint="eastAsia" w:ascii="仿宋_GB2312" w:hAnsi="仿宋_GB2312" w:eastAsia="仿宋_GB2312" w:cs="仿宋_GB2312"/>
          <w:i w:val="0"/>
          <w:iCs w:val="0"/>
          <w:caps w:val="0"/>
          <w:color w:val="auto"/>
          <w:spacing w:val="0"/>
          <w:sz w:val="32"/>
          <w:szCs w:val="32"/>
          <w:highlight w:val="none"/>
          <w:shd w:val="clear" w:fill="FFFFFF"/>
          <w:lang w:eastAsia="zh-CN"/>
        </w:rPr>
        <w:t>绿道网</w:t>
      </w:r>
      <w:r>
        <w:rPr>
          <w:rFonts w:hint="eastAsia" w:ascii="仿宋_GB2312" w:hAnsi="仿宋_GB2312" w:eastAsia="仿宋_GB2312" w:cs="仿宋_GB2312"/>
          <w:i w:val="0"/>
          <w:iCs w:val="0"/>
          <w:caps w:val="0"/>
          <w:color w:val="auto"/>
          <w:spacing w:val="0"/>
          <w:sz w:val="32"/>
          <w:szCs w:val="32"/>
          <w:highlight w:val="none"/>
          <w:shd w:val="clear" w:fill="FFFFFF"/>
        </w:rPr>
        <w:t>专项规划</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2023-2035年</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》（征求意见稿）</w:t>
      </w:r>
    </w:p>
    <w:p>
      <w:pPr>
        <w:widowControl/>
        <w:jc w:val="center"/>
        <w:rPr>
          <w:rFonts w:hint="eastAsia" w:ascii="宋体" w:hAnsi="宋体"/>
          <w:color w:val="auto"/>
          <w:sz w:val="52"/>
          <w:szCs w:val="52"/>
          <w:highlight w:val="none"/>
        </w:rPr>
      </w:pPr>
    </w:p>
    <w:p>
      <w:pPr>
        <w:widowControl/>
        <w:jc w:val="left"/>
        <w:rPr>
          <w:rFonts w:hint="eastAsia" w:ascii="宋体" w:hAnsi="宋体"/>
          <w:b/>
          <w:color w:val="auto"/>
          <w:sz w:val="52"/>
          <w:szCs w:val="52"/>
          <w:highlight w:val="none"/>
        </w:rPr>
      </w:pPr>
      <w:r>
        <w:rPr>
          <w:rFonts w:hint="eastAsia" w:ascii="宋体" w:hAnsi="宋体"/>
          <w:b/>
          <w:color w:val="auto"/>
          <w:sz w:val="52"/>
          <w:szCs w:val="52"/>
          <w:highlight w:val="none"/>
        </w:rPr>
        <w:br w:type="page"/>
      </w:r>
    </w:p>
    <w:p>
      <w:pPr>
        <w:widowControl/>
        <w:jc w:val="center"/>
        <w:rPr>
          <w:rFonts w:hint="eastAsia" w:ascii="宋体" w:hAnsi="宋体"/>
          <w:b/>
          <w:color w:val="auto"/>
          <w:sz w:val="52"/>
          <w:szCs w:val="52"/>
          <w:highlight w:val="none"/>
        </w:rPr>
      </w:pPr>
    </w:p>
    <w:p>
      <w:pPr>
        <w:widowControl/>
        <w:jc w:val="center"/>
        <w:rPr>
          <w:rFonts w:hint="eastAsia" w:ascii="宋体" w:hAnsi="宋体"/>
          <w:b/>
          <w:color w:val="auto"/>
          <w:sz w:val="52"/>
          <w:szCs w:val="52"/>
          <w:highlight w:val="none"/>
        </w:rPr>
      </w:pPr>
    </w:p>
    <w:p>
      <w:pPr>
        <w:widowControl/>
        <w:jc w:val="center"/>
        <w:rPr>
          <w:rFonts w:hint="eastAsia" w:ascii="宋体" w:hAnsi="宋体"/>
          <w:b/>
          <w:color w:val="auto"/>
          <w:sz w:val="52"/>
          <w:szCs w:val="52"/>
          <w:highlight w:val="none"/>
        </w:rPr>
      </w:pPr>
    </w:p>
    <w:p>
      <w:pPr>
        <w:widowControl/>
        <w:jc w:val="center"/>
        <w:rPr>
          <w:rFonts w:hint="eastAsia" w:ascii="宋体" w:hAnsi="宋体"/>
          <w:b/>
          <w:color w:val="auto"/>
          <w:sz w:val="52"/>
          <w:szCs w:val="52"/>
          <w:highlight w:val="none"/>
        </w:rPr>
      </w:pPr>
    </w:p>
    <w:p>
      <w:pPr>
        <w:widowControl/>
        <w:jc w:val="center"/>
        <w:rPr>
          <w:rFonts w:hint="eastAsia" w:ascii="宋体" w:hAnsi="宋体"/>
          <w:b/>
          <w:color w:val="auto"/>
          <w:sz w:val="52"/>
          <w:szCs w:val="52"/>
          <w:highlight w:val="none"/>
        </w:rPr>
      </w:pPr>
      <w:r>
        <w:rPr>
          <w:rFonts w:hint="eastAsia" w:ascii="宋体" w:hAnsi="宋体"/>
          <w:b/>
          <w:color w:val="auto"/>
          <w:sz w:val="52"/>
          <w:szCs w:val="52"/>
          <w:highlight w:val="none"/>
        </w:rPr>
        <w:t>杭州市绿道网专项规划</w:t>
      </w:r>
    </w:p>
    <w:p>
      <w:pPr>
        <w:widowControl/>
        <w:jc w:val="center"/>
        <w:rPr>
          <w:rFonts w:hint="eastAsia" w:ascii="宋体" w:hAnsi="宋体"/>
          <w:b/>
          <w:color w:val="auto"/>
          <w:sz w:val="40"/>
          <w:szCs w:val="40"/>
          <w:highlight w:val="none"/>
        </w:rPr>
      </w:pPr>
      <w:r>
        <w:rPr>
          <w:rFonts w:hint="eastAsia" w:ascii="宋体" w:hAnsi="宋体"/>
          <w:b/>
          <w:color w:val="auto"/>
          <w:sz w:val="40"/>
          <w:szCs w:val="40"/>
          <w:highlight w:val="none"/>
        </w:rPr>
        <w:t>（2</w:t>
      </w:r>
      <w:r>
        <w:rPr>
          <w:rFonts w:ascii="宋体" w:hAnsi="宋体"/>
          <w:b/>
          <w:color w:val="auto"/>
          <w:sz w:val="40"/>
          <w:szCs w:val="40"/>
          <w:highlight w:val="none"/>
        </w:rPr>
        <w:t>023-2035</w:t>
      </w:r>
      <w:r>
        <w:rPr>
          <w:rFonts w:hint="eastAsia" w:ascii="宋体" w:hAnsi="宋体"/>
          <w:b/>
          <w:color w:val="auto"/>
          <w:sz w:val="40"/>
          <w:szCs w:val="40"/>
          <w:highlight w:val="none"/>
        </w:rPr>
        <w:t>年）</w:t>
      </w:r>
    </w:p>
    <w:p>
      <w:pPr>
        <w:widowControl/>
        <w:jc w:val="center"/>
        <w:rPr>
          <w:rFonts w:hint="eastAsia" w:ascii="宋体" w:hAnsi="宋体"/>
          <w:color w:val="auto"/>
          <w:sz w:val="40"/>
          <w:szCs w:val="40"/>
          <w:highlight w:val="none"/>
        </w:rPr>
      </w:pPr>
      <w:r>
        <w:rPr>
          <w:rFonts w:hint="eastAsia" w:ascii="宋体" w:hAnsi="宋体"/>
          <w:color w:val="auto"/>
          <w:sz w:val="40"/>
          <w:szCs w:val="40"/>
          <w:highlight w:val="none"/>
        </w:rPr>
        <w:t>（征求意见稿）</w:t>
      </w:r>
    </w:p>
    <w:p>
      <w:pPr>
        <w:widowControl/>
        <w:jc w:val="center"/>
        <w:rPr>
          <w:rFonts w:hint="eastAsia" w:ascii="宋体" w:hAnsi="宋体"/>
          <w:color w:val="auto"/>
          <w:sz w:val="40"/>
          <w:szCs w:val="40"/>
          <w:highlight w:val="none"/>
        </w:rPr>
      </w:pPr>
    </w:p>
    <w:p>
      <w:pPr>
        <w:widowControl/>
        <w:jc w:val="center"/>
        <w:rPr>
          <w:rFonts w:hint="eastAsia" w:ascii="宋体" w:hAnsi="宋体"/>
          <w:color w:val="auto"/>
          <w:sz w:val="40"/>
          <w:szCs w:val="40"/>
          <w:highlight w:val="none"/>
        </w:rPr>
      </w:pPr>
    </w:p>
    <w:p>
      <w:pPr>
        <w:widowControl/>
        <w:jc w:val="center"/>
        <w:rPr>
          <w:rFonts w:hint="eastAsia" w:ascii="宋体" w:hAnsi="宋体"/>
          <w:color w:val="auto"/>
          <w:sz w:val="40"/>
          <w:szCs w:val="40"/>
          <w:highlight w:val="none"/>
        </w:rPr>
      </w:pPr>
    </w:p>
    <w:p>
      <w:pPr>
        <w:widowControl/>
        <w:jc w:val="center"/>
        <w:rPr>
          <w:rFonts w:hint="eastAsia" w:ascii="宋体" w:hAnsi="宋体"/>
          <w:color w:val="auto"/>
          <w:sz w:val="40"/>
          <w:szCs w:val="40"/>
          <w:highlight w:val="none"/>
        </w:rPr>
      </w:pPr>
    </w:p>
    <w:p>
      <w:pPr>
        <w:widowControl/>
        <w:jc w:val="both"/>
        <w:rPr>
          <w:rFonts w:hint="eastAsia" w:ascii="宋体" w:hAnsi="宋体"/>
          <w:color w:val="auto"/>
          <w:sz w:val="40"/>
          <w:szCs w:val="40"/>
          <w:highlight w:val="none"/>
        </w:rPr>
      </w:pPr>
    </w:p>
    <w:p>
      <w:pPr>
        <w:widowControl/>
        <w:jc w:val="center"/>
        <w:rPr>
          <w:rFonts w:hint="eastAsia" w:ascii="宋体" w:hAnsi="宋体"/>
          <w:color w:val="auto"/>
          <w:sz w:val="28"/>
          <w:szCs w:val="28"/>
          <w:highlight w:val="none"/>
        </w:rPr>
      </w:pPr>
      <w:r>
        <w:rPr>
          <w:rFonts w:hint="eastAsia" w:ascii="宋体" w:hAnsi="宋体"/>
          <w:color w:val="auto"/>
          <w:sz w:val="28"/>
          <w:szCs w:val="28"/>
          <w:highlight w:val="none"/>
        </w:rPr>
        <w:t>杭州市城乡建设委员会</w:t>
      </w:r>
    </w:p>
    <w:p>
      <w:pPr>
        <w:widowControl/>
        <w:jc w:val="center"/>
        <w:rPr>
          <w:rFonts w:hint="eastAsia" w:ascii="宋体" w:hAnsi="宋体"/>
          <w:color w:val="auto"/>
          <w:sz w:val="28"/>
          <w:szCs w:val="28"/>
          <w:highlight w:val="none"/>
        </w:rPr>
      </w:pPr>
      <w:r>
        <w:rPr>
          <w:rFonts w:hint="eastAsia" w:ascii="宋体" w:hAnsi="宋体"/>
          <w:color w:val="auto"/>
          <w:sz w:val="28"/>
          <w:szCs w:val="28"/>
          <w:highlight w:val="none"/>
        </w:rPr>
        <w:t>2</w:t>
      </w:r>
      <w:r>
        <w:rPr>
          <w:rFonts w:ascii="宋体" w:hAnsi="宋体"/>
          <w:color w:val="auto"/>
          <w:sz w:val="28"/>
          <w:szCs w:val="28"/>
          <w:highlight w:val="none"/>
        </w:rPr>
        <w:t>025</w:t>
      </w:r>
      <w:r>
        <w:rPr>
          <w:rFonts w:hint="eastAsia" w:ascii="宋体" w:hAnsi="宋体"/>
          <w:color w:val="auto"/>
          <w:sz w:val="28"/>
          <w:szCs w:val="28"/>
          <w:highlight w:val="none"/>
        </w:rPr>
        <w:t>年4月</w:t>
      </w:r>
      <w:bookmarkStart w:id="0" w:name="_Toc191459089"/>
    </w:p>
    <w:p>
      <w:pPr>
        <w:rPr>
          <w:rFonts w:hint="eastAsia" w:ascii="宋体" w:hAnsi="宋体"/>
          <w:color w:val="auto"/>
          <w:sz w:val="44"/>
          <w:szCs w:val="44"/>
          <w:highlight w:val="none"/>
        </w:rPr>
      </w:pPr>
      <w:r>
        <w:rPr>
          <w:rFonts w:hint="eastAsia" w:ascii="宋体" w:hAnsi="宋体"/>
          <w:color w:val="auto"/>
          <w:sz w:val="44"/>
          <w:szCs w:val="44"/>
          <w:highlight w:val="none"/>
        </w:rPr>
        <w:br w:type="page"/>
      </w:r>
    </w:p>
    <w:p>
      <w:pPr>
        <w:widowControl/>
        <w:jc w:val="center"/>
        <w:rPr>
          <w:rFonts w:hint="eastAsia" w:ascii="宋体" w:hAnsi="宋体"/>
          <w:b/>
          <w:bCs/>
          <w:color w:val="auto"/>
          <w:sz w:val="44"/>
          <w:szCs w:val="44"/>
          <w:highlight w:val="none"/>
        </w:rPr>
      </w:pPr>
      <w:r>
        <w:rPr>
          <w:rFonts w:hint="eastAsia" w:ascii="宋体" w:hAnsi="宋体"/>
          <w:b/>
          <w:bCs/>
          <w:color w:val="auto"/>
          <w:sz w:val="44"/>
          <w:szCs w:val="44"/>
          <w:highlight w:val="none"/>
        </w:rPr>
        <w:t>前 言</w:t>
      </w:r>
    </w:p>
    <w:p>
      <w:pPr>
        <w:pStyle w:val="35"/>
        <w:spacing w:line="348" w:lineRule="auto"/>
        <w:ind w:firstLine="480" w:firstLineChars="200"/>
        <w:rPr>
          <w:rFonts w:hint="eastAsia"/>
          <w:color w:val="auto"/>
          <w:highlight w:val="none"/>
        </w:rPr>
      </w:pPr>
      <w:r>
        <w:rPr>
          <w:rFonts w:hint="eastAsia"/>
          <w:color w:val="auto"/>
          <w:highlight w:val="none"/>
        </w:rPr>
        <w:t>绿道建设是贯彻落实习近平生态文明思想和“绿水青山就是金山银山”理念，建设美丽中国、健康中国的重要行动，是深化落实“美丽中国杭州样板”，打造人与自然和谐共生的宜居城市的有力举措。近十年来，杭州坚持以人民为中心的发展思想，全面推进绿道建设。随着《杭州市绿道系统规划（</w:t>
      </w:r>
      <w:r>
        <w:rPr>
          <w:color w:val="auto"/>
          <w:highlight w:val="none"/>
        </w:rPr>
        <w:t>2012-2020年）》、2019年《杭州市域绿道系统近期专项规划及建设机制研究》的</w:t>
      </w:r>
      <w:r>
        <w:rPr>
          <w:rFonts w:hint="eastAsia"/>
          <w:color w:val="auto"/>
          <w:highlight w:val="none"/>
        </w:rPr>
        <w:t>相继</w:t>
      </w:r>
      <w:r>
        <w:rPr>
          <w:color w:val="auto"/>
          <w:highlight w:val="none"/>
        </w:rPr>
        <w:t>实施</w:t>
      </w:r>
      <w:r>
        <w:rPr>
          <w:rFonts w:hint="eastAsia"/>
          <w:color w:val="auto"/>
          <w:highlight w:val="none"/>
        </w:rPr>
        <w:t>，以及</w:t>
      </w:r>
      <w:r>
        <w:rPr>
          <w:color w:val="auto"/>
          <w:highlight w:val="none"/>
        </w:rPr>
        <w:t>《杭州市绿道系统建设技术导则（试行）》的</w:t>
      </w:r>
      <w:r>
        <w:rPr>
          <w:rFonts w:hint="eastAsia"/>
          <w:color w:val="auto"/>
          <w:highlight w:val="none"/>
        </w:rPr>
        <w:t>全面</w:t>
      </w:r>
      <w:r>
        <w:rPr>
          <w:color w:val="auto"/>
          <w:highlight w:val="none"/>
        </w:rPr>
        <w:t>推行，杭州市绿道建设</w:t>
      </w:r>
      <w:r>
        <w:rPr>
          <w:rFonts w:hint="eastAsia"/>
          <w:color w:val="auto"/>
          <w:highlight w:val="none"/>
        </w:rPr>
        <w:t>已</w:t>
      </w:r>
      <w:r>
        <w:rPr>
          <w:color w:val="auto"/>
          <w:highlight w:val="none"/>
        </w:rPr>
        <w:t>进入高质量发展新阶段。截至2023年底，全市累计建成</w:t>
      </w:r>
      <w:r>
        <w:rPr>
          <w:rFonts w:hint="eastAsia"/>
          <w:color w:val="auto"/>
          <w:highlight w:val="none"/>
        </w:rPr>
        <w:t>绿道总里程突破</w:t>
      </w:r>
      <w:r>
        <w:rPr>
          <w:color w:val="auto"/>
          <w:highlight w:val="none"/>
        </w:rPr>
        <w:t>4800公里，基本形成“</w:t>
      </w:r>
      <w:r>
        <w:rPr>
          <w:rFonts w:hint="eastAsia"/>
          <w:color w:val="auto"/>
          <w:highlight w:val="none"/>
        </w:rPr>
        <w:t>市区</w:t>
      </w:r>
      <w:r>
        <w:rPr>
          <w:color w:val="auto"/>
          <w:highlight w:val="none"/>
        </w:rPr>
        <w:t>范围5分钟可达绿道网”。绿道网如毛细血管深入城乡，</w:t>
      </w:r>
      <w:r>
        <w:rPr>
          <w:rFonts w:hint="eastAsia"/>
          <w:color w:val="auto"/>
          <w:highlight w:val="none"/>
        </w:rPr>
        <w:t>既成为</w:t>
      </w:r>
      <w:r>
        <w:rPr>
          <w:color w:val="auto"/>
          <w:highlight w:val="none"/>
        </w:rPr>
        <w:t>城市慢行系统的重要组成部分</w:t>
      </w:r>
      <w:r>
        <w:rPr>
          <w:rFonts w:hint="eastAsia"/>
          <w:color w:val="auto"/>
          <w:highlight w:val="none"/>
        </w:rPr>
        <w:t>，也是</w:t>
      </w:r>
      <w:r>
        <w:rPr>
          <w:color w:val="auto"/>
          <w:highlight w:val="none"/>
        </w:rPr>
        <w:t>市民休闲健身、游客体验城市的重要载体</w:t>
      </w:r>
      <w:r>
        <w:rPr>
          <w:rFonts w:hint="eastAsia"/>
          <w:color w:val="auto"/>
          <w:highlight w:val="none"/>
        </w:rPr>
        <w:t>。其在</w:t>
      </w:r>
      <w:r>
        <w:rPr>
          <w:color w:val="auto"/>
          <w:highlight w:val="none"/>
        </w:rPr>
        <w:t>促进人与自然和谐共生</w:t>
      </w:r>
      <w:r>
        <w:rPr>
          <w:rFonts w:hint="eastAsia"/>
          <w:color w:val="auto"/>
          <w:highlight w:val="none"/>
        </w:rPr>
        <w:t>、</w:t>
      </w:r>
      <w:r>
        <w:rPr>
          <w:color w:val="auto"/>
          <w:highlight w:val="none"/>
        </w:rPr>
        <w:t>引领绿色健康生活</w:t>
      </w:r>
      <w:r>
        <w:rPr>
          <w:rFonts w:hint="eastAsia"/>
          <w:color w:val="auto"/>
          <w:highlight w:val="none"/>
        </w:rPr>
        <w:t>新</w:t>
      </w:r>
      <w:r>
        <w:rPr>
          <w:color w:val="auto"/>
          <w:highlight w:val="none"/>
        </w:rPr>
        <w:t>风尚</w:t>
      </w:r>
      <w:r>
        <w:rPr>
          <w:rFonts w:hint="eastAsia"/>
          <w:color w:val="auto"/>
          <w:highlight w:val="none"/>
        </w:rPr>
        <w:t>方面成效显著</w:t>
      </w:r>
      <w:r>
        <w:rPr>
          <w:color w:val="auto"/>
          <w:highlight w:val="none"/>
        </w:rPr>
        <w:t>，日益成为</w:t>
      </w:r>
      <w:r>
        <w:rPr>
          <w:rFonts w:hint="eastAsia"/>
          <w:color w:val="auto"/>
          <w:highlight w:val="none"/>
        </w:rPr>
        <w:t>彰显</w:t>
      </w:r>
      <w:r>
        <w:rPr>
          <w:color w:val="auto"/>
          <w:highlight w:val="none"/>
        </w:rPr>
        <w:t>杭州生态文明之都</w:t>
      </w:r>
      <w:r>
        <w:rPr>
          <w:rFonts w:hint="eastAsia"/>
          <w:color w:val="auto"/>
          <w:highlight w:val="none"/>
        </w:rPr>
        <w:t>特色的</w:t>
      </w:r>
      <w:r>
        <w:rPr>
          <w:color w:val="auto"/>
          <w:highlight w:val="none"/>
        </w:rPr>
        <w:t>金名片。</w:t>
      </w:r>
    </w:p>
    <w:p>
      <w:pPr>
        <w:pStyle w:val="35"/>
        <w:spacing w:line="348" w:lineRule="auto"/>
        <w:ind w:firstLine="480" w:firstLineChars="200"/>
        <w:rPr>
          <w:rFonts w:hint="eastAsia"/>
          <w:color w:val="auto"/>
          <w:highlight w:val="none"/>
        </w:rPr>
      </w:pPr>
      <w:r>
        <w:rPr>
          <w:rFonts w:hint="eastAsia"/>
          <w:color w:val="auto"/>
          <w:highlight w:val="none"/>
        </w:rPr>
        <w:t>近年来，随着杭州行政区划调整、国土空间布局变化以及人民日益增长的绿色生活需求，绿道规划、设计、建设、管理面临系统性转型升级的挑战。杭州绿道亟需推动建管理念五大维度转变：由管理导向转向需求导向、由规模扩张转向品质特色塑造、由建设主导转向建管并重、由效率优先转向效益优先、由粗放管理转向智慧赋能，加快构建现代化绿道建设管理体系。</w:t>
      </w:r>
    </w:p>
    <w:p>
      <w:pPr>
        <w:pStyle w:val="35"/>
        <w:spacing w:line="348" w:lineRule="auto"/>
        <w:ind w:firstLine="480" w:firstLineChars="200"/>
        <w:rPr>
          <w:rFonts w:hint="eastAsia"/>
          <w:color w:val="auto"/>
          <w:highlight w:val="none"/>
        </w:rPr>
      </w:pPr>
      <w:r>
        <w:rPr>
          <w:color w:val="auto"/>
          <w:highlight w:val="none"/>
        </w:rPr>
        <w:t>2024年10月，《杭州市国土空间总体规划（2021-2035年）》</w:t>
      </w:r>
      <w:r>
        <w:rPr>
          <w:rFonts w:hint="eastAsia"/>
          <w:color w:val="auto"/>
          <w:highlight w:val="none"/>
        </w:rPr>
        <w:t>获</w:t>
      </w:r>
      <w:r>
        <w:rPr>
          <w:color w:val="auto"/>
          <w:highlight w:val="none"/>
        </w:rPr>
        <w:t>正式批复，明确构建“一主六辅三城、三江两脉八带”的国土空间</w:t>
      </w:r>
      <w:r>
        <w:rPr>
          <w:rFonts w:hint="eastAsia"/>
          <w:color w:val="auto"/>
          <w:highlight w:val="none"/>
        </w:rPr>
        <w:t>总体格局</w:t>
      </w:r>
      <w:r>
        <w:rPr>
          <w:color w:val="auto"/>
          <w:highlight w:val="none"/>
        </w:rPr>
        <w:t>，</w:t>
      </w:r>
      <w:r>
        <w:rPr>
          <w:rFonts w:hint="eastAsia"/>
          <w:color w:val="auto"/>
          <w:highlight w:val="none"/>
        </w:rPr>
        <w:t>锚定建设</w:t>
      </w:r>
      <w:r>
        <w:rPr>
          <w:color w:val="auto"/>
          <w:highlight w:val="none"/>
        </w:rPr>
        <w:t>具有全球影响力的独特韵味别样精彩世界名城</w:t>
      </w:r>
      <w:r>
        <w:rPr>
          <w:rFonts w:hint="eastAsia"/>
          <w:color w:val="auto"/>
          <w:highlight w:val="none"/>
        </w:rPr>
        <w:t>目标</w:t>
      </w:r>
      <w:r>
        <w:rPr>
          <w:color w:val="auto"/>
          <w:highlight w:val="none"/>
        </w:rPr>
        <w:t>。《浙江省省级绿道网规划（2021-2035年）》</w:t>
      </w:r>
      <w:r>
        <w:rPr>
          <w:rFonts w:hint="eastAsia"/>
          <w:color w:val="auto"/>
          <w:highlight w:val="none"/>
        </w:rPr>
        <w:t>提出了</w:t>
      </w:r>
      <w:r>
        <w:rPr>
          <w:color w:val="auto"/>
          <w:highlight w:val="none"/>
        </w:rPr>
        <w:t>“十线筑基，提标密网”的</w:t>
      </w:r>
      <w:r>
        <w:rPr>
          <w:rFonts w:hint="eastAsia"/>
          <w:color w:val="auto"/>
          <w:highlight w:val="none"/>
        </w:rPr>
        <w:t>总体</w:t>
      </w:r>
      <w:r>
        <w:rPr>
          <w:color w:val="auto"/>
          <w:highlight w:val="none"/>
        </w:rPr>
        <w:t>建设要求，</w:t>
      </w:r>
      <w:r>
        <w:rPr>
          <w:rFonts w:hint="eastAsia"/>
          <w:color w:val="auto"/>
          <w:highlight w:val="none"/>
        </w:rPr>
        <w:t>明确</w:t>
      </w:r>
      <w:r>
        <w:rPr>
          <w:color w:val="auto"/>
          <w:highlight w:val="none"/>
        </w:rPr>
        <w:t>彰显地域特色、突出文化引领的绿道建设</w:t>
      </w:r>
      <w:r>
        <w:rPr>
          <w:rFonts w:hint="eastAsia"/>
          <w:color w:val="auto"/>
          <w:highlight w:val="none"/>
        </w:rPr>
        <w:t>发展</w:t>
      </w:r>
      <w:r>
        <w:rPr>
          <w:color w:val="auto"/>
          <w:highlight w:val="none"/>
        </w:rPr>
        <w:t>路径。</w:t>
      </w:r>
      <w:r>
        <w:rPr>
          <w:rFonts w:hint="eastAsia"/>
          <w:color w:val="auto"/>
          <w:highlight w:val="none"/>
        </w:rPr>
        <w:t>以上这些规划新要求，都需要加快落实。</w:t>
      </w:r>
      <w:r>
        <w:rPr>
          <w:color w:val="auto"/>
          <w:highlight w:val="none"/>
        </w:rPr>
        <w:t>鉴于既有《杭州绿道系统专项规划（2012-2020）》和《杭州市域绿道系统近期专项规划及建设机制研究》规划期限</w:t>
      </w:r>
      <w:r>
        <w:rPr>
          <w:rFonts w:hint="eastAsia"/>
          <w:color w:val="auto"/>
          <w:highlight w:val="none"/>
        </w:rPr>
        <w:t>已</w:t>
      </w:r>
      <w:r>
        <w:rPr>
          <w:color w:val="auto"/>
          <w:highlight w:val="none"/>
        </w:rPr>
        <w:t>届满，亟需编制新一轮专项规划</w:t>
      </w:r>
      <w:r>
        <w:rPr>
          <w:rFonts w:hint="eastAsia"/>
          <w:color w:val="auto"/>
          <w:highlight w:val="none"/>
        </w:rPr>
        <w:t>以</w:t>
      </w:r>
      <w:r>
        <w:rPr>
          <w:color w:val="auto"/>
          <w:highlight w:val="none"/>
        </w:rPr>
        <w:t>引领新时期绿道高质量发展。</w:t>
      </w:r>
    </w:p>
    <w:p>
      <w:pPr>
        <w:spacing w:line="348" w:lineRule="auto"/>
        <w:ind w:firstLine="480" w:firstLineChars="200"/>
        <w:rPr>
          <w:rFonts w:hint="eastAsia" w:ascii="宋体" w:hAnsi="宋体"/>
          <w:color w:val="auto"/>
          <w:highlight w:val="none"/>
        </w:rPr>
      </w:pPr>
      <w:r>
        <w:rPr>
          <w:rFonts w:hint="eastAsia" w:ascii="宋体" w:hAnsi="宋体"/>
          <w:color w:val="auto"/>
          <w:highlight w:val="none"/>
        </w:rPr>
        <w:t>在此背景下，杭州市启动《杭州市绿道网专项规划（</w:t>
      </w:r>
      <w:r>
        <w:rPr>
          <w:rFonts w:ascii="宋体" w:hAnsi="宋体"/>
          <w:color w:val="auto"/>
          <w:highlight w:val="none"/>
        </w:rPr>
        <w:t>2023-2035年）》编制工作，立足新发展阶段城市战略定位，系统构建全域全要素绿道网络体系，科学制定规划对策，深度挖掘绿道综合价值，让市民尽享绿色生态福祉，助力杭州建设世界一流的生态文明之</w:t>
      </w:r>
      <w:r>
        <w:rPr>
          <w:rFonts w:hint="eastAsia" w:ascii="宋体" w:hAnsi="宋体"/>
          <w:color w:val="auto"/>
          <w:highlight w:val="none"/>
        </w:rPr>
        <w:t>都</w:t>
      </w:r>
      <w:r>
        <w:rPr>
          <w:rFonts w:ascii="宋体" w:hAnsi="宋体"/>
          <w:color w:val="auto"/>
          <w:highlight w:val="none"/>
        </w:rPr>
        <w:t>。</w:t>
      </w:r>
    </w:p>
    <w:p>
      <w:pPr>
        <w:widowControl/>
        <w:snapToGrid/>
        <w:spacing w:line="348" w:lineRule="auto"/>
        <w:jc w:val="center"/>
        <w:rPr>
          <w:rFonts w:hint="eastAsia" w:ascii="宋体" w:hAnsi="宋体"/>
          <w:b/>
          <w:color w:val="auto"/>
          <w:sz w:val="28"/>
          <w:highlight w:val="none"/>
        </w:rPr>
      </w:pPr>
      <w:r>
        <w:rPr>
          <w:rFonts w:ascii="宋体" w:hAnsi="宋体"/>
          <w:b/>
          <w:color w:val="auto"/>
          <w:sz w:val="28"/>
          <w:highlight w:val="none"/>
        </w:rPr>
        <w:br w:type="page"/>
      </w:r>
      <w:r>
        <w:rPr>
          <w:rFonts w:hint="eastAsia" w:ascii="宋体" w:hAnsi="宋体"/>
          <w:b/>
          <w:color w:val="auto"/>
          <w:sz w:val="36"/>
          <w:highlight w:val="none"/>
        </w:rPr>
        <w:t>目录</w:t>
      </w:r>
    </w:p>
    <w:p>
      <w:pPr>
        <w:pStyle w:val="15"/>
        <w:tabs>
          <w:tab w:val="right" w:leader="dot" w:pos="8306"/>
        </w:tabs>
        <w:ind w:left="480"/>
        <w:rPr>
          <w:rFonts w:hint="eastAsia"/>
          <w:color w:val="auto"/>
          <w:highlight w:val="none"/>
        </w:rPr>
      </w:pPr>
      <w:r>
        <w:rPr>
          <w:rFonts w:ascii="宋体" w:hAnsi="宋体"/>
          <w:color w:val="auto"/>
          <w:highlight w:val="none"/>
        </w:rPr>
        <w:fldChar w:fldCharType="begin"/>
      </w:r>
      <w:r>
        <w:rPr>
          <w:rFonts w:ascii="宋体" w:hAnsi="宋体"/>
          <w:color w:val="auto"/>
          <w:highlight w:val="none"/>
        </w:rPr>
        <w:instrText xml:space="preserve"> TOC \o "1-4" \h \z \u </w:instrText>
      </w:r>
      <w:r>
        <w:rPr>
          <w:rFonts w:ascii="宋体" w:hAnsi="宋体"/>
          <w:color w:val="auto"/>
          <w:highlight w:val="none"/>
        </w:rPr>
        <w:fldChar w:fldCharType="separate"/>
      </w:r>
      <w:r>
        <w:rPr>
          <w:color w:val="auto"/>
          <w:highlight w:val="none"/>
        </w:rPr>
        <w:fldChar w:fldCharType="begin"/>
      </w:r>
      <w:r>
        <w:rPr>
          <w:color w:val="auto"/>
          <w:highlight w:val="none"/>
        </w:rPr>
        <w:instrText xml:space="preserve"> HYPERLINK \l "_Toc1321793622" </w:instrText>
      </w:r>
      <w:r>
        <w:rPr>
          <w:color w:val="auto"/>
          <w:highlight w:val="none"/>
        </w:rPr>
        <w:fldChar w:fldCharType="separate"/>
      </w:r>
      <w:r>
        <w:rPr>
          <w:rFonts w:hint="eastAsia" w:ascii="宋体" w:hAnsi="宋体"/>
          <w:color w:val="auto"/>
          <w:highlight w:val="none"/>
        </w:rPr>
        <w:t>第一章 总则</w:t>
      </w:r>
      <w:r>
        <w:rPr>
          <w:color w:val="auto"/>
          <w:highlight w:val="none"/>
        </w:rPr>
        <w:tab/>
      </w:r>
      <w:r>
        <w:rPr>
          <w:color w:val="auto"/>
          <w:highlight w:val="none"/>
        </w:rPr>
        <w:fldChar w:fldCharType="begin"/>
      </w:r>
      <w:r>
        <w:rPr>
          <w:color w:val="auto"/>
          <w:highlight w:val="none"/>
        </w:rPr>
        <w:instrText xml:space="preserve"> PAGEREF _Toc1321793622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4"/>
        <w:tabs>
          <w:tab w:val="right" w:leader="dot" w:pos="8306"/>
        </w:tabs>
        <w:ind w:left="1440"/>
        <w:rPr>
          <w:rFonts w:hint="eastAsia"/>
          <w:color w:val="auto"/>
          <w:highlight w:val="none"/>
        </w:rPr>
      </w:pPr>
      <w:r>
        <w:rPr>
          <w:color w:val="auto"/>
          <w:highlight w:val="none"/>
        </w:rPr>
        <w:fldChar w:fldCharType="begin"/>
      </w:r>
      <w:r>
        <w:rPr>
          <w:color w:val="auto"/>
          <w:highlight w:val="none"/>
        </w:rPr>
        <w:instrText xml:space="preserve"> HYPERLINK \l "_Toc2114272138" </w:instrText>
      </w:r>
      <w:r>
        <w:rPr>
          <w:color w:val="auto"/>
          <w:highlight w:val="none"/>
        </w:rPr>
        <w:fldChar w:fldCharType="separate"/>
      </w:r>
      <w:r>
        <w:rPr>
          <w:rFonts w:ascii="宋体" w:hAnsi="宋体"/>
          <w:color w:val="auto"/>
          <w:highlight w:val="none"/>
        </w:rPr>
        <w:t xml:space="preserve">第1条 </w:t>
      </w:r>
      <w:r>
        <w:rPr>
          <w:rFonts w:hint="eastAsia" w:ascii="宋体" w:hAnsi="宋体"/>
          <w:color w:val="auto"/>
          <w:highlight w:val="none"/>
        </w:rPr>
        <w:t>指导思想</w:t>
      </w:r>
      <w:r>
        <w:rPr>
          <w:color w:val="auto"/>
          <w:highlight w:val="none"/>
        </w:rPr>
        <w:tab/>
      </w:r>
      <w:r>
        <w:rPr>
          <w:color w:val="auto"/>
          <w:highlight w:val="none"/>
        </w:rPr>
        <w:fldChar w:fldCharType="begin"/>
      </w:r>
      <w:r>
        <w:rPr>
          <w:color w:val="auto"/>
          <w:highlight w:val="none"/>
        </w:rPr>
        <w:instrText xml:space="preserve"> PAGEREF _Toc2114272138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4"/>
        <w:tabs>
          <w:tab w:val="right" w:leader="dot" w:pos="8306"/>
        </w:tabs>
        <w:ind w:left="1440"/>
        <w:rPr>
          <w:rFonts w:hint="eastAsia"/>
          <w:color w:val="auto"/>
          <w:highlight w:val="none"/>
        </w:rPr>
      </w:pPr>
      <w:r>
        <w:rPr>
          <w:color w:val="auto"/>
          <w:highlight w:val="none"/>
        </w:rPr>
        <w:fldChar w:fldCharType="begin"/>
      </w:r>
      <w:r>
        <w:rPr>
          <w:color w:val="auto"/>
          <w:highlight w:val="none"/>
        </w:rPr>
        <w:instrText xml:space="preserve"> HYPERLINK \l "_Toc1467530356" </w:instrText>
      </w:r>
      <w:r>
        <w:rPr>
          <w:color w:val="auto"/>
          <w:highlight w:val="none"/>
        </w:rPr>
        <w:fldChar w:fldCharType="separate"/>
      </w:r>
      <w:r>
        <w:rPr>
          <w:rFonts w:ascii="宋体" w:hAnsi="宋体"/>
          <w:color w:val="auto"/>
          <w:highlight w:val="none"/>
        </w:rPr>
        <w:t xml:space="preserve">第2条 </w:t>
      </w:r>
      <w:r>
        <w:rPr>
          <w:rFonts w:hint="eastAsia" w:ascii="宋体" w:hAnsi="宋体"/>
          <w:color w:val="auto"/>
          <w:highlight w:val="none"/>
        </w:rPr>
        <w:t>规划依据</w:t>
      </w:r>
      <w:r>
        <w:rPr>
          <w:color w:val="auto"/>
          <w:highlight w:val="none"/>
        </w:rPr>
        <w:tab/>
      </w:r>
      <w:r>
        <w:rPr>
          <w:color w:val="auto"/>
          <w:highlight w:val="none"/>
        </w:rPr>
        <w:fldChar w:fldCharType="begin"/>
      </w:r>
      <w:r>
        <w:rPr>
          <w:color w:val="auto"/>
          <w:highlight w:val="none"/>
        </w:rPr>
        <w:instrText xml:space="preserve"> PAGEREF _Toc1467530356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4"/>
        <w:tabs>
          <w:tab w:val="right" w:leader="dot" w:pos="8306"/>
        </w:tabs>
        <w:ind w:left="1440"/>
        <w:rPr>
          <w:rFonts w:hint="eastAsia"/>
          <w:color w:val="auto"/>
          <w:highlight w:val="none"/>
        </w:rPr>
      </w:pPr>
      <w:r>
        <w:rPr>
          <w:color w:val="auto"/>
          <w:highlight w:val="none"/>
        </w:rPr>
        <w:fldChar w:fldCharType="begin"/>
      </w:r>
      <w:r>
        <w:rPr>
          <w:color w:val="auto"/>
          <w:highlight w:val="none"/>
        </w:rPr>
        <w:instrText xml:space="preserve"> HYPERLINK \l "_Toc663326000" </w:instrText>
      </w:r>
      <w:r>
        <w:rPr>
          <w:color w:val="auto"/>
          <w:highlight w:val="none"/>
        </w:rPr>
        <w:fldChar w:fldCharType="separate"/>
      </w:r>
      <w:r>
        <w:rPr>
          <w:rFonts w:ascii="宋体" w:hAnsi="宋体"/>
          <w:color w:val="auto"/>
          <w:highlight w:val="none"/>
        </w:rPr>
        <w:t xml:space="preserve">第3条 </w:t>
      </w:r>
      <w:r>
        <w:rPr>
          <w:rFonts w:hint="eastAsia" w:ascii="宋体" w:hAnsi="宋体"/>
          <w:color w:val="auto"/>
          <w:highlight w:val="none"/>
        </w:rPr>
        <w:t>规划原则</w:t>
      </w:r>
      <w:r>
        <w:rPr>
          <w:color w:val="auto"/>
          <w:highlight w:val="none"/>
        </w:rPr>
        <w:tab/>
      </w:r>
      <w:r>
        <w:rPr>
          <w:color w:val="auto"/>
          <w:highlight w:val="none"/>
        </w:rPr>
        <w:fldChar w:fldCharType="begin"/>
      </w:r>
      <w:r>
        <w:rPr>
          <w:color w:val="auto"/>
          <w:highlight w:val="none"/>
        </w:rPr>
        <w:instrText xml:space="preserve"> PAGEREF _Toc663326000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14"/>
        <w:tabs>
          <w:tab w:val="right" w:leader="dot" w:pos="8306"/>
        </w:tabs>
        <w:ind w:left="1440"/>
        <w:rPr>
          <w:rFonts w:hint="eastAsia"/>
          <w:color w:val="auto"/>
          <w:highlight w:val="none"/>
        </w:rPr>
      </w:pPr>
      <w:r>
        <w:rPr>
          <w:color w:val="auto"/>
          <w:highlight w:val="none"/>
        </w:rPr>
        <w:fldChar w:fldCharType="begin"/>
      </w:r>
      <w:r>
        <w:rPr>
          <w:color w:val="auto"/>
          <w:highlight w:val="none"/>
        </w:rPr>
        <w:instrText xml:space="preserve"> HYPERLINK \l "_Toc232141435" </w:instrText>
      </w:r>
      <w:r>
        <w:rPr>
          <w:color w:val="auto"/>
          <w:highlight w:val="none"/>
        </w:rPr>
        <w:fldChar w:fldCharType="separate"/>
      </w:r>
      <w:r>
        <w:rPr>
          <w:rFonts w:ascii="宋体" w:hAnsi="宋体"/>
          <w:color w:val="auto"/>
          <w:highlight w:val="none"/>
        </w:rPr>
        <w:t xml:space="preserve">第4条 </w:t>
      </w:r>
      <w:r>
        <w:rPr>
          <w:rFonts w:hint="eastAsia" w:ascii="宋体" w:hAnsi="宋体"/>
          <w:color w:val="auto"/>
          <w:highlight w:val="none"/>
        </w:rPr>
        <w:t>规划范围</w:t>
      </w:r>
      <w:r>
        <w:rPr>
          <w:color w:val="auto"/>
          <w:highlight w:val="none"/>
        </w:rPr>
        <w:tab/>
      </w:r>
      <w:r>
        <w:rPr>
          <w:color w:val="auto"/>
          <w:highlight w:val="none"/>
        </w:rPr>
        <w:fldChar w:fldCharType="begin"/>
      </w:r>
      <w:r>
        <w:rPr>
          <w:color w:val="auto"/>
          <w:highlight w:val="none"/>
        </w:rPr>
        <w:instrText xml:space="preserve"> PAGEREF _Toc232141435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14"/>
        <w:tabs>
          <w:tab w:val="right" w:leader="dot" w:pos="8306"/>
        </w:tabs>
        <w:ind w:left="1440"/>
        <w:rPr>
          <w:rFonts w:hint="eastAsia"/>
          <w:color w:val="auto"/>
          <w:highlight w:val="none"/>
        </w:rPr>
      </w:pPr>
      <w:r>
        <w:rPr>
          <w:color w:val="auto"/>
          <w:highlight w:val="none"/>
        </w:rPr>
        <w:fldChar w:fldCharType="begin"/>
      </w:r>
      <w:r>
        <w:rPr>
          <w:color w:val="auto"/>
          <w:highlight w:val="none"/>
        </w:rPr>
        <w:instrText xml:space="preserve"> HYPERLINK \l "_Toc1449691636" </w:instrText>
      </w:r>
      <w:r>
        <w:rPr>
          <w:color w:val="auto"/>
          <w:highlight w:val="none"/>
        </w:rPr>
        <w:fldChar w:fldCharType="separate"/>
      </w:r>
      <w:r>
        <w:rPr>
          <w:rFonts w:ascii="宋体" w:hAnsi="宋体"/>
          <w:color w:val="auto"/>
          <w:highlight w:val="none"/>
        </w:rPr>
        <w:t xml:space="preserve">第5条 </w:t>
      </w:r>
      <w:r>
        <w:rPr>
          <w:rFonts w:hint="eastAsia" w:ascii="宋体" w:hAnsi="宋体"/>
          <w:color w:val="auto"/>
          <w:highlight w:val="none"/>
        </w:rPr>
        <w:t>规划期限</w:t>
      </w:r>
      <w:r>
        <w:rPr>
          <w:color w:val="auto"/>
          <w:highlight w:val="none"/>
        </w:rPr>
        <w:tab/>
      </w:r>
      <w:r>
        <w:rPr>
          <w:color w:val="auto"/>
          <w:highlight w:val="none"/>
        </w:rPr>
        <w:fldChar w:fldCharType="begin"/>
      </w:r>
      <w:r>
        <w:rPr>
          <w:color w:val="auto"/>
          <w:highlight w:val="none"/>
        </w:rPr>
        <w:instrText xml:space="preserve"> PAGEREF _Toc1449691636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15"/>
        <w:tabs>
          <w:tab w:val="right" w:leader="dot" w:pos="8306"/>
        </w:tabs>
        <w:ind w:left="480"/>
        <w:rPr>
          <w:rFonts w:hint="eastAsia"/>
          <w:color w:val="auto"/>
          <w:highlight w:val="none"/>
        </w:rPr>
      </w:pPr>
      <w:r>
        <w:rPr>
          <w:color w:val="auto"/>
          <w:highlight w:val="none"/>
        </w:rPr>
        <w:fldChar w:fldCharType="begin"/>
      </w:r>
      <w:r>
        <w:rPr>
          <w:color w:val="auto"/>
          <w:highlight w:val="none"/>
        </w:rPr>
        <w:instrText xml:space="preserve"> HYPERLINK \l "_Toc1773445362" </w:instrText>
      </w:r>
      <w:r>
        <w:rPr>
          <w:color w:val="auto"/>
          <w:highlight w:val="none"/>
        </w:rPr>
        <w:fldChar w:fldCharType="separate"/>
      </w:r>
      <w:r>
        <w:rPr>
          <w:rFonts w:hint="eastAsia" w:ascii="宋体" w:hAnsi="宋体"/>
          <w:color w:val="auto"/>
          <w:highlight w:val="none"/>
        </w:rPr>
        <w:t>第二章 目标与策略</w:t>
      </w:r>
      <w:r>
        <w:rPr>
          <w:color w:val="auto"/>
          <w:highlight w:val="none"/>
        </w:rPr>
        <w:tab/>
      </w:r>
      <w:r>
        <w:rPr>
          <w:color w:val="auto"/>
          <w:highlight w:val="none"/>
        </w:rPr>
        <w:fldChar w:fldCharType="begin"/>
      </w:r>
      <w:r>
        <w:rPr>
          <w:color w:val="auto"/>
          <w:highlight w:val="none"/>
        </w:rPr>
        <w:instrText xml:space="preserve"> PAGEREF _Toc1773445362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4"/>
        <w:tabs>
          <w:tab w:val="right" w:leader="dot" w:pos="8306"/>
        </w:tabs>
        <w:ind w:left="1440"/>
        <w:rPr>
          <w:rFonts w:hint="eastAsia"/>
          <w:color w:val="auto"/>
          <w:highlight w:val="none"/>
        </w:rPr>
      </w:pPr>
      <w:r>
        <w:rPr>
          <w:color w:val="auto"/>
          <w:highlight w:val="none"/>
        </w:rPr>
        <w:fldChar w:fldCharType="begin"/>
      </w:r>
      <w:r>
        <w:rPr>
          <w:color w:val="auto"/>
          <w:highlight w:val="none"/>
        </w:rPr>
        <w:instrText xml:space="preserve"> HYPERLINK \l "_Toc452208363" </w:instrText>
      </w:r>
      <w:r>
        <w:rPr>
          <w:color w:val="auto"/>
          <w:highlight w:val="none"/>
        </w:rPr>
        <w:fldChar w:fldCharType="separate"/>
      </w:r>
      <w:r>
        <w:rPr>
          <w:rFonts w:ascii="宋体" w:hAnsi="宋体"/>
          <w:color w:val="auto"/>
          <w:highlight w:val="none"/>
        </w:rPr>
        <w:t xml:space="preserve">第8条 </w:t>
      </w:r>
      <w:r>
        <w:rPr>
          <w:rFonts w:hint="eastAsia" w:ascii="宋体" w:hAnsi="宋体"/>
          <w:color w:val="auto"/>
          <w:highlight w:val="none"/>
        </w:rPr>
        <w:t>总体目标</w:t>
      </w:r>
      <w:r>
        <w:rPr>
          <w:color w:val="auto"/>
          <w:highlight w:val="none"/>
        </w:rPr>
        <w:tab/>
      </w:r>
      <w:r>
        <w:rPr>
          <w:color w:val="auto"/>
          <w:highlight w:val="none"/>
        </w:rPr>
        <w:fldChar w:fldCharType="begin"/>
      </w:r>
      <w:r>
        <w:rPr>
          <w:color w:val="auto"/>
          <w:highlight w:val="none"/>
        </w:rPr>
        <w:instrText xml:space="preserve"> PAGEREF _Toc452208363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4"/>
        <w:tabs>
          <w:tab w:val="right" w:leader="dot" w:pos="8306"/>
        </w:tabs>
        <w:ind w:left="1440"/>
        <w:rPr>
          <w:rFonts w:hint="eastAsia"/>
          <w:color w:val="auto"/>
          <w:highlight w:val="none"/>
        </w:rPr>
      </w:pPr>
      <w:r>
        <w:rPr>
          <w:color w:val="auto"/>
          <w:highlight w:val="none"/>
        </w:rPr>
        <w:fldChar w:fldCharType="begin"/>
      </w:r>
      <w:r>
        <w:rPr>
          <w:color w:val="auto"/>
          <w:highlight w:val="none"/>
        </w:rPr>
        <w:instrText xml:space="preserve"> HYPERLINK \l "_Toc528487713" </w:instrText>
      </w:r>
      <w:r>
        <w:rPr>
          <w:color w:val="auto"/>
          <w:highlight w:val="none"/>
        </w:rPr>
        <w:fldChar w:fldCharType="separate"/>
      </w:r>
      <w:r>
        <w:rPr>
          <w:rFonts w:ascii="宋体" w:hAnsi="宋体"/>
          <w:color w:val="auto"/>
          <w:highlight w:val="none"/>
        </w:rPr>
        <w:t xml:space="preserve">第9条 </w:t>
      </w:r>
      <w:r>
        <w:rPr>
          <w:rFonts w:hint="eastAsia" w:ascii="宋体" w:hAnsi="宋体"/>
          <w:color w:val="auto"/>
          <w:highlight w:val="none"/>
        </w:rPr>
        <w:t>阶段目标</w:t>
      </w:r>
      <w:r>
        <w:rPr>
          <w:color w:val="auto"/>
          <w:highlight w:val="none"/>
        </w:rPr>
        <w:tab/>
      </w:r>
      <w:r>
        <w:rPr>
          <w:color w:val="auto"/>
          <w:highlight w:val="none"/>
        </w:rPr>
        <w:fldChar w:fldCharType="begin"/>
      </w:r>
      <w:r>
        <w:rPr>
          <w:color w:val="auto"/>
          <w:highlight w:val="none"/>
        </w:rPr>
        <w:instrText xml:space="preserve"> PAGEREF _Toc528487713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4"/>
        <w:tabs>
          <w:tab w:val="right" w:leader="dot" w:pos="8306"/>
        </w:tabs>
        <w:ind w:left="1440"/>
        <w:rPr>
          <w:rFonts w:hint="eastAsia"/>
          <w:color w:val="auto"/>
          <w:highlight w:val="none"/>
        </w:rPr>
      </w:pPr>
      <w:r>
        <w:rPr>
          <w:color w:val="auto"/>
          <w:highlight w:val="none"/>
        </w:rPr>
        <w:fldChar w:fldCharType="begin"/>
      </w:r>
      <w:r>
        <w:rPr>
          <w:color w:val="auto"/>
          <w:highlight w:val="none"/>
        </w:rPr>
        <w:instrText xml:space="preserve"> HYPERLINK \l "_Toc993115593" </w:instrText>
      </w:r>
      <w:r>
        <w:rPr>
          <w:color w:val="auto"/>
          <w:highlight w:val="none"/>
        </w:rPr>
        <w:fldChar w:fldCharType="separate"/>
      </w:r>
      <w:r>
        <w:rPr>
          <w:rFonts w:ascii="宋体" w:hAnsi="宋体"/>
          <w:color w:val="auto"/>
          <w:highlight w:val="none"/>
        </w:rPr>
        <w:t xml:space="preserve">第10条 </w:t>
      </w:r>
      <w:r>
        <w:rPr>
          <w:rFonts w:hint="eastAsia" w:ascii="宋体" w:hAnsi="宋体"/>
          <w:color w:val="auto"/>
          <w:highlight w:val="none"/>
        </w:rPr>
        <w:t>规划策略</w:t>
      </w:r>
      <w:r>
        <w:rPr>
          <w:color w:val="auto"/>
          <w:highlight w:val="none"/>
        </w:rPr>
        <w:tab/>
      </w:r>
      <w:r>
        <w:rPr>
          <w:color w:val="auto"/>
          <w:highlight w:val="none"/>
        </w:rPr>
        <w:fldChar w:fldCharType="begin"/>
      </w:r>
      <w:r>
        <w:rPr>
          <w:color w:val="auto"/>
          <w:highlight w:val="none"/>
        </w:rPr>
        <w:instrText xml:space="preserve"> PAGEREF _Toc993115593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5"/>
        <w:tabs>
          <w:tab w:val="right" w:leader="dot" w:pos="8306"/>
        </w:tabs>
        <w:ind w:left="480"/>
        <w:rPr>
          <w:rFonts w:hint="eastAsia"/>
          <w:color w:val="auto"/>
          <w:highlight w:val="none"/>
        </w:rPr>
      </w:pPr>
      <w:r>
        <w:rPr>
          <w:color w:val="auto"/>
          <w:highlight w:val="none"/>
        </w:rPr>
        <w:fldChar w:fldCharType="begin"/>
      </w:r>
      <w:r>
        <w:rPr>
          <w:color w:val="auto"/>
          <w:highlight w:val="none"/>
        </w:rPr>
        <w:instrText xml:space="preserve"> HYPERLINK \l "_Toc2118647131" </w:instrText>
      </w:r>
      <w:r>
        <w:rPr>
          <w:color w:val="auto"/>
          <w:highlight w:val="none"/>
        </w:rPr>
        <w:fldChar w:fldCharType="separate"/>
      </w:r>
      <w:r>
        <w:rPr>
          <w:rFonts w:hint="eastAsia" w:ascii="宋体" w:hAnsi="宋体"/>
          <w:color w:val="auto"/>
          <w:highlight w:val="none"/>
        </w:rPr>
        <w:t>第三章 布局与行动</w:t>
      </w:r>
      <w:r>
        <w:rPr>
          <w:color w:val="auto"/>
          <w:highlight w:val="none"/>
        </w:rPr>
        <w:tab/>
      </w:r>
      <w:r>
        <w:rPr>
          <w:color w:val="auto"/>
          <w:highlight w:val="none"/>
        </w:rPr>
        <w:fldChar w:fldCharType="begin"/>
      </w:r>
      <w:r>
        <w:rPr>
          <w:color w:val="auto"/>
          <w:highlight w:val="none"/>
        </w:rPr>
        <w:instrText xml:space="preserve"> PAGEREF _Toc2118647131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4"/>
        <w:tabs>
          <w:tab w:val="right" w:leader="dot" w:pos="8306"/>
        </w:tabs>
        <w:ind w:left="1440"/>
        <w:rPr>
          <w:rFonts w:hint="eastAsia"/>
          <w:color w:val="auto"/>
          <w:highlight w:val="none"/>
        </w:rPr>
      </w:pPr>
      <w:r>
        <w:rPr>
          <w:color w:val="auto"/>
          <w:highlight w:val="none"/>
        </w:rPr>
        <w:fldChar w:fldCharType="begin"/>
      </w:r>
      <w:r>
        <w:rPr>
          <w:color w:val="auto"/>
          <w:highlight w:val="none"/>
        </w:rPr>
        <w:instrText xml:space="preserve"> HYPERLINK \l "_Toc39688914" </w:instrText>
      </w:r>
      <w:r>
        <w:rPr>
          <w:color w:val="auto"/>
          <w:highlight w:val="none"/>
        </w:rPr>
        <w:fldChar w:fldCharType="separate"/>
      </w:r>
      <w:r>
        <w:rPr>
          <w:rFonts w:ascii="宋体" w:hAnsi="宋体"/>
          <w:color w:val="auto"/>
          <w:highlight w:val="none"/>
        </w:rPr>
        <w:t xml:space="preserve">第11条 </w:t>
      </w:r>
      <w:r>
        <w:rPr>
          <w:rFonts w:hint="eastAsia" w:ascii="宋体" w:hAnsi="宋体"/>
          <w:color w:val="auto"/>
          <w:highlight w:val="none"/>
        </w:rPr>
        <w:t>规划结构</w:t>
      </w:r>
      <w:r>
        <w:rPr>
          <w:color w:val="auto"/>
          <w:highlight w:val="none"/>
        </w:rPr>
        <w:tab/>
      </w:r>
      <w:r>
        <w:rPr>
          <w:color w:val="auto"/>
          <w:highlight w:val="none"/>
        </w:rPr>
        <w:fldChar w:fldCharType="begin"/>
      </w:r>
      <w:r>
        <w:rPr>
          <w:color w:val="auto"/>
          <w:highlight w:val="none"/>
        </w:rPr>
        <w:instrText xml:space="preserve"> PAGEREF _Toc39688914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4"/>
        <w:tabs>
          <w:tab w:val="right" w:leader="dot" w:pos="8306"/>
        </w:tabs>
        <w:ind w:left="1440"/>
        <w:rPr>
          <w:rFonts w:hint="eastAsia"/>
          <w:color w:val="auto"/>
          <w:highlight w:val="none"/>
        </w:rPr>
      </w:pPr>
      <w:r>
        <w:rPr>
          <w:color w:val="auto"/>
          <w:highlight w:val="none"/>
        </w:rPr>
        <w:fldChar w:fldCharType="begin"/>
      </w:r>
      <w:r>
        <w:rPr>
          <w:color w:val="auto"/>
          <w:highlight w:val="none"/>
        </w:rPr>
        <w:instrText xml:space="preserve"> HYPERLINK \l "_Toc651235645" </w:instrText>
      </w:r>
      <w:r>
        <w:rPr>
          <w:color w:val="auto"/>
          <w:highlight w:val="none"/>
        </w:rPr>
        <w:fldChar w:fldCharType="separate"/>
      </w:r>
      <w:r>
        <w:rPr>
          <w:rFonts w:ascii="宋体" w:hAnsi="宋体"/>
          <w:color w:val="auto"/>
          <w:highlight w:val="none"/>
        </w:rPr>
        <w:t xml:space="preserve">第12条 </w:t>
      </w:r>
      <w:r>
        <w:rPr>
          <w:rFonts w:hint="eastAsia" w:ascii="宋体" w:hAnsi="宋体"/>
          <w:color w:val="auto"/>
          <w:highlight w:val="none"/>
        </w:rPr>
        <w:t>规划布局</w:t>
      </w:r>
      <w:r>
        <w:rPr>
          <w:color w:val="auto"/>
          <w:highlight w:val="none"/>
        </w:rPr>
        <w:tab/>
      </w:r>
      <w:r>
        <w:rPr>
          <w:color w:val="auto"/>
          <w:highlight w:val="none"/>
        </w:rPr>
        <w:fldChar w:fldCharType="begin"/>
      </w:r>
      <w:r>
        <w:rPr>
          <w:color w:val="auto"/>
          <w:highlight w:val="none"/>
        </w:rPr>
        <w:instrText xml:space="preserve"> PAGEREF _Toc651235645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4"/>
        <w:tabs>
          <w:tab w:val="right" w:leader="dot" w:pos="8306"/>
        </w:tabs>
        <w:ind w:left="1440"/>
        <w:rPr>
          <w:rFonts w:hint="eastAsia"/>
          <w:color w:val="auto"/>
          <w:highlight w:val="none"/>
        </w:rPr>
      </w:pPr>
      <w:r>
        <w:rPr>
          <w:color w:val="auto"/>
          <w:highlight w:val="none"/>
        </w:rPr>
        <w:fldChar w:fldCharType="begin"/>
      </w:r>
      <w:r>
        <w:rPr>
          <w:color w:val="auto"/>
          <w:highlight w:val="none"/>
        </w:rPr>
        <w:instrText xml:space="preserve"> HYPERLINK \l "_Toc1051554394" </w:instrText>
      </w:r>
      <w:r>
        <w:rPr>
          <w:color w:val="auto"/>
          <w:highlight w:val="none"/>
        </w:rPr>
        <w:fldChar w:fldCharType="separate"/>
      </w:r>
      <w:r>
        <w:rPr>
          <w:rFonts w:ascii="宋体" w:hAnsi="宋体"/>
          <w:color w:val="auto"/>
          <w:highlight w:val="none"/>
        </w:rPr>
        <w:t xml:space="preserve">第13条 </w:t>
      </w:r>
      <w:r>
        <w:rPr>
          <w:rFonts w:hint="eastAsia" w:ascii="宋体" w:hAnsi="宋体"/>
          <w:color w:val="auto"/>
          <w:highlight w:val="none"/>
        </w:rPr>
        <w:t>绿道建设行动</w:t>
      </w:r>
      <w:r>
        <w:rPr>
          <w:color w:val="auto"/>
          <w:highlight w:val="none"/>
        </w:rPr>
        <w:tab/>
      </w:r>
      <w:r>
        <w:rPr>
          <w:color w:val="auto"/>
          <w:highlight w:val="none"/>
        </w:rPr>
        <w:fldChar w:fldCharType="begin"/>
      </w:r>
      <w:r>
        <w:rPr>
          <w:color w:val="auto"/>
          <w:highlight w:val="none"/>
        </w:rPr>
        <w:instrText xml:space="preserve"> PAGEREF _Toc1051554394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15"/>
        <w:tabs>
          <w:tab w:val="right" w:leader="dot" w:pos="8306"/>
        </w:tabs>
        <w:ind w:left="480"/>
        <w:rPr>
          <w:rFonts w:hint="eastAsia"/>
          <w:color w:val="auto"/>
          <w:highlight w:val="none"/>
        </w:rPr>
      </w:pPr>
      <w:r>
        <w:rPr>
          <w:color w:val="auto"/>
          <w:highlight w:val="none"/>
        </w:rPr>
        <w:fldChar w:fldCharType="begin"/>
      </w:r>
      <w:r>
        <w:rPr>
          <w:color w:val="auto"/>
          <w:highlight w:val="none"/>
        </w:rPr>
        <w:instrText xml:space="preserve"> HYPERLINK \l "_Toc2078889669" </w:instrText>
      </w:r>
      <w:r>
        <w:rPr>
          <w:color w:val="auto"/>
          <w:highlight w:val="none"/>
        </w:rPr>
        <w:fldChar w:fldCharType="separate"/>
      </w:r>
      <w:r>
        <w:rPr>
          <w:rFonts w:hint="eastAsia" w:ascii="宋体" w:hAnsi="宋体"/>
          <w:color w:val="auto"/>
          <w:highlight w:val="none"/>
        </w:rPr>
        <w:t>第四章 规划实施保障</w:t>
      </w:r>
      <w:r>
        <w:rPr>
          <w:color w:val="auto"/>
          <w:highlight w:val="none"/>
        </w:rPr>
        <w:tab/>
      </w:r>
      <w:r>
        <w:rPr>
          <w:color w:val="auto"/>
          <w:highlight w:val="none"/>
        </w:rPr>
        <w:fldChar w:fldCharType="begin"/>
      </w:r>
      <w:r>
        <w:rPr>
          <w:color w:val="auto"/>
          <w:highlight w:val="none"/>
        </w:rPr>
        <w:instrText xml:space="preserve"> PAGEREF _Toc2078889669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4"/>
        <w:tabs>
          <w:tab w:val="right" w:leader="dot" w:pos="8306"/>
        </w:tabs>
        <w:ind w:left="1440"/>
        <w:rPr>
          <w:rFonts w:hint="eastAsia"/>
          <w:color w:val="auto"/>
          <w:highlight w:val="none"/>
        </w:rPr>
      </w:pPr>
      <w:r>
        <w:rPr>
          <w:color w:val="auto"/>
          <w:highlight w:val="none"/>
        </w:rPr>
        <w:fldChar w:fldCharType="begin"/>
      </w:r>
      <w:r>
        <w:rPr>
          <w:color w:val="auto"/>
          <w:highlight w:val="none"/>
        </w:rPr>
        <w:instrText xml:space="preserve"> HYPERLINK \l "_Toc1026426261" </w:instrText>
      </w:r>
      <w:r>
        <w:rPr>
          <w:color w:val="auto"/>
          <w:highlight w:val="none"/>
        </w:rPr>
        <w:fldChar w:fldCharType="separate"/>
      </w:r>
      <w:r>
        <w:rPr>
          <w:rFonts w:ascii="宋体" w:hAnsi="宋体"/>
          <w:color w:val="auto"/>
          <w:highlight w:val="none"/>
        </w:rPr>
        <w:t xml:space="preserve">第14条 </w:t>
      </w:r>
      <w:r>
        <w:rPr>
          <w:rFonts w:hint="eastAsia" w:ascii="宋体" w:hAnsi="宋体"/>
          <w:color w:val="auto"/>
          <w:highlight w:val="none"/>
        </w:rPr>
        <w:t>建立规划传导机制</w:t>
      </w:r>
      <w:r>
        <w:rPr>
          <w:color w:val="auto"/>
          <w:highlight w:val="none"/>
        </w:rPr>
        <w:tab/>
      </w:r>
      <w:r>
        <w:rPr>
          <w:color w:val="auto"/>
          <w:highlight w:val="none"/>
        </w:rPr>
        <w:fldChar w:fldCharType="begin"/>
      </w:r>
      <w:r>
        <w:rPr>
          <w:color w:val="auto"/>
          <w:highlight w:val="none"/>
        </w:rPr>
        <w:instrText xml:space="preserve"> PAGEREF _Toc1026426261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4"/>
        <w:tabs>
          <w:tab w:val="right" w:leader="dot" w:pos="8306"/>
        </w:tabs>
        <w:ind w:left="1440"/>
        <w:rPr>
          <w:rFonts w:hint="eastAsia"/>
          <w:color w:val="auto"/>
          <w:highlight w:val="none"/>
        </w:rPr>
      </w:pPr>
      <w:r>
        <w:rPr>
          <w:color w:val="auto"/>
          <w:highlight w:val="none"/>
        </w:rPr>
        <w:fldChar w:fldCharType="begin"/>
      </w:r>
      <w:r>
        <w:rPr>
          <w:color w:val="auto"/>
          <w:highlight w:val="none"/>
        </w:rPr>
        <w:instrText xml:space="preserve"> HYPERLINK \l "_Toc1763669310" </w:instrText>
      </w:r>
      <w:r>
        <w:rPr>
          <w:color w:val="auto"/>
          <w:highlight w:val="none"/>
        </w:rPr>
        <w:fldChar w:fldCharType="separate"/>
      </w:r>
      <w:r>
        <w:rPr>
          <w:rFonts w:ascii="宋体" w:hAnsi="宋体"/>
          <w:color w:val="auto"/>
          <w:highlight w:val="none"/>
        </w:rPr>
        <w:t xml:space="preserve">第15条 </w:t>
      </w:r>
      <w:r>
        <w:rPr>
          <w:rFonts w:hint="eastAsia" w:ascii="宋体" w:hAnsi="宋体"/>
          <w:color w:val="auto"/>
          <w:highlight w:val="none"/>
        </w:rPr>
        <w:t>完善协同共建机制</w:t>
      </w:r>
      <w:r>
        <w:rPr>
          <w:color w:val="auto"/>
          <w:highlight w:val="none"/>
        </w:rPr>
        <w:tab/>
      </w:r>
      <w:r>
        <w:rPr>
          <w:color w:val="auto"/>
          <w:highlight w:val="none"/>
        </w:rPr>
        <w:fldChar w:fldCharType="begin"/>
      </w:r>
      <w:r>
        <w:rPr>
          <w:color w:val="auto"/>
          <w:highlight w:val="none"/>
        </w:rPr>
        <w:instrText xml:space="preserve"> PAGEREF _Toc1763669310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4"/>
        <w:tabs>
          <w:tab w:val="right" w:leader="dot" w:pos="8306"/>
        </w:tabs>
        <w:ind w:left="1440"/>
        <w:rPr>
          <w:rFonts w:hint="eastAsia"/>
          <w:color w:val="auto"/>
          <w:highlight w:val="none"/>
        </w:rPr>
      </w:pPr>
      <w:r>
        <w:rPr>
          <w:color w:val="auto"/>
          <w:highlight w:val="none"/>
        </w:rPr>
        <w:fldChar w:fldCharType="begin"/>
      </w:r>
      <w:r>
        <w:rPr>
          <w:color w:val="auto"/>
          <w:highlight w:val="none"/>
        </w:rPr>
        <w:instrText xml:space="preserve"> HYPERLINK \l "_Toc1856906614" </w:instrText>
      </w:r>
      <w:r>
        <w:rPr>
          <w:color w:val="auto"/>
          <w:highlight w:val="none"/>
        </w:rPr>
        <w:fldChar w:fldCharType="separate"/>
      </w:r>
      <w:r>
        <w:rPr>
          <w:rFonts w:ascii="宋体" w:hAnsi="宋体"/>
          <w:color w:val="auto"/>
          <w:highlight w:val="none"/>
        </w:rPr>
        <w:t xml:space="preserve">第16条 </w:t>
      </w:r>
      <w:r>
        <w:rPr>
          <w:rFonts w:hint="eastAsia" w:ascii="宋体" w:hAnsi="宋体"/>
          <w:color w:val="auto"/>
          <w:highlight w:val="none"/>
        </w:rPr>
        <w:t>创新多元投入机制</w:t>
      </w:r>
      <w:r>
        <w:rPr>
          <w:color w:val="auto"/>
          <w:highlight w:val="none"/>
        </w:rPr>
        <w:tab/>
      </w:r>
      <w:r>
        <w:rPr>
          <w:color w:val="auto"/>
          <w:highlight w:val="none"/>
        </w:rPr>
        <w:fldChar w:fldCharType="begin"/>
      </w:r>
      <w:r>
        <w:rPr>
          <w:color w:val="auto"/>
          <w:highlight w:val="none"/>
        </w:rPr>
        <w:instrText xml:space="preserve"> PAGEREF _Toc1856906614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4"/>
        <w:tabs>
          <w:tab w:val="right" w:leader="dot" w:pos="8306"/>
        </w:tabs>
        <w:ind w:left="1440"/>
        <w:rPr>
          <w:rFonts w:hint="eastAsia"/>
          <w:color w:val="auto"/>
          <w:highlight w:val="none"/>
        </w:rPr>
      </w:pPr>
      <w:r>
        <w:rPr>
          <w:color w:val="auto"/>
          <w:highlight w:val="none"/>
        </w:rPr>
        <w:fldChar w:fldCharType="begin"/>
      </w:r>
      <w:r>
        <w:rPr>
          <w:color w:val="auto"/>
          <w:highlight w:val="none"/>
        </w:rPr>
        <w:instrText xml:space="preserve"> HYPERLINK \l "_Toc1772849836" </w:instrText>
      </w:r>
      <w:r>
        <w:rPr>
          <w:color w:val="auto"/>
          <w:highlight w:val="none"/>
        </w:rPr>
        <w:fldChar w:fldCharType="separate"/>
      </w:r>
      <w:r>
        <w:rPr>
          <w:rFonts w:ascii="宋体" w:hAnsi="宋体"/>
          <w:color w:val="auto"/>
          <w:highlight w:val="none"/>
        </w:rPr>
        <w:t xml:space="preserve">第17条 </w:t>
      </w:r>
      <w:r>
        <w:rPr>
          <w:rFonts w:hint="eastAsia" w:ascii="宋体" w:hAnsi="宋体"/>
          <w:color w:val="auto"/>
          <w:highlight w:val="none"/>
        </w:rPr>
        <w:t>加强绿道运营管理</w:t>
      </w:r>
      <w:r>
        <w:rPr>
          <w:color w:val="auto"/>
          <w:highlight w:val="none"/>
        </w:rPr>
        <w:tab/>
      </w:r>
      <w:r>
        <w:rPr>
          <w:color w:val="auto"/>
          <w:highlight w:val="none"/>
        </w:rPr>
        <w:fldChar w:fldCharType="begin"/>
      </w:r>
      <w:r>
        <w:rPr>
          <w:color w:val="auto"/>
          <w:highlight w:val="none"/>
        </w:rPr>
        <w:instrText xml:space="preserve"> PAGEREF _Toc1772849836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4"/>
        <w:tabs>
          <w:tab w:val="right" w:leader="dot" w:pos="8306"/>
        </w:tabs>
        <w:ind w:left="1440"/>
        <w:rPr>
          <w:rFonts w:hint="eastAsia"/>
          <w:color w:val="auto"/>
          <w:highlight w:val="none"/>
        </w:rPr>
      </w:pPr>
      <w:r>
        <w:rPr>
          <w:color w:val="auto"/>
          <w:highlight w:val="none"/>
        </w:rPr>
        <w:fldChar w:fldCharType="begin"/>
      </w:r>
      <w:r>
        <w:rPr>
          <w:color w:val="auto"/>
          <w:highlight w:val="none"/>
        </w:rPr>
        <w:instrText xml:space="preserve"> HYPERLINK \l "_Toc236739372" </w:instrText>
      </w:r>
      <w:r>
        <w:rPr>
          <w:color w:val="auto"/>
          <w:highlight w:val="none"/>
        </w:rPr>
        <w:fldChar w:fldCharType="separate"/>
      </w:r>
      <w:r>
        <w:rPr>
          <w:rFonts w:ascii="宋体" w:hAnsi="宋体"/>
          <w:color w:val="auto"/>
          <w:highlight w:val="none"/>
        </w:rPr>
        <w:t xml:space="preserve">第18条 </w:t>
      </w:r>
      <w:r>
        <w:rPr>
          <w:rFonts w:hint="eastAsia" w:ascii="宋体" w:hAnsi="宋体"/>
          <w:color w:val="auto"/>
          <w:highlight w:val="none"/>
        </w:rPr>
        <w:t>强化实施监督管理</w:t>
      </w:r>
      <w:r>
        <w:rPr>
          <w:color w:val="auto"/>
          <w:highlight w:val="none"/>
        </w:rPr>
        <w:tab/>
      </w:r>
      <w:r>
        <w:rPr>
          <w:color w:val="auto"/>
          <w:highlight w:val="none"/>
        </w:rPr>
        <w:fldChar w:fldCharType="begin"/>
      </w:r>
      <w:r>
        <w:rPr>
          <w:color w:val="auto"/>
          <w:highlight w:val="none"/>
        </w:rPr>
        <w:instrText xml:space="preserve"> PAGEREF _Toc236739372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4"/>
        <w:tabs>
          <w:tab w:val="right" w:leader="dot" w:pos="8306"/>
        </w:tabs>
        <w:ind w:left="1440"/>
        <w:rPr>
          <w:rFonts w:hint="eastAsia"/>
          <w:color w:val="auto"/>
          <w:highlight w:val="none"/>
        </w:rPr>
      </w:pPr>
      <w:r>
        <w:rPr>
          <w:color w:val="auto"/>
          <w:highlight w:val="none"/>
        </w:rPr>
        <w:fldChar w:fldCharType="begin"/>
      </w:r>
      <w:r>
        <w:rPr>
          <w:color w:val="auto"/>
          <w:highlight w:val="none"/>
        </w:rPr>
        <w:instrText xml:space="preserve"> HYPERLINK \l "_Toc525179315" </w:instrText>
      </w:r>
      <w:r>
        <w:rPr>
          <w:color w:val="auto"/>
          <w:highlight w:val="none"/>
        </w:rPr>
        <w:fldChar w:fldCharType="separate"/>
      </w:r>
      <w:r>
        <w:rPr>
          <w:rFonts w:ascii="宋体" w:hAnsi="宋体"/>
          <w:color w:val="auto"/>
          <w:highlight w:val="none"/>
        </w:rPr>
        <w:t xml:space="preserve">第19条 </w:t>
      </w:r>
      <w:r>
        <w:rPr>
          <w:rFonts w:hint="eastAsia" w:ascii="宋体" w:hAnsi="宋体"/>
          <w:color w:val="auto"/>
          <w:highlight w:val="none"/>
        </w:rPr>
        <w:t>积极引导公众参与</w:t>
      </w:r>
      <w:r>
        <w:rPr>
          <w:color w:val="auto"/>
          <w:highlight w:val="none"/>
        </w:rPr>
        <w:tab/>
      </w:r>
      <w:r>
        <w:rPr>
          <w:color w:val="auto"/>
          <w:highlight w:val="none"/>
        </w:rPr>
        <w:fldChar w:fldCharType="begin"/>
      </w:r>
      <w:r>
        <w:rPr>
          <w:color w:val="auto"/>
          <w:highlight w:val="none"/>
        </w:rPr>
        <w:instrText xml:space="preserve"> PAGEREF _Toc525179315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5"/>
        <w:tabs>
          <w:tab w:val="right" w:leader="dot" w:pos="8306"/>
        </w:tabs>
        <w:ind w:left="480"/>
        <w:rPr>
          <w:rFonts w:hint="eastAsia"/>
          <w:color w:val="auto"/>
          <w:highlight w:val="none"/>
        </w:rPr>
      </w:pPr>
      <w:r>
        <w:rPr>
          <w:color w:val="auto"/>
          <w:highlight w:val="none"/>
        </w:rPr>
        <w:fldChar w:fldCharType="begin"/>
      </w:r>
      <w:r>
        <w:rPr>
          <w:color w:val="auto"/>
          <w:highlight w:val="none"/>
        </w:rPr>
        <w:instrText xml:space="preserve"> HYPERLINK \l "_Toc665356267" </w:instrText>
      </w:r>
      <w:r>
        <w:rPr>
          <w:color w:val="auto"/>
          <w:highlight w:val="none"/>
        </w:rPr>
        <w:fldChar w:fldCharType="separate"/>
      </w:r>
      <w:r>
        <w:rPr>
          <w:rFonts w:hint="eastAsia" w:ascii="宋体" w:hAnsi="宋体"/>
          <w:color w:val="auto"/>
          <w:highlight w:val="none"/>
        </w:rPr>
        <w:t>附图</w:t>
      </w:r>
      <w:r>
        <w:rPr>
          <w:color w:val="auto"/>
          <w:highlight w:val="none"/>
        </w:rPr>
        <w:tab/>
      </w:r>
      <w:r>
        <w:rPr>
          <w:color w:val="auto"/>
          <w:highlight w:val="none"/>
        </w:rPr>
        <w:fldChar w:fldCharType="begin"/>
      </w:r>
      <w:r>
        <w:rPr>
          <w:color w:val="auto"/>
          <w:highlight w:val="none"/>
        </w:rPr>
        <w:instrText xml:space="preserve"> PAGEREF _Toc665356267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rPr>
          <w:rFonts w:hint="eastAsia" w:ascii="宋体" w:hAnsi="宋体"/>
          <w:color w:val="auto"/>
          <w:highlight w:val="none"/>
        </w:rPr>
        <w:sectPr>
          <w:footerReference r:id="rId5" w:type="default"/>
          <w:pgSz w:w="11906" w:h="16838"/>
          <w:pgMar w:top="1440" w:right="1800" w:bottom="1440" w:left="1800" w:header="851" w:footer="992" w:gutter="0"/>
          <w:pgNumType w:start="1"/>
          <w:cols w:space="425" w:num="1"/>
          <w:docGrid w:type="lines" w:linePitch="326" w:charSpace="0"/>
        </w:sectPr>
      </w:pPr>
      <w:r>
        <w:rPr>
          <w:rFonts w:ascii="宋体" w:hAnsi="宋体"/>
          <w:color w:val="auto"/>
          <w:highlight w:val="none"/>
        </w:rPr>
        <w:fldChar w:fldCharType="end"/>
      </w:r>
      <w:r>
        <w:rPr>
          <w:rFonts w:ascii="宋体" w:hAnsi="宋体"/>
          <w:color w:val="auto"/>
          <w:highlight w:val="none"/>
        </w:rPr>
        <w:tab/>
      </w:r>
    </w:p>
    <w:p>
      <w:pPr>
        <w:pStyle w:val="3"/>
        <w:jc w:val="center"/>
        <w:rPr>
          <w:rFonts w:hint="eastAsia" w:ascii="宋体" w:hAnsi="宋体" w:eastAsia="宋体"/>
          <w:color w:val="auto"/>
          <w:highlight w:val="none"/>
        </w:rPr>
      </w:pPr>
      <w:bookmarkStart w:id="1" w:name="_Toc1321793622"/>
      <w:bookmarkStart w:id="2" w:name="_Toc196313833"/>
      <w:r>
        <w:rPr>
          <w:rFonts w:hint="eastAsia" w:ascii="宋体" w:hAnsi="宋体" w:eastAsia="宋体"/>
          <w:color w:val="auto"/>
          <w:highlight w:val="none"/>
        </w:rPr>
        <w:t>第一章 总则</w:t>
      </w:r>
      <w:bookmarkEnd w:id="0"/>
      <w:bookmarkEnd w:id="1"/>
      <w:bookmarkEnd w:id="2"/>
    </w:p>
    <w:p>
      <w:pPr>
        <w:pStyle w:val="5"/>
        <w:numPr>
          <w:ilvl w:val="0"/>
          <w:numId w:val="1"/>
        </w:numPr>
        <w:rPr>
          <w:rFonts w:hint="eastAsia" w:ascii="宋体" w:hAnsi="宋体"/>
          <w:color w:val="auto"/>
          <w:highlight w:val="none"/>
        </w:rPr>
      </w:pPr>
      <w:bookmarkStart w:id="3" w:name="_Toc191459090"/>
      <w:bookmarkStart w:id="4" w:name="_Toc2114272138"/>
      <w:bookmarkStart w:id="5" w:name="_Toc196313834"/>
      <w:r>
        <w:rPr>
          <w:rFonts w:hint="eastAsia" w:ascii="宋体" w:hAnsi="宋体"/>
          <w:color w:val="auto"/>
          <w:highlight w:val="none"/>
        </w:rPr>
        <w:t>指导思想</w:t>
      </w:r>
      <w:bookmarkEnd w:id="3"/>
      <w:bookmarkEnd w:id="4"/>
      <w:bookmarkEnd w:id="5"/>
    </w:p>
    <w:p>
      <w:pPr>
        <w:ind w:firstLine="480" w:firstLineChars="200"/>
        <w:rPr>
          <w:rFonts w:hint="eastAsia" w:ascii="宋体" w:hAnsi="宋体"/>
          <w:color w:val="auto"/>
          <w:highlight w:val="none"/>
        </w:rPr>
      </w:pPr>
      <w:bookmarkStart w:id="6" w:name="_Hlk193355703"/>
      <w:r>
        <w:rPr>
          <w:rFonts w:hint="eastAsia" w:ascii="宋体" w:hAnsi="宋体"/>
          <w:color w:val="auto"/>
          <w:highlight w:val="none"/>
        </w:rPr>
        <w:t>坚持以习近平新时代中国特色社会主义思想为指导，牢固树立绿水青山就是金山银山理念，深入贯彻落实习近平总书记对杭州工作的系列重要指示和批示精神，紧扣“四个杭州”定位和“四个世界一流”要求，着力构建蓝绿生态网络、促进绿色健康生活、展现杭州独特韵味，全力打造蓝绿交织、全域贯通、三生融合、城乡共美的现代化绿道网络体系，为杭州建设人与自然和谐共生的宜居城市、打造“美丽中国杭州样板”、建设世界一流的生态文明之都和社会主义现代化国际大都市提供有力支撑。</w:t>
      </w:r>
    </w:p>
    <w:p>
      <w:pPr>
        <w:pStyle w:val="5"/>
        <w:numPr>
          <w:ilvl w:val="0"/>
          <w:numId w:val="1"/>
        </w:numPr>
        <w:rPr>
          <w:rFonts w:hint="eastAsia" w:ascii="宋体" w:hAnsi="宋体"/>
          <w:color w:val="auto"/>
          <w:highlight w:val="none"/>
        </w:rPr>
      </w:pPr>
      <w:bookmarkStart w:id="7" w:name="_Toc196313835"/>
      <w:bookmarkStart w:id="8" w:name="_Toc1467530356"/>
      <w:r>
        <w:rPr>
          <w:rFonts w:hint="eastAsia" w:ascii="宋体" w:hAnsi="宋体"/>
          <w:color w:val="auto"/>
          <w:highlight w:val="none"/>
        </w:rPr>
        <w:t>规划依据</w:t>
      </w:r>
      <w:bookmarkEnd w:id="7"/>
      <w:bookmarkEnd w:id="8"/>
    </w:p>
    <w:p>
      <w:pPr>
        <w:pStyle w:val="25"/>
        <w:numPr>
          <w:ilvl w:val="0"/>
          <w:numId w:val="2"/>
        </w:numPr>
        <w:ind w:firstLineChars="0"/>
        <w:rPr>
          <w:rFonts w:hint="eastAsia" w:ascii="宋体" w:hAnsi="宋体"/>
          <w:color w:val="auto"/>
          <w:highlight w:val="none"/>
        </w:rPr>
      </w:pPr>
      <w:r>
        <w:rPr>
          <w:rFonts w:hint="eastAsia" w:ascii="宋体" w:hAnsi="宋体"/>
          <w:color w:val="auto"/>
          <w:highlight w:val="none"/>
        </w:rPr>
        <w:t>《中华人民共和国城乡规划法》（</w:t>
      </w:r>
      <w:r>
        <w:rPr>
          <w:rFonts w:ascii="宋体" w:hAnsi="宋体"/>
          <w:color w:val="auto"/>
          <w:highlight w:val="none"/>
        </w:rPr>
        <w:t>2019 修正）；</w:t>
      </w:r>
    </w:p>
    <w:p>
      <w:pPr>
        <w:pStyle w:val="25"/>
        <w:numPr>
          <w:ilvl w:val="0"/>
          <w:numId w:val="2"/>
        </w:numPr>
        <w:ind w:firstLineChars="0"/>
        <w:rPr>
          <w:rFonts w:hint="eastAsia" w:ascii="宋体" w:hAnsi="宋体"/>
          <w:color w:val="auto"/>
          <w:highlight w:val="none"/>
        </w:rPr>
      </w:pPr>
      <w:r>
        <w:rPr>
          <w:rFonts w:hint="eastAsia" w:ascii="宋体" w:hAnsi="宋体"/>
          <w:color w:val="auto"/>
          <w:highlight w:val="none"/>
        </w:rPr>
        <w:t>《中华人民共和国土地管理法》（</w:t>
      </w:r>
      <w:r>
        <w:rPr>
          <w:rFonts w:ascii="宋体" w:hAnsi="宋体"/>
          <w:color w:val="auto"/>
          <w:highlight w:val="none"/>
        </w:rPr>
        <w:t>2019 修正）；</w:t>
      </w:r>
    </w:p>
    <w:p>
      <w:pPr>
        <w:pStyle w:val="25"/>
        <w:numPr>
          <w:ilvl w:val="0"/>
          <w:numId w:val="2"/>
        </w:numPr>
        <w:ind w:firstLineChars="0"/>
        <w:rPr>
          <w:rFonts w:hint="eastAsia" w:ascii="宋体" w:hAnsi="宋体"/>
          <w:color w:val="auto"/>
          <w:highlight w:val="none"/>
        </w:rPr>
      </w:pPr>
      <w:r>
        <w:rPr>
          <w:rFonts w:hint="eastAsia" w:ascii="宋体" w:hAnsi="宋体"/>
          <w:color w:val="auto"/>
          <w:highlight w:val="none"/>
        </w:rPr>
        <w:t>《杭州市国土空间总体规划（</w:t>
      </w:r>
      <w:r>
        <w:rPr>
          <w:rFonts w:ascii="宋体" w:hAnsi="宋体"/>
          <w:color w:val="auto"/>
          <w:highlight w:val="none"/>
        </w:rPr>
        <w:t>2021-2035年）》；</w:t>
      </w:r>
    </w:p>
    <w:p>
      <w:pPr>
        <w:pStyle w:val="25"/>
        <w:numPr>
          <w:ilvl w:val="0"/>
          <w:numId w:val="2"/>
        </w:numPr>
        <w:ind w:firstLineChars="0"/>
        <w:rPr>
          <w:rFonts w:hint="eastAsia" w:ascii="宋体" w:hAnsi="宋体"/>
          <w:color w:val="auto"/>
          <w:highlight w:val="none"/>
        </w:rPr>
      </w:pPr>
      <w:r>
        <w:rPr>
          <w:rFonts w:hint="eastAsia" w:ascii="宋体" w:hAnsi="宋体"/>
          <w:color w:val="auto"/>
          <w:highlight w:val="none"/>
        </w:rPr>
        <w:t>《杭州市园林绿化“十四五”规划》；</w:t>
      </w:r>
    </w:p>
    <w:p>
      <w:pPr>
        <w:pStyle w:val="25"/>
        <w:numPr>
          <w:ilvl w:val="0"/>
          <w:numId w:val="2"/>
        </w:numPr>
        <w:ind w:firstLineChars="0"/>
        <w:rPr>
          <w:rFonts w:hint="eastAsia" w:ascii="宋体" w:hAnsi="宋体"/>
          <w:color w:val="auto"/>
          <w:highlight w:val="none"/>
        </w:rPr>
      </w:pPr>
      <w:r>
        <w:rPr>
          <w:rFonts w:hint="eastAsia" w:ascii="宋体" w:hAnsi="宋体"/>
          <w:color w:val="auto"/>
          <w:highlight w:val="none"/>
        </w:rPr>
        <w:t>《杭州市综合交通发展“十四五”规划》；</w:t>
      </w:r>
    </w:p>
    <w:p>
      <w:pPr>
        <w:pStyle w:val="25"/>
        <w:numPr>
          <w:ilvl w:val="0"/>
          <w:numId w:val="2"/>
        </w:numPr>
        <w:ind w:firstLineChars="0"/>
        <w:rPr>
          <w:rFonts w:hint="eastAsia" w:ascii="宋体" w:hAnsi="宋体"/>
          <w:color w:val="auto"/>
          <w:highlight w:val="none"/>
        </w:rPr>
      </w:pPr>
      <w:r>
        <w:rPr>
          <w:rFonts w:hint="eastAsia" w:ascii="宋体" w:hAnsi="宋体"/>
          <w:color w:val="auto"/>
          <w:highlight w:val="none"/>
        </w:rPr>
        <w:t>《杭州市总体城市设计（修编）（</w:t>
      </w:r>
      <w:r>
        <w:rPr>
          <w:rFonts w:ascii="宋体" w:hAnsi="宋体"/>
          <w:color w:val="auto"/>
          <w:highlight w:val="none"/>
        </w:rPr>
        <w:t>2018-2035年）》；</w:t>
      </w:r>
    </w:p>
    <w:p>
      <w:pPr>
        <w:pStyle w:val="25"/>
        <w:numPr>
          <w:ilvl w:val="0"/>
          <w:numId w:val="2"/>
        </w:numPr>
        <w:ind w:firstLineChars="0"/>
        <w:rPr>
          <w:rFonts w:hint="eastAsia" w:ascii="宋体" w:hAnsi="宋体"/>
          <w:color w:val="auto"/>
          <w:highlight w:val="none"/>
        </w:rPr>
      </w:pPr>
      <w:r>
        <w:rPr>
          <w:rFonts w:hint="eastAsia" w:ascii="宋体" w:hAnsi="宋体"/>
          <w:color w:val="auto"/>
          <w:highlight w:val="none"/>
        </w:rPr>
        <w:t>《杭州市域绿道系统近期专项规划及建设机制研究》（</w:t>
      </w:r>
      <w:r>
        <w:rPr>
          <w:rFonts w:ascii="宋体" w:hAnsi="宋体"/>
          <w:color w:val="auto"/>
          <w:highlight w:val="none"/>
        </w:rPr>
        <w:t>2019年）；</w:t>
      </w:r>
    </w:p>
    <w:p>
      <w:pPr>
        <w:pStyle w:val="25"/>
        <w:numPr>
          <w:ilvl w:val="0"/>
          <w:numId w:val="2"/>
        </w:numPr>
        <w:ind w:firstLineChars="0"/>
        <w:rPr>
          <w:rFonts w:hint="eastAsia" w:ascii="宋体" w:hAnsi="宋体"/>
          <w:color w:val="auto"/>
          <w:highlight w:val="none"/>
        </w:rPr>
      </w:pPr>
      <w:r>
        <w:rPr>
          <w:rFonts w:hint="eastAsia" w:ascii="宋体" w:hAnsi="宋体"/>
          <w:color w:val="auto"/>
          <w:highlight w:val="none"/>
        </w:rPr>
        <w:t>《浙江省省级绿道网布局规划修编》（</w:t>
      </w:r>
      <w:r>
        <w:rPr>
          <w:rFonts w:ascii="宋体" w:hAnsi="宋体"/>
          <w:color w:val="auto"/>
          <w:highlight w:val="none"/>
        </w:rPr>
        <w:t>2021-2035年）；</w:t>
      </w:r>
    </w:p>
    <w:p>
      <w:pPr>
        <w:pStyle w:val="25"/>
        <w:numPr>
          <w:ilvl w:val="0"/>
          <w:numId w:val="2"/>
        </w:numPr>
        <w:ind w:firstLineChars="0"/>
        <w:rPr>
          <w:rFonts w:hint="eastAsia" w:ascii="宋体" w:hAnsi="宋体"/>
          <w:color w:val="auto"/>
          <w:highlight w:val="none"/>
        </w:rPr>
      </w:pPr>
      <w:r>
        <w:rPr>
          <w:rFonts w:hint="eastAsia" w:ascii="宋体" w:hAnsi="宋体"/>
          <w:color w:val="auto"/>
          <w:highlight w:val="none"/>
        </w:rPr>
        <w:t>《</w:t>
      </w:r>
      <w:bookmarkStart w:id="9" w:name="_Hlk193907263"/>
      <w:r>
        <w:rPr>
          <w:rFonts w:hint="eastAsia" w:ascii="宋体" w:hAnsi="宋体"/>
          <w:color w:val="auto"/>
          <w:highlight w:val="none"/>
        </w:rPr>
        <w:t>浙江省绿道规划设计</w:t>
      </w:r>
      <w:bookmarkStart w:id="10" w:name="OLE_LINK15"/>
      <w:r>
        <w:rPr>
          <w:rFonts w:hint="eastAsia" w:ascii="宋体" w:hAnsi="宋体"/>
          <w:color w:val="auto"/>
          <w:highlight w:val="none"/>
        </w:rPr>
        <w:t>技术导则</w:t>
      </w:r>
      <w:bookmarkEnd w:id="9"/>
      <w:bookmarkEnd w:id="10"/>
      <w:r>
        <w:rPr>
          <w:rFonts w:hint="eastAsia" w:ascii="宋体" w:hAnsi="宋体"/>
          <w:color w:val="auto"/>
          <w:highlight w:val="none"/>
        </w:rPr>
        <w:t>（</w:t>
      </w:r>
      <w:r>
        <w:rPr>
          <w:rFonts w:ascii="宋体" w:hAnsi="宋体"/>
          <w:color w:val="auto"/>
          <w:highlight w:val="none"/>
        </w:rPr>
        <w:t>202</w:t>
      </w:r>
      <w:r>
        <w:rPr>
          <w:rFonts w:hint="eastAsia" w:ascii="宋体" w:hAnsi="宋体"/>
          <w:color w:val="auto"/>
          <w:highlight w:val="none"/>
        </w:rPr>
        <w:t>0</w:t>
      </w:r>
      <w:r>
        <w:rPr>
          <w:rFonts w:ascii="宋体" w:hAnsi="宋体"/>
          <w:color w:val="auto"/>
          <w:highlight w:val="none"/>
        </w:rPr>
        <w:t>年</w:t>
      </w:r>
      <w:r>
        <w:rPr>
          <w:rFonts w:hint="eastAsia" w:ascii="宋体" w:hAnsi="宋体"/>
          <w:color w:val="auto"/>
          <w:highlight w:val="none"/>
        </w:rPr>
        <w:t>修订版</w:t>
      </w:r>
      <w:r>
        <w:rPr>
          <w:rFonts w:ascii="宋体" w:hAnsi="宋体"/>
          <w:color w:val="auto"/>
          <w:highlight w:val="none"/>
        </w:rPr>
        <w:t>）</w:t>
      </w:r>
      <w:r>
        <w:rPr>
          <w:rFonts w:hint="eastAsia" w:ascii="宋体" w:hAnsi="宋体"/>
          <w:color w:val="auto"/>
          <w:highlight w:val="none"/>
        </w:rPr>
        <w:t>》</w:t>
      </w:r>
      <w:r>
        <w:rPr>
          <w:rFonts w:ascii="宋体" w:hAnsi="宋体"/>
          <w:color w:val="auto"/>
          <w:highlight w:val="none"/>
        </w:rPr>
        <w:t>；</w:t>
      </w:r>
    </w:p>
    <w:p>
      <w:pPr>
        <w:pStyle w:val="25"/>
        <w:numPr>
          <w:ilvl w:val="0"/>
          <w:numId w:val="2"/>
        </w:numPr>
        <w:ind w:firstLineChars="0"/>
        <w:rPr>
          <w:rFonts w:hint="eastAsia" w:ascii="宋体" w:hAnsi="宋体"/>
          <w:color w:val="auto"/>
          <w:highlight w:val="none"/>
        </w:rPr>
      </w:pPr>
      <w:r>
        <w:rPr>
          <w:rFonts w:hint="eastAsia" w:ascii="宋体" w:hAnsi="宋体"/>
          <w:color w:val="auto"/>
          <w:highlight w:val="none"/>
        </w:rPr>
        <w:t>《绿道规划设计导则》（2</w:t>
      </w:r>
      <w:r>
        <w:rPr>
          <w:rFonts w:ascii="宋体" w:hAnsi="宋体"/>
          <w:color w:val="auto"/>
          <w:highlight w:val="none"/>
        </w:rPr>
        <w:t>016</w:t>
      </w:r>
      <w:r>
        <w:rPr>
          <w:rFonts w:hint="eastAsia" w:ascii="宋体" w:hAnsi="宋体"/>
          <w:color w:val="auto"/>
          <w:highlight w:val="none"/>
        </w:rPr>
        <w:t>年）；</w:t>
      </w:r>
    </w:p>
    <w:p>
      <w:pPr>
        <w:pStyle w:val="25"/>
        <w:numPr>
          <w:ilvl w:val="0"/>
          <w:numId w:val="2"/>
        </w:numPr>
        <w:ind w:firstLineChars="0"/>
        <w:rPr>
          <w:rFonts w:hint="eastAsia" w:ascii="宋体" w:hAnsi="宋体"/>
          <w:color w:val="auto"/>
          <w:highlight w:val="none"/>
        </w:rPr>
      </w:pPr>
      <w:r>
        <w:rPr>
          <w:rFonts w:hint="eastAsia" w:ascii="宋体" w:hAnsi="宋体"/>
          <w:color w:val="auto"/>
          <w:highlight w:val="none"/>
        </w:rPr>
        <w:t>《杭州市城乡风貌整治提升行动方案》；</w:t>
      </w:r>
    </w:p>
    <w:p>
      <w:pPr>
        <w:pStyle w:val="25"/>
        <w:numPr>
          <w:ilvl w:val="0"/>
          <w:numId w:val="2"/>
        </w:numPr>
        <w:ind w:firstLineChars="0"/>
        <w:rPr>
          <w:rFonts w:hint="eastAsia" w:ascii="宋体" w:hAnsi="宋体"/>
          <w:color w:val="auto"/>
          <w:highlight w:val="none"/>
        </w:rPr>
      </w:pPr>
      <w:r>
        <w:rPr>
          <w:rFonts w:hint="eastAsia" w:ascii="宋体" w:hAnsi="宋体"/>
          <w:color w:val="auto"/>
          <w:highlight w:val="none"/>
        </w:rPr>
        <w:t>《杭州市综合交通专项规划（</w:t>
      </w:r>
      <w:r>
        <w:rPr>
          <w:rFonts w:ascii="宋体" w:hAnsi="宋体"/>
          <w:color w:val="auto"/>
          <w:highlight w:val="none"/>
        </w:rPr>
        <w:t>2021-2035年）》；</w:t>
      </w:r>
    </w:p>
    <w:p>
      <w:pPr>
        <w:pStyle w:val="25"/>
        <w:numPr>
          <w:ilvl w:val="0"/>
          <w:numId w:val="2"/>
        </w:numPr>
        <w:ind w:firstLineChars="0"/>
        <w:rPr>
          <w:rFonts w:hint="eastAsia" w:ascii="宋体" w:hAnsi="宋体"/>
          <w:color w:val="auto"/>
          <w:highlight w:val="none"/>
        </w:rPr>
      </w:pPr>
      <w:r>
        <w:rPr>
          <w:rFonts w:hint="eastAsia" w:ascii="宋体" w:hAnsi="宋体"/>
          <w:color w:val="auto"/>
          <w:highlight w:val="none"/>
        </w:rPr>
        <w:t>《杭州市绿地系统规划（修编）（</w:t>
      </w:r>
      <w:r>
        <w:rPr>
          <w:rFonts w:ascii="宋体" w:hAnsi="宋体"/>
          <w:color w:val="auto"/>
          <w:highlight w:val="none"/>
        </w:rPr>
        <w:t>2021-2035年）》；</w:t>
      </w:r>
    </w:p>
    <w:p>
      <w:pPr>
        <w:pStyle w:val="25"/>
        <w:numPr>
          <w:ilvl w:val="0"/>
          <w:numId w:val="2"/>
        </w:numPr>
        <w:ind w:firstLineChars="0"/>
        <w:rPr>
          <w:rFonts w:hint="eastAsia" w:ascii="宋体" w:hAnsi="宋体"/>
          <w:color w:val="auto"/>
          <w:highlight w:val="none"/>
        </w:rPr>
      </w:pPr>
      <w:r>
        <w:rPr>
          <w:rFonts w:hint="eastAsia" w:ascii="宋体" w:hAnsi="宋体"/>
          <w:color w:val="auto"/>
          <w:highlight w:val="none"/>
        </w:rPr>
        <w:t>《杭州市绿道系统建设技术导则（试行）》；</w:t>
      </w:r>
    </w:p>
    <w:p>
      <w:pPr>
        <w:pStyle w:val="25"/>
        <w:numPr>
          <w:ilvl w:val="0"/>
          <w:numId w:val="2"/>
        </w:numPr>
        <w:ind w:firstLineChars="0"/>
        <w:rPr>
          <w:rFonts w:hint="eastAsia" w:ascii="宋体" w:hAnsi="宋体"/>
          <w:color w:val="auto"/>
          <w:highlight w:val="none"/>
        </w:rPr>
      </w:pPr>
      <w:r>
        <w:rPr>
          <w:rFonts w:hint="eastAsia" w:ascii="宋体" w:hAnsi="宋体"/>
          <w:color w:val="auto"/>
          <w:highlight w:val="none"/>
        </w:rPr>
        <w:t>《杭州市城市绿道系统规划（</w:t>
      </w:r>
      <w:r>
        <w:rPr>
          <w:rFonts w:ascii="宋体" w:hAnsi="宋体"/>
          <w:color w:val="auto"/>
          <w:highlight w:val="none"/>
        </w:rPr>
        <w:t>2012-2020年）》</w:t>
      </w:r>
      <w:r>
        <w:rPr>
          <w:rFonts w:hint="eastAsia" w:ascii="宋体" w:hAnsi="宋体"/>
          <w:color w:val="auto"/>
          <w:highlight w:val="none"/>
        </w:rPr>
        <w:t>；</w:t>
      </w:r>
    </w:p>
    <w:p>
      <w:pPr>
        <w:pStyle w:val="25"/>
        <w:numPr>
          <w:ilvl w:val="0"/>
          <w:numId w:val="2"/>
        </w:numPr>
        <w:ind w:firstLineChars="0"/>
        <w:rPr>
          <w:rFonts w:hint="eastAsia" w:ascii="宋体" w:hAnsi="宋体"/>
          <w:color w:val="auto"/>
          <w:highlight w:val="none"/>
        </w:rPr>
      </w:pPr>
      <w:r>
        <w:rPr>
          <w:rFonts w:hint="eastAsia" w:ascii="宋体" w:hAnsi="宋体"/>
          <w:color w:val="auto"/>
          <w:highlight w:val="none"/>
        </w:rPr>
        <w:t>《杭州市建成区道路绿视率研究与规划（</w:t>
      </w:r>
      <w:r>
        <w:rPr>
          <w:rFonts w:ascii="宋体" w:hAnsi="宋体"/>
          <w:color w:val="auto"/>
          <w:highlight w:val="none"/>
        </w:rPr>
        <w:t>2023-2035年）》</w:t>
      </w:r>
      <w:r>
        <w:rPr>
          <w:rFonts w:hint="eastAsia" w:ascii="宋体" w:hAnsi="宋体"/>
          <w:color w:val="auto"/>
          <w:highlight w:val="none"/>
        </w:rPr>
        <w:t>；</w:t>
      </w:r>
    </w:p>
    <w:p>
      <w:pPr>
        <w:pStyle w:val="25"/>
        <w:numPr>
          <w:ilvl w:val="0"/>
          <w:numId w:val="2"/>
        </w:numPr>
        <w:ind w:firstLineChars="0"/>
        <w:rPr>
          <w:rFonts w:hint="eastAsia" w:ascii="宋体" w:hAnsi="宋体"/>
          <w:color w:val="auto"/>
          <w:highlight w:val="none"/>
        </w:rPr>
      </w:pPr>
      <w:r>
        <w:rPr>
          <w:rFonts w:hint="eastAsia" w:ascii="宋体" w:hAnsi="宋体"/>
          <w:color w:val="auto"/>
          <w:highlight w:val="none"/>
        </w:rPr>
        <w:t>《杭州市林荫道设计导则（试行）》；</w:t>
      </w:r>
    </w:p>
    <w:p>
      <w:pPr>
        <w:pStyle w:val="25"/>
        <w:numPr>
          <w:ilvl w:val="0"/>
          <w:numId w:val="2"/>
        </w:numPr>
        <w:ind w:firstLineChars="0"/>
        <w:rPr>
          <w:rFonts w:hint="eastAsia" w:ascii="宋体" w:hAnsi="宋体"/>
          <w:color w:val="auto"/>
          <w:highlight w:val="none"/>
        </w:rPr>
      </w:pPr>
      <w:r>
        <w:rPr>
          <w:rFonts w:hint="eastAsia" w:ascii="宋体" w:hAnsi="宋体"/>
          <w:color w:val="auto"/>
          <w:highlight w:val="none"/>
        </w:rPr>
        <w:t>《杭州市林荫道系统专项规划（</w:t>
      </w:r>
      <w:r>
        <w:rPr>
          <w:rFonts w:ascii="宋体" w:hAnsi="宋体"/>
          <w:color w:val="auto"/>
          <w:highlight w:val="none"/>
        </w:rPr>
        <w:t>2021-2035年）》；</w:t>
      </w:r>
    </w:p>
    <w:p>
      <w:pPr>
        <w:pStyle w:val="25"/>
        <w:numPr>
          <w:ilvl w:val="0"/>
          <w:numId w:val="2"/>
        </w:numPr>
        <w:ind w:firstLineChars="0"/>
        <w:rPr>
          <w:rFonts w:hint="eastAsia" w:ascii="宋体" w:hAnsi="宋体"/>
          <w:color w:val="auto"/>
          <w:highlight w:val="none"/>
        </w:rPr>
      </w:pPr>
      <w:r>
        <w:rPr>
          <w:rFonts w:hint="eastAsia" w:ascii="宋体" w:hAnsi="宋体"/>
          <w:color w:val="auto"/>
          <w:highlight w:val="none"/>
        </w:rPr>
        <w:t>《钱塘江绿道系统与公共空间专项规划（</w:t>
      </w:r>
      <w:r>
        <w:rPr>
          <w:rFonts w:ascii="宋体" w:hAnsi="宋体"/>
          <w:color w:val="auto"/>
          <w:highlight w:val="none"/>
        </w:rPr>
        <w:t>2018-2035年）》；</w:t>
      </w:r>
    </w:p>
    <w:p>
      <w:pPr>
        <w:pStyle w:val="25"/>
        <w:numPr>
          <w:ilvl w:val="0"/>
          <w:numId w:val="2"/>
        </w:numPr>
        <w:ind w:firstLineChars="0"/>
        <w:rPr>
          <w:rFonts w:hint="eastAsia" w:ascii="宋体" w:hAnsi="宋体"/>
          <w:color w:val="auto"/>
          <w:highlight w:val="none"/>
        </w:rPr>
      </w:pPr>
      <w:r>
        <w:rPr>
          <w:rFonts w:hint="eastAsia" w:ascii="宋体" w:hAnsi="宋体"/>
          <w:color w:val="auto"/>
          <w:highlight w:val="none"/>
        </w:rPr>
        <w:t>《杭州市绕城生态廊道专项规划》（2</w:t>
      </w:r>
      <w:r>
        <w:rPr>
          <w:rFonts w:ascii="宋体" w:hAnsi="宋体"/>
          <w:color w:val="auto"/>
          <w:highlight w:val="none"/>
        </w:rPr>
        <w:t>023</w:t>
      </w:r>
      <w:r>
        <w:rPr>
          <w:rFonts w:hint="eastAsia" w:ascii="宋体" w:hAnsi="宋体"/>
          <w:color w:val="auto"/>
          <w:highlight w:val="none"/>
        </w:rPr>
        <w:t>年）；</w:t>
      </w:r>
    </w:p>
    <w:p>
      <w:pPr>
        <w:pStyle w:val="25"/>
        <w:numPr>
          <w:ilvl w:val="0"/>
          <w:numId w:val="2"/>
        </w:numPr>
        <w:ind w:firstLineChars="0"/>
        <w:rPr>
          <w:rFonts w:hint="eastAsia" w:ascii="宋体" w:hAnsi="宋体"/>
          <w:color w:val="auto"/>
          <w:highlight w:val="none"/>
        </w:rPr>
      </w:pPr>
      <w:r>
        <w:rPr>
          <w:rFonts w:hint="eastAsia" w:ascii="宋体" w:hAnsi="宋体"/>
          <w:color w:val="auto"/>
          <w:highlight w:val="none"/>
        </w:rPr>
        <w:t>《杭州市城市更新专项规划（</w:t>
      </w:r>
      <w:r>
        <w:rPr>
          <w:rFonts w:ascii="宋体" w:hAnsi="宋体"/>
          <w:color w:val="auto"/>
          <w:highlight w:val="none"/>
        </w:rPr>
        <w:t>2023-2035年）</w:t>
      </w:r>
      <w:r>
        <w:rPr>
          <w:rFonts w:hint="eastAsia" w:ascii="宋体" w:hAnsi="宋体"/>
          <w:color w:val="auto"/>
          <w:highlight w:val="none"/>
        </w:rPr>
        <w:t>》；</w:t>
      </w:r>
    </w:p>
    <w:p>
      <w:pPr>
        <w:pStyle w:val="25"/>
        <w:numPr>
          <w:ilvl w:val="0"/>
          <w:numId w:val="2"/>
        </w:numPr>
        <w:ind w:firstLineChars="0"/>
        <w:rPr>
          <w:rFonts w:ascii="宋体" w:hAnsi="宋体"/>
          <w:color w:val="auto"/>
          <w:highlight w:val="none"/>
        </w:rPr>
      </w:pPr>
      <w:r>
        <w:rPr>
          <w:rFonts w:hint="eastAsia" w:ascii="宋体" w:hAnsi="宋体"/>
          <w:color w:val="auto"/>
          <w:highlight w:val="none"/>
          <w:lang w:eastAsia="zh-CN"/>
        </w:rPr>
        <w:t>杭州市各区、县（市）</w:t>
      </w:r>
      <w:r>
        <w:rPr>
          <w:rFonts w:hint="eastAsia" w:ascii="宋体" w:hAnsi="宋体"/>
          <w:color w:val="auto"/>
          <w:highlight w:val="none"/>
        </w:rPr>
        <w:t>《“县城-中心镇-重点村”发展轴空间专项规划》；</w:t>
      </w:r>
    </w:p>
    <w:p>
      <w:pPr>
        <w:pStyle w:val="25"/>
        <w:numPr>
          <w:ilvl w:val="0"/>
          <w:numId w:val="2"/>
        </w:numPr>
        <w:ind w:firstLineChars="0"/>
        <w:rPr>
          <w:rFonts w:ascii="宋体" w:hAnsi="宋体"/>
          <w:color w:val="auto"/>
          <w:highlight w:val="none"/>
        </w:rPr>
      </w:pPr>
      <w:r>
        <w:rPr>
          <w:rFonts w:hint="eastAsia" w:ascii="宋体" w:hAnsi="宋体"/>
          <w:color w:val="auto"/>
          <w:highlight w:val="none"/>
        </w:rPr>
        <w:t>杭州市各区、县（市）绿道</w:t>
      </w:r>
      <w:r>
        <w:rPr>
          <w:rFonts w:hint="eastAsia" w:ascii="宋体" w:hAnsi="宋体"/>
          <w:color w:val="auto"/>
          <w:highlight w:val="none"/>
          <w:lang w:eastAsia="zh-CN"/>
        </w:rPr>
        <w:t>网</w:t>
      </w:r>
      <w:r>
        <w:rPr>
          <w:rFonts w:hint="eastAsia" w:ascii="宋体" w:hAnsi="宋体"/>
          <w:color w:val="auto"/>
          <w:highlight w:val="none"/>
        </w:rPr>
        <w:t>专项规划；</w:t>
      </w:r>
    </w:p>
    <w:p>
      <w:pPr>
        <w:pStyle w:val="25"/>
        <w:numPr>
          <w:ilvl w:val="0"/>
          <w:numId w:val="2"/>
        </w:numPr>
        <w:ind w:firstLineChars="0"/>
        <w:rPr>
          <w:rFonts w:hint="eastAsia" w:ascii="宋体" w:hAnsi="宋体"/>
          <w:color w:val="auto"/>
          <w:highlight w:val="none"/>
        </w:rPr>
      </w:pPr>
      <w:r>
        <w:rPr>
          <w:rFonts w:hint="eastAsia" w:ascii="宋体" w:hAnsi="宋体"/>
          <w:color w:val="auto"/>
          <w:highlight w:val="none"/>
        </w:rPr>
        <w:t>其他国家、省、市相关法律、法规、技术规范等。</w:t>
      </w:r>
      <w:bookmarkEnd w:id="6"/>
    </w:p>
    <w:p>
      <w:pPr>
        <w:pStyle w:val="5"/>
        <w:numPr>
          <w:ilvl w:val="0"/>
          <w:numId w:val="1"/>
        </w:numPr>
        <w:rPr>
          <w:rFonts w:hint="eastAsia" w:ascii="宋体" w:hAnsi="宋体"/>
          <w:color w:val="auto"/>
          <w:highlight w:val="none"/>
        </w:rPr>
      </w:pPr>
      <w:bookmarkStart w:id="11" w:name="_Toc191459091"/>
      <w:bookmarkStart w:id="12" w:name="_Toc196313836"/>
      <w:bookmarkStart w:id="13" w:name="_Toc663326000"/>
      <w:r>
        <w:rPr>
          <w:rFonts w:hint="eastAsia" w:ascii="宋体" w:hAnsi="宋体"/>
          <w:color w:val="auto"/>
          <w:highlight w:val="none"/>
        </w:rPr>
        <w:t>规划原则</w:t>
      </w:r>
      <w:bookmarkEnd w:id="11"/>
      <w:bookmarkEnd w:id="12"/>
      <w:bookmarkEnd w:id="13"/>
    </w:p>
    <w:p>
      <w:pPr>
        <w:ind w:firstLine="481" w:firstLineChars="200"/>
        <w:rPr>
          <w:rFonts w:hint="eastAsia" w:ascii="宋体" w:hAnsi="宋体"/>
          <w:b/>
          <w:color w:val="auto"/>
          <w:highlight w:val="none"/>
        </w:rPr>
      </w:pPr>
      <w:bookmarkStart w:id="14" w:name="_Hlk191478861"/>
      <w:r>
        <w:rPr>
          <w:rFonts w:ascii="宋体" w:hAnsi="宋体"/>
          <w:b/>
          <w:color w:val="auto"/>
          <w:highlight w:val="none"/>
        </w:rPr>
        <w:t>生态优先，文化传承</w:t>
      </w:r>
      <w:r>
        <w:rPr>
          <w:rFonts w:hint="eastAsia" w:ascii="宋体" w:hAnsi="宋体"/>
          <w:b/>
          <w:color w:val="auto"/>
          <w:highlight w:val="none"/>
        </w:rPr>
        <w:t>。</w:t>
      </w:r>
      <w:r>
        <w:rPr>
          <w:rFonts w:hint="eastAsia" w:ascii="宋体" w:hAnsi="宋体"/>
          <w:color w:val="auto"/>
          <w:highlight w:val="none"/>
        </w:rPr>
        <w:t>严格遵循</w:t>
      </w:r>
      <w:r>
        <w:rPr>
          <w:rFonts w:ascii="宋体" w:hAnsi="宋体" w:cs="Arial"/>
          <w:color w:val="auto"/>
          <w:highlight w:val="none"/>
          <w:shd w:val="clear" w:color="auto" w:fill="FFFFFF"/>
        </w:rPr>
        <w:t>《杭州市国土空间总体规划（2021-2035年）》</w:t>
      </w:r>
      <w:r>
        <w:rPr>
          <w:rFonts w:hint="eastAsia" w:ascii="宋体" w:hAnsi="宋体"/>
          <w:color w:val="auto"/>
          <w:highlight w:val="none"/>
        </w:rPr>
        <w:t>“三区三线”管控要求，避让重要生态敏感区域和地质灾害高风险区。依托杭州“山水林田湖草”自然本底特征，强化绿道沿线生态基底保护，统筹协调生态廊道保护与城市发展空间布局。系统挖掘和展现良渚文化、西湖文化景观、大运河、南宋临安城遗址、吴越文化等文化资源，通过绿道载体实现活态传承，打造彰显历史文化名城韵味的绿道网络。</w:t>
      </w:r>
    </w:p>
    <w:p>
      <w:pPr>
        <w:ind w:firstLine="481" w:firstLineChars="200"/>
        <w:rPr>
          <w:rFonts w:hint="eastAsia" w:ascii="宋体" w:hAnsi="宋体"/>
          <w:b/>
          <w:color w:val="auto"/>
          <w:highlight w:val="none"/>
        </w:rPr>
      </w:pPr>
      <w:r>
        <w:rPr>
          <w:rFonts w:ascii="宋体" w:hAnsi="宋体"/>
          <w:b/>
          <w:color w:val="auto"/>
          <w:highlight w:val="none"/>
        </w:rPr>
        <w:t>多</w:t>
      </w:r>
      <w:r>
        <w:rPr>
          <w:rFonts w:hint="eastAsia" w:ascii="宋体" w:hAnsi="宋体"/>
          <w:b/>
          <w:color w:val="auto"/>
          <w:highlight w:val="none"/>
        </w:rPr>
        <w:t>元共融</w:t>
      </w:r>
      <w:r>
        <w:rPr>
          <w:rFonts w:ascii="宋体" w:hAnsi="宋体"/>
          <w:b/>
          <w:color w:val="auto"/>
          <w:highlight w:val="none"/>
        </w:rPr>
        <w:t>，功能复合</w:t>
      </w:r>
      <w:r>
        <w:rPr>
          <w:rFonts w:hint="eastAsia" w:ascii="宋体" w:hAnsi="宋体"/>
          <w:b/>
          <w:color w:val="auto"/>
          <w:highlight w:val="none"/>
        </w:rPr>
        <w:t>。</w:t>
      </w:r>
      <w:r>
        <w:rPr>
          <w:rFonts w:ascii="宋体" w:hAnsi="宋体"/>
          <w:color w:val="auto"/>
          <w:highlight w:val="none"/>
        </w:rPr>
        <w:t>统筹整合市域内具备慢行属性的线性空间资源，建立多部门协同、全要素统筹的绿道网络体系。有机融合生态保护、休闲游憩、文旅消费等多元功能，形成</w:t>
      </w:r>
      <w:r>
        <w:rPr>
          <w:rFonts w:hint="eastAsia" w:ascii="宋体" w:hAnsi="宋体"/>
          <w:color w:val="auto"/>
          <w:highlight w:val="none"/>
        </w:rPr>
        <w:t>支撑</w:t>
      </w:r>
      <w:r>
        <w:rPr>
          <w:rFonts w:ascii="宋体" w:hAnsi="宋体"/>
          <w:color w:val="auto"/>
          <w:highlight w:val="none"/>
        </w:rPr>
        <w:t>城市能级提升、市民品质生活、产业转型升级的复合型绿色基础设施</w:t>
      </w:r>
      <w:r>
        <w:rPr>
          <w:rFonts w:hint="eastAsia" w:ascii="宋体" w:hAnsi="宋体"/>
          <w:color w:val="auto"/>
          <w:highlight w:val="none"/>
        </w:rPr>
        <w:t>。</w:t>
      </w:r>
    </w:p>
    <w:p>
      <w:pPr>
        <w:ind w:firstLine="481" w:firstLineChars="200"/>
        <w:rPr>
          <w:rFonts w:hint="eastAsia" w:ascii="宋体" w:hAnsi="宋体"/>
          <w:b/>
          <w:color w:val="auto"/>
          <w:highlight w:val="none"/>
        </w:rPr>
      </w:pPr>
      <w:r>
        <w:rPr>
          <w:rFonts w:ascii="宋体" w:hAnsi="宋体"/>
          <w:b/>
          <w:color w:val="auto"/>
          <w:highlight w:val="none"/>
        </w:rPr>
        <w:t>以人为本，提升体验</w:t>
      </w:r>
      <w:r>
        <w:rPr>
          <w:rFonts w:hint="eastAsia" w:ascii="宋体" w:hAnsi="宋体"/>
          <w:b/>
          <w:color w:val="auto"/>
          <w:highlight w:val="none"/>
        </w:rPr>
        <w:t>。</w:t>
      </w:r>
      <w:bookmarkStart w:id="15" w:name="_Hlk193355772"/>
      <w:r>
        <w:rPr>
          <w:rFonts w:ascii="宋体" w:hAnsi="宋体"/>
          <w:color w:val="auto"/>
          <w:highlight w:val="none"/>
        </w:rPr>
        <w:t>践行以人民为中心的发展思想，</w:t>
      </w:r>
      <w:r>
        <w:rPr>
          <w:rFonts w:hint="eastAsia" w:ascii="宋体" w:hAnsi="宋体"/>
          <w:color w:val="auto"/>
          <w:highlight w:val="none"/>
        </w:rPr>
        <w:t>满足全龄友好、全民共享目标，强化绿道人性化、便利化设计。</w:t>
      </w:r>
      <w:r>
        <w:rPr>
          <w:rFonts w:ascii="宋体" w:hAnsi="宋体"/>
          <w:color w:val="auto"/>
          <w:highlight w:val="none"/>
        </w:rPr>
        <w:t>依据人口密度与服务半径，</w:t>
      </w:r>
      <w:r>
        <w:rPr>
          <w:rFonts w:hint="eastAsia" w:ascii="宋体" w:hAnsi="宋体"/>
          <w:color w:val="auto"/>
          <w:highlight w:val="none"/>
        </w:rPr>
        <w:t>科学布局绿道网络。</w:t>
      </w:r>
      <w:r>
        <w:rPr>
          <w:rFonts w:ascii="宋体" w:hAnsi="宋体"/>
          <w:color w:val="auto"/>
          <w:highlight w:val="none"/>
        </w:rPr>
        <w:t>重点强化轨道交通站点、交通枢纽、居住区等关键节点的绿道衔接，</w:t>
      </w:r>
      <w:r>
        <w:rPr>
          <w:rFonts w:hint="eastAsia" w:ascii="宋体" w:hAnsi="宋体"/>
          <w:color w:val="auto"/>
          <w:highlight w:val="none"/>
        </w:rPr>
        <w:t>完善绿道最后5</w:t>
      </w:r>
      <w:r>
        <w:rPr>
          <w:rFonts w:ascii="宋体" w:hAnsi="宋体"/>
          <w:color w:val="auto"/>
          <w:highlight w:val="none"/>
        </w:rPr>
        <w:t>00</w:t>
      </w:r>
      <w:r>
        <w:rPr>
          <w:rFonts w:hint="eastAsia" w:ascii="宋体" w:hAnsi="宋体"/>
          <w:color w:val="auto"/>
          <w:highlight w:val="none"/>
        </w:rPr>
        <w:t>米建设，全面提升绿道系统的连通性、舒适性、便利性、体验感。</w:t>
      </w:r>
      <w:bookmarkEnd w:id="15"/>
    </w:p>
    <w:p>
      <w:pPr>
        <w:ind w:firstLine="481" w:firstLineChars="200"/>
        <w:rPr>
          <w:rFonts w:hint="eastAsia" w:ascii="宋体" w:hAnsi="宋体"/>
          <w:color w:val="auto"/>
          <w:highlight w:val="none"/>
        </w:rPr>
      </w:pPr>
      <w:r>
        <w:rPr>
          <w:rFonts w:ascii="宋体" w:hAnsi="宋体"/>
          <w:b/>
          <w:color w:val="auto"/>
          <w:highlight w:val="none"/>
        </w:rPr>
        <w:t>因地制宜，特色</w:t>
      </w:r>
      <w:r>
        <w:rPr>
          <w:rFonts w:hint="eastAsia" w:ascii="宋体" w:hAnsi="宋体"/>
          <w:b/>
          <w:color w:val="auto"/>
          <w:highlight w:val="none"/>
        </w:rPr>
        <w:t>引导。</w:t>
      </w:r>
      <w:r>
        <w:rPr>
          <w:rFonts w:hint="eastAsia" w:ascii="宋体" w:hAnsi="宋体"/>
          <w:color w:val="auto"/>
          <w:highlight w:val="none"/>
        </w:rPr>
        <w:t>针对杭州市自然山水资源的特征禀赋及人群使用需求，构建圈层式、差异化的绿道布局体系。</w:t>
      </w:r>
      <w:r>
        <w:rPr>
          <w:rFonts w:ascii="Arial" w:hAnsi="Arial" w:cs="Arial"/>
          <w:color w:val="auto"/>
          <w:highlight w:val="none"/>
          <w:shd w:val="clear" w:color="auto" w:fill="FFFFFF"/>
        </w:rPr>
        <w:t>城镇区域绿道注重综合品质提升与</w:t>
      </w:r>
      <w:r>
        <w:rPr>
          <w:rFonts w:hint="eastAsia" w:ascii="宋体" w:hAnsi="宋体"/>
          <w:color w:val="auto"/>
          <w:highlight w:val="none"/>
        </w:rPr>
        <w:t>成环成网，</w:t>
      </w:r>
      <w:r>
        <w:rPr>
          <w:rFonts w:ascii="Arial" w:hAnsi="Arial" w:cs="Arial"/>
          <w:color w:val="auto"/>
          <w:highlight w:val="none"/>
          <w:shd w:val="clear" w:color="auto" w:fill="FFFFFF"/>
        </w:rPr>
        <w:t>郊野区域绿道侧重基础通行功能与便利可达性</w:t>
      </w:r>
      <w:r>
        <w:rPr>
          <w:rFonts w:hint="eastAsia" w:ascii="宋体" w:hAnsi="宋体"/>
          <w:color w:val="auto"/>
          <w:highlight w:val="none"/>
        </w:rPr>
        <w:t>；</w:t>
      </w:r>
      <w:r>
        <w:rPr>
          <w:rFonts w:ascii="Arial" w:hAnsi="Arial" w:cs="Arial"/>
          <w:color w:val="auto"/>
          <w:highlight w:val="none"/>
          <w:shd w:val="clear" w:color="auto" w:fill="FFFFFF"/>
        </w:rPr>
        <w:t>对周边资源禀赋突出的片区</w:t>
      </w:r>
      <w:r>
        <w:rPr>
          <w:rFonts w:hint="eastAsia" w:ascii="Arial" w:hAnsi="Arial" w:cs="Arial"/>
          <w:color w:val="auto"/>
          <w:highlight w:val="none"/>
          <w:shd w:val="clear" w:color="auto" w:fill="FFFFFF"/>
        </w:rPr>
        <w:t>，</w:t>
      </w:r>
      <w:r>
        <w:rPr>
          <w:rFonts w:ascii="Arial" w:hAnsi="Arial" w:cs="Arial"/>
          <w:color w:val="auto"/>
          <w:highlight w:val="none"/>
          <w:shd w:val="clear" w:color="auto" w:fill="FFFFFF"/>
        </w:rPr>
        <w:t>着重展现</w:t>
      </w:r>
      <w:r>
        <w:rPr>
          <w:rFonts w:hint="eastAsia" w:ascii="宋体" w:hAnsi="宋体"/>
          <w:color w:val="auto"/>
          <w:highlight w:val="none"/>
        </w:rPr>
        <w:t>地域特色自然景观和文化内涵，打造具有杭州特色的绿道品牌。</w:t>
      </w:r>
    </w:p>
    <w:p>
      <w:pPr>
        <w:ind w:firstLine="481" w:firstLineChars="200"/>
        <w:rPr>
          <w:rFonts w:hint="eastAsia" w:ascii="宋体" w:hAnsi="宋体"/>
          <w:color w:val="auto"/>
          <w:highlight w:val="none"/>
        </w:rPr>
      </w:pPr>
      <w:r>
        <w:rPr>
          <w:rFonts w:ascii="宋体" w:hAnsi="宋体"/>
          <w:b/>
          <w:color w:val="auto"/>
          <w:highlight w:val="none"/>
        </w:rPr>
        <w:t>规管并重，</w:t>
      </w:r>
      <w:r>
        <w:rPr>
          <w:rFonts w:hint="eastAsia" w:ascii="宋体" w:hAnsi="宋体"/>
          <w:b/>
          <w:color w:val="auto"/>
          <w:highlight w:val="none"/>
        </w:rPr>
        <w:t>协同共治。</w:t>
      </w:r>
      <w:r>
        <w:rPr>
          <w:rFonts w:ascii="Arial" w:hAnsi="Arial" w:cs="Arial"/>
          <w:color w:val="auto"/>
          <w:highlight w:val="none"/>
          <w:shd w:val="clear" w:color="auto" w:fill="FFFFFF"/>
        </w:rPr>
        <w:t>统筹规划、建设、管理、运维全周期管理体系，完善绿道系统建设的制度体系与政策保障</w:t>
      </w:r>
      <w:r>
        <w:rPr>
          <w:rFonts w:hint="eastAsia" w:ascii="宋体" w:hAnsi="宋体"/>
          <w:color w:val="auto"/>
          <w:highlight w:val="none"/>
        </w:rPr>
        <w:t>。</w:t>
      </w:r>
      <w:r>
        <w:rPr>
          <w:rFonts w:ascii="Arial" w:hAnsi="Arial" w:cs="Arial"/>
          <w:color w:val="auto"/>
          <w:highlight w:val="none"/>
          <w:shd w:val="clear" w:color="auto" w:fill="FFFFFF"/>
        </w:rPr>
        <w:t>严格落实规划管控要求，建立上位规划传导机制，构建长效运维保障体系，实现绿道</w:t>
      </w:r>
      <w:r>
        <w:rPr>
          <w:rFonts w:hint="eastAsia" w:ascii="Arial" w:hAnsi="Arial" w:cs="Arial"/>
          <w:color w:val="auto"/>
          <w:highlight w:val="none"/>
          <w:shd w:val="clear" w:color="auto" w:fill="FFFFFF"/>
        </w:rPr>
        <w:t>可持续发展</w:t>
      </w:r>
      <w:r>
        <w:rPr>
          <w:rFonts w:ascii="Arial" w:hAnsi="Arial" w:cs="Arial"/>
          <w:color w:val="auto"/>
          <w:highlight w:val="none"/>
          <w:shd w:val="clear" w:color="auto" w:fill="FFFFFF"/>
        </w:rPr>
        <w:t>。</w:t>
      </w:r>
    </w:p>
    <w:bookmarkEnd w:id="14"/>
    <w:p>
      <w:pPr>
        <w:pStyle w:val="5"/>
        <w:numPr>
          <w:ilvl w:val="0"/>
          <w:numId w:val="3"/>
        </w:numPr>
        <w:rPr>
          <w:rFonts w:hint="eastAsia" w:ascii="宋体" w:hAnsi="宋体"/>
          <w:color w:val="auto"/>
          <w:highlight w:val="none"/>
        </w:rPr>
      </w:pPr>
      <w:bookmarkStart w:id="16" w:name="_Toc232141435"/>
      <w:bookmarkStart w:id="17" w:name="_Toc196313837"/>
      <w:bookmarkStart w:id="18" w:name="_Toc191459093"/>
      <w:r>
        <w:rPr>
          <w:rFonts w:hint="eastAsia" w:ascii="宋体" w:hAnsi="宋体"/>
          <w:color w:val="auto"/>
          <w:highlight w:val="none"/>
        </w:rPr>
        <w:t>规划范围</w:t>
      </w:r>
      <w:bookmarkEnd w:id="16"/>
      <w:bookmarkEnd w:id="17"/>
    </w:p>
    <w:p>
      <w:pPr>
        <w:ind w:firstLine="480" w:firstLineChars="200"/>
        <w:rPr>
          <w:rFonts w:hint="eastAsia" w:ascii="宋体" w:hAnsi="宋体"/>
          <w:color w:val="auto"/>
          <w:highlight w:val="none"/>
        </w:rPr>
      </w:pPr>
      <w:r>
        <w:rPr>
          <w:rFonts w:hint="eastAsia" w:ascii="宋体" w:hAnsi="宋体"/>
          <w:color w:val="auto"/>
          <w:highlight w:val="none"/>
        </w:rPr>
        <w:t>本规划范围为杭州市全域，包括上城区、拱墅区、西湖区、滨江区、萧山区、余杭区、临平区、钱塘区、富阳区、临安区</w:t>
      </w:r>
      <w:r>
        <w:rPr>
          <w:rFonts w:ascii="宋体" w:hAnsi="宋体"/>
          <w:color w:val="auto"/>
          <w:highlight w:val="none"/>
        </w:rPr>
        <w:t>10个市辖区，</w:t>
      </w:r>
      <w:r>
        <w:rPr>
          <w:rFonts w:hint="eastAsia" w:ascii="宋体" w:hAnsi="宋体"/>
          <w:color w:val="auto"/>
          <w:highlight w:val="none"/>
        </w:rPr>
        <w:t>及下辖的</w:t>
      </w:r>
      <w:r>
        <w:rPr>
          <w:rFonts w:ascii="宋体" w:hAnsi="宋体"/>
          <w:color w:val="auto"/>
          <w:highlight w:val="none"/>
        </w:rPr>
        <w:t>桐庐</w:t>
      </w:r>
      <w:r>
        <w:rPr>
          <w:rFonts w:hint="eastAsia" w:ascii="宋体" w:hAnsi="宋体"/>
          <w:color w:val="auto"/>
          <w:highlight w:val="none"/>
        </w:rPr>
        <w:t>县</w:t>
      </w:r>
      <w:r>
        <w:rPr>
          <w:rFonts w:ascii="宋体" w:hAnsi="宋体"/>
          <w:color w:val="auto"/>
          <w:highlight w:val="none"/>
        </w:rPr>
        <w:t>、淳安县，</w:t>
      </w:r>
      <w:r>
        <w:rPr>
          <w:rFonts w:hint="eastAsia" w:ascii="宋体" w:hAnsi="宋体"/>
          <w:color w:val="auto"/>
          <w:highlight w:val="none"/>
        </w:rPr>
        <w:t>代管的</w:t>
      </w:r>
      <w:r>
        <w:rPr>
          <w:rFonts w:ascii="宋体" w:hAnsi="宋体"/>
          <w:color w:val="auto"/>
          <w:highlight w:val="none"/>
        </w:rPr>
        <w:t>建德市，总面积16850平方公里。</w:t>
      </w:r>
    </w:p>
    <w:p>
      <w:pPr>
        <w:pStyle w:val="5"/>
        <w:numPr>
          <w:ilvl w:val="0"/>
          <w:numId w:val="3"/>
        </w:numPr>
        <w:rPr>
          <w:rFonts w:hint="eastAsia" w:ascii="宋体" w:hAnsi="宋体"/>
          <w:color w:val="auto"/>
          <w:highlight w:val="none"/>
        </w:rPr>
      </w:pPr>
      <w:bookmarkStart w:id="19" w:name="_Toc196313838"/>
      <w:bookmarkStart w:id="20" w:name="_Toc1449691636"/>
      <w:r>
        <w:rPr>
          <w:rFonts w:hint="eastAsia" w:ascii="宋体" w:hAnsi="宋体"/>
          <w:color w:val="auto"/>
          <w:highlight w:val="none"/>
        </w:rPr>
        <w:t>规划期限</w:t>
      </w:r>
      <w:bookmarkEnd w:id="18"/>
      <w:bookmarkEnd w:id="19"/>
      <w:bookmarkEnd w:id="20"/>
    </w:p>
    <w:p>
      <w:pPr>
        <w:ind w:firstLine="480" w:firstLineChars="200"/>
        <w:rPr>
          <w:rFonts w:hint="eastAsia" w:ascii="宋体" w:hAnsi="宋体"/>
          <w:color w:val="auto"/>
          <w:highlight w:val="none"/>
        </w:rPr>
      </w:pPr>
      <w:r>
        <w:rPr>
          <w:rFonts w:hint="eastAsia" w:ascii="宋体" w:hAnsi="宋体"/>
          <w:color w:val="auto"/>
          <w:highlight w:val="none"/>
        </w:rPr>
        <w:t>规划基期年为</w:t>
      </w:r>
      <w:r>
        <w:rPr>
          <w:rFonts w:ascii="宋体" w:hAnsi="宋体"/>
          <w:color w:val="auto"/>
          <w:highlight w:val="none"/>
        </w:rPr>
        <w:t>2023年，规划期限为2023—2035年；近期至2025年，中期至2030年，远期至2035年</w:t>
      </w:r>
      <w:r>
        <w:rPr>
          <w:rFonts w:hint="eastAsia" w:ascii="宋体" w:hAnsi="宋体"/>
          <w:color w:val="auto"/>
          <w:highlight w:val="none"/>
        </w:rPr>
        <w:t>。</w:t>
      </w:r>
    </w:p>
    <w:p>
      <w:pPr>
        <w:widowControl/>
        <w:jc w:val="left"/>
        <w:rPr>
          <w:rFonts w:hint="eastAsia" w:ascii="宋体" w:hAnsi="宋体" w:cstheme="majorBidi"/>
          <w:b/>
          <w:bCs/>
          <w:color w:val="auto"/>
          <w:sz w:val="44"/>
          <w:szCs w:val="32"/>
          <w:highlight w:val="none"/>
        </w:rPr>
      </w:pPr>
      <w:bookmarkStart w:id="21" w:name="_Toc191459095"/>
      <w:r>
        <w:rPr>
          <w:rFonts w:ascii="宋体" w:hAnsi="宋体"/>
          <w:color w:val="auto"/>
          <w:highlight w:val="none"/>
        </w:rPr>
        <w:br w:type="page"/>
      </w:r>
    </w:p>
    <w:bookmarkEnd w:id="21"/>
    <w:p>
      <w:pPr>
        <w:pStyle w:val="3"/>
        <w:jc w:val="center"/>
        <w:rPr>
          <w:rFonts w:hint="eastAsia" w:ascii="宋体" w:hAnsi="宋体" w:eastAsia="宋体"/>
          <w:color w:val="auto"/>
          <w:highlight w:val="none"/>
        </w:rPr>
      </w:pPr>
      <w:bookmarkStart w:id="22" w:name="_Toc191459107"/>
      <w:bookmarkStart w:id="23" w:name="_Toc1773445362"/>
      <w:bookmarkStart w:id="24" w:name="_Toc196313839"/>
      <w:r>
        <w:rPr>
          <w:rFonts w:hint="eastAsia" w:ascii="宋体" w:hAnsi="宋体" w:eastAsia="宋体"/>
          <w:color w:val="auto"/>
          <w:highlight w:val="none"/>
        </w:rPr>
        <w:t xml:space="preserve">第二章 </w:t>
      </w:r>
      <w:bookmarkEnd w:id="22"/>
      <w:r>
        <w:rPr>
          <w:rFonts w:hint="eastAsia" w:ascii="宋体" w:hAnsi="宋体" w:eastAsia="宋体"/>
          <w:color w:val="auto"/>
          <w:highlight w:val="none"/>
        </w:rPr>
        <w:t>目标与策略</w:t>
      </w:r>
      <w:bookmarkEnd w:id="23"/>
      <w:bookmarkEnd w:id="24"/>
    </w:p>
    <w:p>
      <w:pPr>
        <w:ind w:firstLine="560"/>
        <w:rPr>
          <w:rFonts w:hint="eastAsia" w:ascii="宋体" w:hAnsi="宋体"/>
          <w:color w:val="auto"/>
          <w:highlight w:val="none"/>
        </w:rPr>
      </w:pPr>
      <w:bookmarkStart w:id="25" w:name="_Toc191459111"/>
      <w:r>
        <w:rPr>
          <w:rFonts w:hint="eastAsia" w:ascii="宋体" w:hAnsi="宋体"/>
          <w:color w:val="auto"/>
          <w:highlight w:val="none"/>
        </w:rPr>
        <w:t>绿道是以自然要素为基础，以自然人文景观和休闲设施为串联节点，由慢行系统、服务设施等组成的绿色开敞空间廊道系统。</w:t>
      </w:r>
    </w:p>
    <w:p>
      <w:pPr>
        <w:ind w:firstLine="560"/>
        <w:rPr>
          <w:rFonts w:hint="eastAsia" w:ascii="宋体" w:hAnsi="宋体"/>
          <w:color w:val="auto"/>
          <w:highlight w:val="none"/>
        </w:rPr>
      </w:pPr>
      <w:r>
        <w:rPr>
          <w:rFonts w:hint="eastAsia" w:ascii="宋体" w:hAnsi="宋体"/>
          <w:color w:val="auto"/>
          <w:highlight w:val="none"/>
        </w:rPr>
        <w:t>绿道由绿廊系统和人工系统两大系统构成，主要包括绿廊、慢行道、驿站、标识和节点五个部分。</w:t>
      </w:r>
    </w:p>
    <w:p>
      <w:pPr>
        <w:ind w:firstLine="560"/>
        <w:rPr>
          <w:rFonts w:hint="eastAsia" w:ascii="宋体" w:hAnsi="宋体"/>
          <w:color w:val="auto"/>
          <w:highlight w:val="none"/>
        </w:rPr>
      </w:pPr>
      <w:r>
        <w:rPr>
          <w:rFonts w:hint="eastAsia" w:ascii="宋体" w:hAnsi="宋体"/>
          <w:color w:val="auto"/>
          <w:highlight w:val="none"/>
        </w:rPr>
        <w:t>本次规划应对新时代、新发展要求，进一步拓展绿道范畴，将全市具备绿道基础属性的慢行道、古道、健身步道、水利巡查道、防火道、市政连接线等各类型人工及自然线性空间纳入绿道范畴，统筹推进规划建设，实现“多道融合”。</w:t>
      </w:r>
    </w:p>
    <w:p>
      <w:pPr>
        <w:pStyle w:val="5"/>
        <w:numPr>
          <w:ilvl w:val="0"/>
          <w:numId w:val="4"/>
        </w:numPr>
        <w:rPr>
          <w:rFonts w:hint="eastAsia" w:ascii="宋体" w:hAnsi="宋体"/>
          <w:color w:val="auto"/>
          <w:highlight w:val="none"/>
        </w:rPr>
      </w:pPr>
      <w:bookmarkStart w:id="26" w:name="_Toc196313840"/>
      <w:bookmarkStart w:id="27" w:name="_Toc452208363"/>
      <w:r>
        <w:rPr>
          <w:rFonts w:hint="eastAsia" w:ascii="宋体" w:hAnsi="宋体"/>
          <w:color w:val="auto"/>
          <w:highlight w:val="none"/>
        </w:rPr>
        <w:t>总体目标</w:t>
      </w:r>
      <w:bookmarkEnd w:id="26"/>
      <w:bookmarkEnd w:id="27"/>
    </w:p>
    <w:p>
      <w:pPr>
        <w:ind w:firstLine="480" w:firstLineChars="200"/>
        <w:rPr>
          <w:rFonts w:hint="eastAsia" w:ascii="宋体" w:hAnsi="宋体"/>
          <w:color w:val="auto"/>
          <w:highlight w:val="none"/>
        </w:rPr>
      </w:pPr>
      <w:r>
        <w:rPr>
          <w:rFonts w:hint="eastAsia" w:ascii="宋体" w:hAnsi="宋体"/>
          <w:color w:val="auto"/>
          <w:highlight w:val="none"/>
        </w:rPr>
        <w:t>立足杭州市独特的山水格局、丰富的自然资源、深厚的文化底蕴和迸发的智慧创新动能，坚持“五道”理念，规划构建沿江连山、伴水穿林、贯城通村的全域美丽绿廊，形成蓝绿交织、全域贯通、三生融合、城乡共美的绿道网络。至2035年，绿道总长度达6000公里以上，基本实现居民5分钟步行可到达绿道网络。</w:t>
      </w:r>
    </w:p>
    <w:p>
      <w:pPr>
        <w:pStyle w:val="5"/>
        <w:numPr>
          <w:ilvl w:val="0"/>
          <w:numId w:val="4"/>
        </w:numPr>
        <w:rPr>
          <w:rFonts w:hint="eastAsia" w:ascii="宋体" w:hAnsi="宋体"/>
          <w:color w:val="auto"/>
          <w:highlight w:val="none"/>
        </w:rPr>
      </w:pPr>
      <w:bookmarkStart w:id="28" w:name="_Toc528487713"/>
      <w:bookmarkStart w:id="29" w:name="_Toc196313841"/>
      <w:r>
        <w:rPr>
          <w:rFonts w:hint="eastAsia" w:ascii="宋体" w:hAnsi="宋体"/>
          <w:color w:val="auto"/>
          <w:highlight w:val="none"/>
        </w:rPr>
        <w:t>阶段目标</w:t>
      </w:r>
      <w:bookmarkEnd w:id="28"/>
      <w:bookmarkEnd w:id="29"/>
      <w:r>
        <w:rPr>
          <w:rFonts w:hint="eastAsia" w:ascii="宋体" w:hAnsi="宋体"/>
          <w:color w:val="auto"/>
          <w:highlight w:val="none"/>
        </w:rPr>
        <w:t xml:space="preserve"> </w:t>
      </w:r>
    </w:p>
    <w:bookmarkEnd w:id="25"/>
    <w:p>
      <w:pPr>
        <w:pStyle w:val="25"/>
        <w:numPr>
          <w:ilvl w:val="0"/>
          <w:numId w:val="5"/>
        </w:numPr>
        <w:ind w:firstLineChars="0"/>
        <w:rPr>
          <w:rFonts w:hint="eastAsia" w:ascii="宋体" w:hAnsi="宋体"/>
          <w:b/>
          <w:bCs/>
          <w:color w:val="auto"/>
          <w:highlight w:val="none"/>
        </w:rPr>
      </w:pPr>
      <w:r>
        <w:rPr>
          <w:rFonts w:hint="eastAsia" w:ascii="宋体" w:hAnsi="宋体"/>
          <w:b/>
          <w:bCs/>
          <w:color w:val="auto"/>
          <w:highlight w:val="none"/>
        </w:rPr>
        <w:t>近期目标（2</w:t>
      </w:r>
      <w:r>
        <w:rPr>
          <w:rFonts w:ascii="宋体" w:hAnsi="宋体"/>
          <w:b/>
          <w:bCs/>
          <w:color w:val="auto"/>
          <w:highlight w:val="none"/>
        </w:rPr>
        <w:t>023-2025</w:t>
      </w:r>
      <w:r>
        <w:rPr>
          <w:rFonts w:hint="eastAsia" w:ascii="宋体" w:hAnsi="宋体"/>
          <w:b/>
          <w:bCs/>
          <w:color w:val="auto"/>
          <w:highlight w:val="none"/>
        </w:rPr>
        <w:t>年）</w:t>
      </w:r>
    </w:p>
    <w:p>
      <w:pPr>
        <w:ind w:firstLine="481" w:firstLineChars="200"/>
        <w:rPr>
          <w:rFonts w:hint="eastAsia" w:ascii="宋体" w:hAnsi="宋体"/>
          <w:b/>
          <w:bCs/>
          <w:color w:val="auto"/>
          <w:highlight w:val="none"/>
        </w:rPr>
      </w:pPr>
      <w:r>
        <w:rPr>
          <w:rFonts w:hint="eastAsia" w:ascii="宋体" w:hAnsi="宋体"/>
          <w:b/>
          <w:bCs/>
          <w:color w:val="auto"/>
          <w:highlight w:val="none"/>
        </w:rPr>
        <w:t>断点连通，骨架成型。</w:t>
      </w:r>
    </w:p>
    <w:p>
      <w:pPr>
        <w:ind w:firstLine="480" w:firstLineChars="200"/>
        <w:rPr>
          <w:rFonts w:hint="eastAsia" w:ascii="宋体" w:hAnsi="宋体"/>
          <w:color w:val="auto"/>
          <w:highlight w:val="none"/>
        </w:rPr>
      </w:pPr>
      <w:r>
        <w:rPr>
          <w:rFonts w:hint="eastAsia" w:ascii="宋体" w:hAnsi="宋体"/>
          <w:color w:val="auto"/>
          <w:highlight w:val="none"/>
        </w:rPr>
        <w:t>分类施策打通各类断点堵点</w:t>
      </w:r>
      <w:r>
        <w:rPr>
          <w:rFonts w:ascii="宋体" w:hAnsi="宋体"/>
          <w:color w:val="auto"/>
          <w:highlight w:val="none"/>
        </w:rPr>
        <w:t>20</w:t>
      </w:r>
      <w:r>
        <w:rPr>
          <w:rFonts w:hint="eastAsia" w:ascii="宋体" w:hAnsi="宋体"/>
          <w:color w:val="auto"/>
          <w:highlight w:val="none"/>
        </w:rPr>
        <w:t>个，推动绿道网络骨架初步成型。启动十大品牌绿道和</w:t>
      </w:r>
      <w:r>
        <w:rPr>
          <w:rFonts w:ascii="宋体" w:hAnsi="宋体"/>
          <w:color w:val="auto"/>
          <w:highlight w:val="none"/>
        </w:rPr>
        <w:t>八大</w:t>
      </w:r>
      <w:r>
        <w:rPr>
          <w:rFonts w:hint="eastAsia" w:ascii="宋体" w:hAnsi="宋体"/>
          <w:color w:val="auto"/>
          <w:highlight w:val="none"/>
        </w:rPr>
        <w:t>特色</w:t>
      </w:r>
      <w:r>
        <w:rPr>
          <w:rFonts w:ascii="宋体" w:hAnsi="宋体"/>
          <w:color w:val="auto"/>
          <w:highlight w:val="none"/>
        </w:rPr>
        <w:t>绿道系列</w:t>
      </w:r>
      <w:r>
        <w:rPr>
          <w:rFonts w:hint="eastAsia" w:ascii="宋体" w:hAnsi="宋体"/>
          <w:color w:val="auto"/>
          <w:highlight w:val="none"/>
        </w:rPr>
        <w:t>培育工作</w:t>
      </w:r>
      <w:r>
        <w:rPr>
          <w:rFonts w:ascii="宋体" w:hAnsi="宋体"/>
          <w:color w:val="auto"/>
          <w:highlight w:val="none"/>
        </w:rPr>
        <w:t>。</w:t>
      </w:r>
    </w:p>
    <w:p>
      <w:pPr>
        <w:pStyle w:val="25"/>
        <w:numPr>
          <w:ilvl w:val="0"/>
          <w:numId w:val="5"/>
        </w:numPr>
        <w:ind w:firstLineChars="0"/>
        <w:rPr>
          <w:rFonts w:hint="eastAsia" w:ascii="宋体" w:hAnsi="宋体"/>
          <w:b/>
          <w:bCs/>
          <w:color w:val="auto"/>
          <w:highlight w:val="none"/>
        </w:rPr>
      </w:pPr>
      <w:r>
        <w:rPr>
          <w:rFonts w:hint="eastAsia" w:ascii="宋体" w:hAnsi="宋体"/>
          <w:b/>
          <w:bCs/>
          <w:color w:val="auto"/>
          <w:highlight w:val="none"/>
        </w:rPr>
        <w:t>中期目标（2</w:t>
      </w:r>
      <w:r>
        <w:rPr>
          <w:rFonts w:ascii="宋体" w:hAnsi="宋体"/>
          <w:b/>
          <w:bCs/>
          <w:color w:val="auto"/>
          <w:highlight w:val="none"/>
        </w:rPr>
        <w:t>026</w:t>
      </w:r>
      <w:r>
        <w:rPr>
          <w:rFonts w:hint="eastAsia" w:ascii="宋体" w:hAnsi="宋体"/>
          <w:b/>
          <w:bCs/>
          <w:color w:val="auto"/>
          <w:highlight w:val="none"/>
        </w:rPr>
        <w:t>年</w:t>
      </w:r>
      <w:r>
        <w:rPr>
          <w:rFonts w:ascii="宋体" w:hAnsi="宋体"/>
          <w:b/>
          <w:bCs/>
          <w:color w:val="auto"/>
          <w:highlight w:val="none"/>
        </w:rPr>
        <w:t>-2030</w:t>
      </w:r>
      <w:r>
        <w:rPr>
          <w:rFonts w:hint="eastAsia" w:ascii="宋体" w:hAnsi="宋体"/>
          <w:b/>
          <w:bCs/>
          <w:color w:val="auto"/>
          <w:highlight w:val="none"/>
        </w:rPr>
        <w:t>年）</w:t>
      </w:r>
    </w:p>
    <w:p>
      <w:pPr>
        <w:ind w:firstLine="481" w:firstLineChars="200"/>
        <w:rPr>
          <w:rFonts w:hint="eastAsia" w:ascii="宋体" w:hAnsi="宋体"/>
          <w:b/>
          <w:bCs/>
          <w:color w:val="auto"/>
          <w:highlight w:val="none"/>
        </w:rPr>
      </w:pPr>
      <w:r>
        <w:rPr>
          <w:rFonts w:hint="eastAsia" w:ascii="宋体" w:hAnsi="宋体"/>
          <w:b/>
          <w:bCs/>
          <w:color w:val="auto"/>
          <w:highlight w:val="none"/>
        </w:rPr>
        <w:t>加密提质，推精创优。</w:t>
      </w:r>
    </w:p>
    <w:p>
      <w:pPr>
        <w:ind w:firstLine="480" w:firstLineChars="200"/>
        <w:rPr>
          <w:rFonts w:hint="eastAsia" w:ascii="宋体" w:hAnsi="宋体"/>
          <w:color w:val="auto"/>
          <w:highlight w:val="none"/>
        </w:rPr>
      </w:pPr>
      <w:r>
        <w:rPr>
          <w:rFonts w:hint="eastAsia" w:ascii="宋体" w:hAnsi="宋体"/>
          <w:color w:val="auto"/>
          <w:highlight w:val="none"/>
        </w:rPr>
        <w:t>推进</w:t>
      </w:r>
      <w:r>
        <w:rPr>
          <w:rFonts w:ascii="宋体" w:hAnsi="宋体"/>
          <w:color w:val="auto"/>
          <w:highlight w:val="none"/>
        </w:rPr>
        <w:t>社区级绿道</w:t>
      </w:r>
      <w:r>
        <w:rPr>
          <w:rFonts w:hint="eastAsia" w:ascii="宋体" w:hAnsi="宋体"/>
          <w:color w:val="auto"/>
          <w:highlight w:val="none"/>
        </w:rPr>
        <w:t>加密建设，对存量绿道进行品质提升。推进</w:t>
      </w:r>
      <w:r>
        <w:rPr>
          <w:rFonts w:hint="eastAsia" w:ascii="宋体" w:hAnsi="宋体"/>
          <w:color w:val="auto"/>
          <w:highlight w:val="none"/>
        </w:rPr>
        <w:t>绿道成环成网</w:t>
      </w:r>
      <w:r>
        <w:rPr>
          <w:rFonts w:hint="eastAsia" w:ascii="宋体" w:hAnsi="宋体"/>
          <w:color w:val="auto"/>
          <w:highlight w:val="none"/>
        </w:rPr>
        <w:t>，打造十大品牌绿道，建设</w:t>
      </w:r>
      <w:r>
        <w:rPr>
          <w:rFonts w:ascii="宋体" w:hAnsi="宋体"/>
          <w:color w:val="auto"/>
          <w:highlight w:val="none"/>
        </w:rPr>
        <w:t>八大</w:t>
      </w:r>
      <w:r>
        <w:rPr>
          <w:rFonts w:hint="eastAsia" w:ascii="宋体" w:hAnsi="宋体"/>
          <w:color w:val="auto"/>
          <w:highlight w:val="none"/>
        </w:rPr>
        <w:t>特色</w:t>
      </w:r>
      <w:r>
        <w:rPr>
          <w:rFonts w:ascii="宋体" w:hAnsi="宋体"/>
          <w:color w:val="auto"/>
          <w:highlight w:val="none"/>
        </w:rPr>
        <w:t>绿道系列</w:t>
      </w:r>
      <w:r>
        <w:rPr>
          <w:rFonts w:hint="eastAsia" w:ascii="宋体" w:hAnsi="宋体"/>
          <w:color w:val="auto"/>
          <w:highlight w:val="none"/>
        </w:rPr>
        <w:t>，形成一批可复制、可推广的绿道优秀案例。</w:t>
      </w:r>
    </w:p>
    <w:p>
      <w:pPr>
        <w:pStyle w:val="25"/>
        <w:numPr>
          <w:ilvl w:val="0"/>
          <w:numId w:val="5"/>
        </w:numPr>
        <w:ind w:firstLineChars="0"/>
        <w:rPr>
          <w:rFonts w:hint="eastAsia" w:ascii="宋体" w:hAnsi="宋体"/>
          <w:b/>
          <w:bCs/>
          <w:color w:val="auto"/>
          <w:highlight w:val="none"/>
        </w:rPr>
      </w:pPr>
      <w:r>
        <w:rPr>
          <w:rFonts w:hint="eastAsia" w:ascii="宋体" w:hAnsi="宋体"/>
          <w:b/>
          <w:bCs/>
          <w:color w:val="auto"/>
          <w:highlight w:val="none"/>
        </w:rPr>
        <w:t>远期目标（2</w:t>
      </w:r>
      <w:r>
        <w:rPr>
          <w:rFonts w:ascii="宋体" w:hAnsi="宋体"/>
          <w:b/>
          <w:bCs/>
          <w:color w:val="auto"/>
          <w:highlight w:val="none"/>
        </w:rPr>
        <w:t>031</w:t>
      </w:r>
      <w:r>
        <w:rPr>
          <w:rFonts w:hint="eastAsia" w:ascii="宋体" w:hAnsi="宋体"/>
          <w:b/>
          <w:bCs/>
          <w:color w:val="auto"/>
          <w:highlight w:val="none"/>
        </w:rPr>
        <w:t>年</w:t>
      </w:r>
      <w:r>
        <w:rPr>
          <w:rFonts w:ascii="宋体" w:hAnsi="宋体"/>
          <w:b/>
          <w:bCs/>
          <w:color w:val="auto"/>
          <w:highlight w:val="none"/>
        </w:rPr>
        <w:t>-20</w:t>
      </w:r>
      <w:r>
        <w:rPr>
          <w:rFonts w:hint="eastAsia" w:ascii="宋体" w:hAnsi="宋体"/>
          <w:b/>
          <w:bCs/>
          <w:color w:val="auto"/>
          <w:highlight w:val="none"/>
        </w:rPr>
        <w:t>3</w:t>
      </w:r>
      <w:r>
        <w:rPr>
          <w:rFonts w:ascii="宋体" w:hAnsi="宋体"/>
          <w:b/>
          <w:bCs/>
          <w:color w:val="auto"/>
          <w:highlight w:val="none"/>
        </w:rPr>
        <w:t>5</w:t>
      </w:r>
      <w:r>
        <w:rPr>
          <w:rFonts w:hint="eastAsia" w:ascii="宋体" w:hAnsi="宋体"/>
          <w:b/>
          <w:bCs/>
          <w:color w:val="auto"/>
          <w:highlight w:val="none"/>
        </w:rPr>
        <w:t>年）</w:t>
      </w:r>
    </w:p>
    <w:p>
      <w:pPr>
        <w:ind w:firstLine="481" w:firstLineChars="200"/>
        <w:rPr>
          <w:rFonts w:hint="eastAsia" w:ascii="宋体" w:hAnsi="宋体"/>
          <w:b/>
          <w:bCs/>
          <w:color w:val="auto"/>
          <w:highlight w:val="none"/>
        </w:rPr>
      </w:pPr>
      <w:r>
        <w:rPr>
          <w:rFonts w:hint="eastAsia" w:ascii="宋体" w:hAnsi="宋体"/>
          <w:b/>
          <w:bCs/>
          <w:color w:val="auto"/>
          <w:highlight w:val="none"/>
        </w:rPr>
        <w:t>珠连碧合，万里畅行。</w:t>
      </w:r>
    </w:p>
    <w:p>
      <w:pPr>
        <w:ind w:firstLine="480" w:firstLineChars="200"/>
        <w:rPr>
          <w:rFonts w:hint="eastAsia" w:ascii="宋体" w:hAnsi="宋体"/>
          <w:color w:val="auto"/>
          <w:highlight w:val="none"/>
        </w:rPr>
      </w:pPr>
      <w:r>
        <w:rPr>
          <w:rFonts w:hint="eastAsia" w:ascii="宋体" w:hAnsi="宋体"/>
          <w:color w:val="auto"/>
          <w:highlight w:val="none"/>
        </w:rPr>
        <w:t>全面建成蓝绿交织、全域贯通、三生融合、城乡共美的绿道网络。推进十大品牌绿道和八大特色绿道系列运营工作，培育和发展绿道经济，植入赛事活动、户外运动、生态旅游、文化创意等产业，逐步实现绿道从绿色骨架到活力网络的质变。</w:t>
      </w:r>
      <w:r>
        <w:rPr>
          <w:rFonts w:ascii="宋体" w:hAnsi="宋体"/>
          <w:color w:val="auto"/>
          <w:highlight w:val="none"/>
        </w:rPr>
        <w:t>市民尽享开门见绿、抬脚可入、贯通融城、畅接自然的绿道</w:t>
      </w:r>
      <w:r>
        <w:rPr>
          <w:rFonts w:hint="eastAsia" w:ascii="宋体" w:hAnsi="宋体"/>
          <w:color w:val="auto"/>
          <w:highlight w:val="none"/>
        </w:rPr>
        <w:t>空间</w:t>
      </w:r>
      <w:r>
        <w:rPr>
          <w:rFonts w:ascii="宋体" w:hAnsi="宋体"/>
          <w:color w:val="auto"/>
          <w:highlight w:val="none"/>
        </w:rPr>
        <w:t>，绿道全面融入市民绿色健康生活</w:t>
      </w:r>
      <w:r>
        <w:rPr>
          <w:rFonts w:hint="eastAsia" w:ascii="宋体" w:hAnsi="宋体"/>
          <w:color w:val="auto"/>
          <w:highlight w:val="none"/>
        </w:rPr>
        <w:t>。</w:t>
      </w:r>
    </w:p>
    <w:p>
      <w:pPr>
        <w:pStyle w:val="5"/>
        <w:numPr>
          <w:ilvl w:val="0"/>
          <w:numId w:val="4"/>
        </w:numPr>
        <w:rPr>
          <w:rFonts w:hint="eastAsia" w:ascii="宋体" w:hAnsi="宋体"/>
          <w:color w:val="auto"/>
          <w:highlight w:val="none"/>
        </w:rPr>
      </w:pPr>
      <w:bookmarkStart w:id="30" w:name="_Toc993115593"/>
      <w:bookmarkStart w:id="31" w:name="_Toc196313842"/>
      <w:bookmarkStart w:id="32" w:name="_Toc191459112"/>
      <w:r>
        <w:rPr>
          <w:rFonts w:hint="eastAsia" w:ascii="宋体" w:hAnsi="宋体"/>
          <w:color w:val="auto"/>
          <w:highlight w:val="none"/>
        </w:rPr>
        <w:t>规划策略</w:t>
      </w:r>
      <w:bookmarkEnd w:id="30"/>
      <w:bookmarkEnd w:id="31"/>
    </w:p>
    <w:p>
      <w:pPr>
        <w:pStyle w:val="25"/>
        <w:numPr>
          <w:ilvl w:val="0"/>
          <w:numId w:val="6"/>
        </w:numPr>
        <w:ind w:firstLineChars="0"/>
        <w:rPr>
          <w:rFonts w:hint="eastAsia" w:ascii="宋体" w:hAnsi="宋体"/>
          <w:b/>
          <w:bCs/>
          <w:color w:val="auto"/>
          <w:highlight w:val="none"/>
        </w:rPr>
      </w:pPr>
      <w:r>
        <w:rPr>
          <w:rFonts w:hint="eastAsia" w:ascii="宋体" w:hAnsi="宋体"/>
          <w:b/>
          <w:bCs/>
          <w:color w:val="auto"/>
          <w:highlight w:val="none"/>
        </w:rPr>
        <w:t>网络完善，服务</w:t>
      </w:r>
      <w:bookmarkEnd w:id="32"/>
      <w:r>
        <w:rPr>
          <w:rFonts w:hint="eastAsia" w:ascii="宋体" w:hAnsi="宋体"/>
          <w:b/>
          <w:bCs/>
          <w:color w:val="auto"/>
          <w:highlight w:val="none"/>
        </w:rPr>
        <w:t>提质</w:t>
      </w:r>
    </w:p>
    <w:p>
      <w:pPr>
        <w:ind w:firstLine="480" w:firstLineChars="200"/>
        <w:rPr>
          <w:rFonts w:hint="eastAsia" w:ascii="宋体" w:hAnsi="宋体"/>
          <w:color w:val="auto"/>
          <w:highlight w:val="none"/>
        </w:rPr>
      </w:pPr>
      <w:bookmarkStart w:id="33" w:name="_Hlk193356123"/>
      <w:bookmarkStart w:id="34" w:name="_Toc191459113"/>
      <w:r>
        <w:rPr>
          <w:rFonts w:hint="eastAsia" w:ascii="宋体" w:hAnsi="宋体"/>
          <w:color w:val="auto"/>
          <w:highlight w:val="none"/>
        </w:rPr>
        <w:t>以人民需求为导向，系统梳理现状绿道断点并实施贯通工程，重点强化绿道与轨道交通站点、居住社区、商务办公区等城市功能区的衔接，提升绿道可达性，推进全域绿道成环成网。完善驿站、标识、无障碍等配套设施建设，提升设施与全龄人群需求的适配度，实现绿道服务功能从“能用”向“好用”的提升。深入践行“五道”理念，优化主客共享功能布局，激活绿道休闲旅游价值，为杭州全域旅游发展提供有力支撑。</w:t>
      </w:r>
    </w:p>
    <w:bookmarkEnd w:id="33"/>
    <w:p>
      <w:pPr>
        <w:pStyle w:val="25"/>
        <w:numPr>
          <w:ilvl w:val="0"/>
          <w:numId w:val="6"/>
        </w:numPr>
        <w:ind w:firstLineChars="0"/>
        <w:rPr>
          <w:rFonts w:hint="eastAsia" w:ascii="宋体" w:hAnsi="宋体"/>
          <w:b/>
          <w:bCs/>
          <w:color w:val="auto"/>
          <w:highlight w:val="none"/>
        </w:rPr>
      </w:pPr>
      <w:r>
        <w:rPr>
          <w:rFonts w:hint="eastAsia" w:ascii="宋体" w:hAnsi="宋体"/>
          <w:b/>
          <w:bCs/>
          <w:color w:val="auto"/>
          <w:highlight w:val="none"/>
        </w:rPr>
        <w:t>多元集成，多道融合</w:t>
      </w:r>
      <w:bookmarkEnd w:id="34"/>
    </w:p>
    <w:p>
      <w:pPr>
        <w:ind w:firstLine="480" w:firstLineChars="200"/>
        <w:rPr>
          <w:rFonts w:hint="eastAsia" w:ascii="宋体" w:hAnsi="宋体"/>
          <w:color w:val="auto"/>
          <w:highlight w:val="none"/>
        </w:rPr>
      </w:pPr>
      <w:bookmarkStart w:id="35" w:name="_Hlk193356143"/>
      <w:bookmarkStart w:id="36" w:name="_Toc191459114"/>
      <w:r>
        <w:rPr>
          <w:rFonts w:ascii="Arial" w:hAnsi="Arial" w:cs="Arial"/>
          <w:color w:val="auto"/>
          <w:highlight w:val="none"/>
          <w:shd w:val="clear" w:color="auto" w:fill="FFFFFF"/>
        </w:rPr>
        <w:t>紧扣</w:t>
      </w:r>
      <w:r>
        <w:rPr>
          <w:rFonts w:hint="eastAsia" w:ascii="宋体" w:hAnsi="宋体"/>
          <w:color w:val="auto"/>
          <w:highlight w:val="none"/>
        </w:rPr>
        <w:t>城市有机更新，</w:t>
      </w:r>
      <w:r>
        <w:rPr>
          <w:rFonts w:ascii="Arial" w:hAnsi="Arial" w:cs="Arial"/>
          <w:color w:val="auto"/>
          <w:highlight w:val="none"/>
          <w:shd w:val="clear" w:color="auto" w:fill="FFFFFF"/>
        </w:rPr>
        <w:t>系统整合滨水慢行、公园健身、绿地游憩、</w:t>
      </w:r>
      <w:r>
        <w:rPr>
          <w:rFonts w:hint="eastAsia" w:ascii="Arial" w:hAnsi="Arial" w:cs="Arial"/>
          <w:color w:val="auto"/>
          <w:highlight w:val="none"/>
          <w:shd w:val="clear" w:color="auto" w:fill="FFFFFF"/>
        </w:rPr>
        <w:t>古道</w:t>
      </w:r>
      <w:r>
        <w:rPr>
          <w:rFonts w:ascii="Arial" w:hAnsi="Arial" w:cs="Arial"/>
          <w:color w:val="auto"/>
          <w:highlight w:val="none"/>
          <w:shd w:val="clear" w:color="auto" w:fill="FFFFFF"/>
        </w:rPr>
        <w:t>等线性空间资源，</w:t>
      </w:r>
      <w:r>
        <w:rPr>
          <w:rFonts w:hint="eastAsia" w:ascii="宋体" w:hAnsi="宋体"/>
          <w:color w:val="auto"/>
          <w:highlight w:val="none"/>
        </w:rPr>
        <w:t>将符合绿道基本功能的滨水慢行道、公园慢跑道、各类绿地中的游步道、健身步道、古道、林荫道、防火道</w:t>
      </w:r>
      <w:r>
        <w:rPr>
          <w:rFonts w:ascii="宋体" w:hAnsi="宋体"/>
          <w:color w:val="auto"/>
          <w:highlight w:val="none"/>
        </w:rPr>
        <w:t>等线性空间</w:t>
      </w:r>
      <w:r>
        <w:rPr>
          <w:rFonts w:hint="eastAsia" w:ascii="宋体" w:hAnsi="宋体"/>
          <w:color w:val="auto"/>
          <w:highlight w:val="none"/>
        </w:rPr>
        <w:t>，</w:t>
      </w:r>
      <w:r>
        <w:rPr>
          <w:rFonts w:ascii="宋体" w:hAnsi="宋体"/>
          <w:color w:val="auto"/>
          <w:highlight w:val="none"/>
        </w:rPr>
        <w:t>有序纳入绿道</w:t>
      </w:r>
      <w:r>
        <w:rPr>
          <w:rFonts w:hint="eastAsia" w:ascii="宋体" w:hAnsi="宋体"/>
          <w:color w:val="auto"/>
          <w:highlight w:val="none"/>
        </w:rPr>
        <w:t>系统</w:t>
      </w:r>
      <w:r>
        <w:rPr>
          <w:rFonts w:ascii="宋体" w:hAnsi="宋体"/>
          <w:color w:val="auto"/>
          <w:highlight w:val="none"/>
        </w:rPr>
        <w:t>。</w:t>
      </w:r>
      <w:r>
        <w:rPr>
          <w:rFonts w:ascii="Arial" w:hAnsi="Arial" w:cs="Arial"/>
          <w:color w:val="auto"/>
          <w:highlight w:val="none"/>
          <w:shd w:val="clear" w:color="auto" w:fill="FFFFFF"/>
        </w:rPr>
        <w:t>通过标准化衔接与</w:t>
      </w:r>
      <w:r>
        <w:rPr>
          <w:rFonts w:hint="eastAsia" w:ascii="Arial" w:hAnsi="Arial" w:cs="Arial"/>
          <w:color w:val="auto"/>
          <w:highlight w:val="none"/>
          <w:shd w:val="clear" w:color="auto" w:fill="FFFFFF"/>
        </w:rPr>
        <w:t>绿道化改造</w:t>
      </w:r>
      <w:r>
        <w:rPr>
          <w:rFonts w:ascii="Arial" w:hAnsi="Arial" w:cs="Arial"/>
          <w:color w:val="auto"/>
          <w:highlight w:val="none"/>
          <w:shd w:val="clear" w:color="auto" w:fill="FFFFFF"/>
        </w:rPr>
        <w:t>，有机拓展</w:t>
      </w:r>
      <w:r>
        <w:rPr>
          <w:rFonts w:hint="eastAsia" w:ascii="Arial" w:hAnsi="Arial" w:cs="Arial"/>
          <w:color w:val="auto"/>
          <w:highlight w:val="none"/>
          <w:shd w:val="clear" w:color="auto" w:fill="FFFFFF"/>
        </w:rPr>
        <w:t>绿道空间</w:t>
      </w:r>
      <w:r>
        <w:rPr>
          <w:rFonts w:ascii="Arial" w:hAnsi="Arial" w:cs="Arial"/>
          <w:color w:val="auto"/>
          <w:highlight w:val="none"/>
          <w:shd w:val="clear" w:color="auto" w:fill="FFFFFF"/>
        </w:rPr>
        <w:t>，多维提升功能内涵，强化绿色基础设施的公共属性。</w:t>
      </w:r>
      <w:r>
        <w:rPr>
          <w:rFonts w:hint="eastAsia" w:ascii="宋体" w:hAnsi="宋体"/>
          <w:color w:val="auto"/>
          <w:highlight w:val="none"/>
        </w:rPr>
        <w:t>系统激活绿道生态价值，为城市高质量发展持续注入绿色动能。</w:t>
      </w:r>
    </w:p>
    <w:bookmarkEnd w:id="35"/>
    <w:p>
      <w:pPr>
        <w:pStyle w:val="25"/>
        <w:numPr>
          <w:ilvl w:val="0"/>
          <w:numId w:val="6"/>
        </w:numPr>
        <w:ind w:firstLineChars="0"/>
        <w:rPr>
          <w:rFonts w:hint="eastAsia" w:ascii="宋体" w:hAnsi="宋体"/>
          <w:b/>
          <w:bCs/>
          <w:color w:val="auto"/>
          <w:highlight w:val="none"/>
        </w:rPr>
      </w:pPr>
      <w:r>
        <w:rPr>
          <w:rFonts w:hint="eastAsia" w:ascii="宋体" w:hAnsi="宋体"/>
          <w:b/>
          <w:bCs/>
          <w:color w:val="auto"/>
          <w:highlight w:val="none"/>
        </w:rPr>
        <w:t>存量更新，</w:t>
      </w:r>
      <w:bookmarkStart w:id="37" w:name="OLE_LINK2"/>
      <w:r>
        <w:rPr>
          <w:rFonts w:hint="eastAsia" w:ascii="宋体" w:hAnsi="宋体"/>
          <w:b/>
          <w:bCs/>
          <w:color w:val="auto"/>
          <w:highlight w:val="none"/>
        </w:rPr>
        <w:t>效能升级</w:t>
      </w:r>
      <w:bookmarkEnd w:id="37"/>
      <w:r>
        <w:rPr>
          <w:rFonts w:hint="eastAsia" w:ascii="宋体" w:hAnsi="宋体"/>
          <w:b/>
          <w:bCs/>
          <w:color w:val="auto"/>
          <w:highlight w:val="none"/>
        </w:rPr>
        <w:t xml:space="preserve"> </w:t>
      </w:r>
      <w:bookmarkEnd w:id="36"/>
    </w:p>
    <w:p>
      <w:pPr>
        <w:ind w:firstLine="480" w:firstLineChars="200"/>
        <w:rPr>
          <w:rFonts w:hint="eastAsia" w:ascii="宋体" w:hAnsi="宋体"/>
          <w:color w:val="auto"/>
          <w:highlight w:val="none"/>
        </w:rPr>
      </w:pPr>
      <w:r>
        <w:rPr>
          <w:rFonts w:hint="eastAsia" w:ascii="宋体" w:hAnsi="宋体"/>
          <w:color w:val="auto"/>
          <w:highlight w:val="none"/>
        </w:rPr>
        <w:t>基于杭州较大规模的绿道网络，重点推进存量绿道的功能完善与品质更新工作，推动从“量”的扩张向“质”的飞跃转变。通过创新运营模式，激活绿道资产，植入绿道经济多元消费场景，挖掘绿道的生态效益、社会效益和经济效益，推动新时代的绿道效能升级。</w:t>
      </w:r>
    </w:p>
    <w:p>
      <w:pPr>
        <w:pStyle w:val="25"/>
        <w:numPr>
          <w:ilvl w:val="0"/>
          <w:numId w:val="6"/>
        </w:numPr>
        <w:ind w:firstLineChars="0"/>
        <w:rPr>
          <w:rFonts w:hint="eastAsia" w:ascii="宋体" w:hAnsi="宋体"/>
          <w:b/>
          <w:bCs/>
          <w:color w:val="auto"/>
          <w:highlight w:val="none"/>
        </w:rPr>
      </w:pPr>
      <w:bookmarkStart w:id="38" w:name="_Toc191459115"/>
      <w:r>
        <w:rPr>
          <w:rFonts w:hint="eastAsia" w:ascii="宋体" w:hAnsi="宋体"/>
          <w:b/>
          <w:bCs/>
          <w:color w:val="auto"/>
          <w:highlight w:val="none"/>
        </w:rPr>
        <w:t>韵味彰显，品牌</w:t>
      </w:r>
      <w:bookmarkEnd w:id="38"/>
      <w:r>
        <w:rPr>
          <w:rFonts w:hint="eastAsia" w:ascii="宋体" w:hAnsi="宋体"/>
          <w:b/>
          <w:bCs/>
          <w:color w:val="auto"/>
          <w:highlight w:val="none"/>
        </w:rPr>
        <w:t>打造</w:t>
      </w:r>
    </w:p>
    <w:p>
      <w:pPr>
        <w:ind w:firstLine="480" w:firstLineChars="200"/>
        <w:rPr>
          <w:rFonts w:hint="eastAsia" w:ascii="宋体" w:hAnsi="宋体"/>
          <w:color w:val="auto"/>
          <w:highlight w:val="none"/>
        </w:rPr>
      </w:pPr>
      <w:bookmarkStart w:id="39" w:name="_Toc191459116"/>
      <w:r>
        <w:rPr>
          <w:rFonts w:hint="eastAsia" w:ascii="宋体" w:hAnsi="宋体"/>
          <w:color w:val="auto"/>
          <w:highlight w:val="none"/>
        </w:rPr>
        <w:t>绿道立足杭州“独特韵味、别样精彩”的总体要求和“湿地水城、诗画江南、风雅钱塘、创新天堂”的风貌特色，彰显地域文化与自然禀赋。打造具有杭州辨识度的十大品牌绿道，建设八大特色绿道系列，擦亮“杭州绿道”品牌金名片。</w:t>
      </w:r>
    </w:p>
    <w:p>
      <w:pPr>
        <w:pStyle w:val="25"/>
        <w:numPr>
          <w:ilvl w:val="0"/>
          <w:numId w:val="6"/>
        </w:numPr>
        <w:ind w:firstLineChars="0"/>
        <w:rPr>
          <w:rFonts w:hint="eastAsia" w:ascii="宋体" w:hAnsi="宋体"/>
          <w:b/>
          <w:bCs/>
          <w:color w:val="auto"/>
          <w:highlight w:val="none"/>
        </w:rPr>
      </w:pPr>
      <w:r>
        <w:rPr>
          <w:rFonts w:hint="eastAsia" w:ascii="宋体" w:hAnsi="宋体"/>
          <w:b/>
          <w:bCs/>
          <w:color w:val="auto"/>
          <w:highlight w:val="none"/>
        </w:rPr>
        <w:t>数智赋能，精细</w:t>
      </w:r>
      <w:bookmarkEnd w:id="39"/>
      <w:r>
        <w:rPr>
          <w:rFonts w:hint="eastAsia" w:ascii="宋体" w:hAnsi="宋体"/>
          <w:b/>
          <w:bCs/>
          <w:color w:val="auto"/>
          <w:highlight w:val="none"/>
        </w:rPr>
        <w:t>治理</w:t>
      </w:r>
    </w:p>
    <w:p>
      <w:pPr>
        <w:ind w:firstLine="480" w:firstLineChars="200"/>
        <w:rPr>
          <w:rFonts w:hint="eastAsia" w:ascii="宋体" w:hAnsi="宋体"/>
          <w:color w:val="auto"/>
          <w:highlight w:val="none"/>
        </w:rPr>
      </w:pPr>
      <w:bookmarkStart w:id="40" w:name="_Hlk193356278"/>
      <w:r>
        <w:rPr>
          <w:rFonts w:hint="eastAsia" w:ascii="宋体" w:hAnsi="宋体"/>
          <w:color w:val="auto"/>
          <w:highlight w:val="none"/>
        </w:rPr>
        <w:t>推动智慧管理、智慧服务、智慧运维等系统数据融通，构建全周期动态管控体系。深化数字化技术应用，实现环境监测、设施管护、客流分析等多方面的智慧应用，助力城市治理精细化、现代化。</w:t>
      </w:r>
    </w:p>
    <w:p>
      <w:pPr>
        <w:widowControl/>
        <w:snapToGrid/>
        <w:spacing w:line="240" w:lineRule="auto"/>
        <w:jc w:val="left"/>
        <w:rPr>
          <w:rFonts w:hint="eastAsia" w:ascii="宋体" w:hAnsi="宋体" w:cstheme="majorBidi"/>
          <w:b/>
          <w:bCs/>
          <w:color w:val="auto"/>
          <w:sz w:val="44"/>
          <w:szCs w:val="32"/>
          <w:highlight w:val="none"/>
        </w:rPr>
      </w:pPr>
      <w:r>
        <w:rPr>
          <w:rFonts w:hint="eastAsia" w:ascii="宋体" w:hAnsi="宋体"/>
          <w:color w:val="auto"/>
          <w:highlight w:val="none"/>
        </w:rPr>
        <w:br w:type="page"/>
      </w:r>
    </w:p>
    <w:p>
      <w:pPr>
        <w:pStyle w:val="3"/>
        <w:ind w:firstLine="883" w:firstLineChars="200"/>
        <w:jc w:val="center"/>
        <w:rPr>
          <w:rFonts w:hint="eastAsia" w:ascii="宋体" w:hAnsi="宋体" w:eastAsia="宋体"/>
          <w:color w:val="auto"/>
          <w:highlight w:val="none"/>
        </w:rPr>
      </w:pPr>
      <w:bookmarkStart w:id="41" w:name="_Toc196313843"/>
      <w:bookmarkStart w:id="42" w:name="_Toc2118647131"/>
      <w:r>
        <w:rPr>
          <w:rFonts w:hint="eastAsia" w:ascii="宋体" w:hAnsi="宋体" w:eastAsia="宋体"/>
          <w:color w:val="auto"/>
          <w:highlight w:val="none"/>
        </w:rPr>
        <w:t>第三章 布局与行动</w:t>
      </w:r>
      <w:bookmarkEnd w:id="41"/>
      <w:bookmarkEnd w:id="42"/>
    </w:p>
    <w:bookmarkEnd w:id="40"/>
    <w:p>
      <w:pPr>
        <w:pStyle w:val="5"/>
        <w:numPr>
          <w:ilvl w:val="0"/>
          <w:numId w:val="4"/>
        </w:numPr>
        <w:rPr>
          <w:rFonts w:hint="eastAsia" w:ascii="宋体" w:hAnsi="宋体"/>
          <w:color w:val="auto"/>
          <w:highlight w:val="none"/>
        </w:rPr>
      </w:pPr>
      <w:bookmarkStart w:id="43" w:name="_Toc191459120"/>
      <w:bookmarkStart w:id="44" w:name="_Toc196313844"/>
      <w:bookmarkStart w:id="45" w:name="_Toc39688914"/>
      <w:r>
        <w:rPr>
          <w:rFonts w:hint="eastAsia" w:ascii="宋体" w:hAnsi="宋体"/>
          <w:color w:val="auto"/>
          <w:highlight w:val="none"/>
        </w:rPr>
        <w:t>规划结构</w:t>
      </w:r>
      <w:bookmarkEnd w:id="43"/>
      <w:bookmarkEnd w:id="44"/>
      <w:bookmarkEnd w:id="45"/>
    </w:p>
    <w:p>
      <w:pPr>
        <w:ind w:firstLine="480" w:firstLineChars="200"/>
        <w:rPr>
          <w:rFonts w:hint="eastAsia" w:ascii="等线" w:hAnsi="等线" w:cs="Times New Roman"/>
          <w:color w:val="auto"/>
          <w:szCs w:val="24"/>
          <w:highlight w:val="none"/>
        </w:rPr>
      </w:pPr>
      <w:r>
        <w:rPr>
          <w:rFonts w:hint="eastAsia" w:ascii="宋体" w:hAnsi="宋体"/>
          <w:color w:val="auto"/>
          <w:highlight w:val="none"/>
        </w:rPr>
        <w:t>衔接落实杭州市国土空间总体规划、浙江省省级绿道网规划、杭州市绿地系统专项规划等相关规划，构建</w:t>
      </w:r>
      <w:bookmarkStart w:id="46" w:name="_Hlk193916923"/>
      <w:r>
        <w:rPr>
          <w:rFonts w:hint="cs" w:ascii="宋体" w:hAnsi="宋体"/>
          <w:color w:val="auto"/>
          <w:highlight w:val="none"/>
        </w:rPr>
        <w:t>“</w:t>
      </w:r>
      <w:r>
        <w:rPr>
          <w:rFonts w:hint="eastAsia" w:ascii="宋体" w:hAnsi="宋体"/>
          <w:color w:val="auto"/>
          <w:highlight w:val="none"/>
        </w:rPr>
        <w:t>一廊两带，八射多环</w:t>
      </w:r>
      <w:r>
        <w:rPr>
          <w:rFonts w:hint="cs" w:ascii="宋体" w:hAnsi="宋体"/>
          <w:color w:val="auto"/>
          <w:highlight w:val="none"/>
        </w:rPr>
        <w:t>”</w:t>
      </w:r>
      <w:r>
        <w:rPr>
          <w:rFonts w:hint="eastAsia" w:ascii="宋体" w:hAnsi="宋体"/>
          <w:color w:val="auto"/>
          <w:highlight w:val="none"/>
        </w:rPr>
        <w:t>的空间结构</w:t>
      </w:r>
      <w:bookmarkEnd w:id="46"/>
      <w:r>
        <w:rPr>
          <w:rFonts w:hint="eastAsia" w:ascii="宋体" w:hAnsi="宋体"/>
          <w:color w:val="auto"/>
          <w:highlight w:val="none"/>
        </w:rPr>
        <w:t>。</w:t>
      </w:r>
    </w:p>
    <w:p>
      <w:pPr>
        <w:pStyle w:val="25"/>
        <w:numPr>
          <w:ilvl w:val="0"/>
          <w:numId w:val="7"/>
        </w:numPr>
        <w:ind w:firstLineChars="0"/>
        <w:rPr>
          <w:rFonts w:hint="eastAsia" w:ascii="宋体" w:hAnsi="宋体"/>
          <w:b/>
          <w:color w:val="auto"/>
          <w:highlight w:val="none"/>
        </w:rPr>
      </w:pPr>
      <w:r>
        <w:rPr>
          <w:rFonts w:ascii="宋体" w:hAnsi="宋体"/>
          <w:b/>
          <w:color w:val="auto"/>
          <w:highlight w:val="none"/>
        </w:rPr>
        <w:t>一廊：三江两岸绿廊</w:t>
      </w:r>
    </w:p>
    <w:p>
      <w:pPr>
        <w:ind w:firstLine="480" w:firstLineChars="200"/>
        <w:rPr>
          <w:rFonts w:hint="eastAsia" w:ascii="宋体" w:hAnsi="宋体"/>
          <w:color w:val="auto"/>
          <w:highlight w:val="none"/>
        </w:rPr>
      </w:pPr>
      <w:r>
        <w:rPr>
          <w:rFonts w:hint="eastAsia" w:ascii="宋体" w:hAnsi="宋体"/>
          <w:color w:val="auto"/>
          <w:highlight w:val="none"/>
        </w:rPr>
        <w:t>以钱塘江、富春江、新安江及两岸生态空间为载体，串联沿线自然资源、城乡聚落、文化遗存和产业节点等，构建贯通市域、功能复合、联动城乡的生态绿脊，打造地域特色的绿道品牌。</w:t>
      </w:r>
    </w:p>
    <w:p>
      <w:pPr>
        <w:pStyle w:val="25"/>
        <w:numPr>
          <w:ilvl w:val="0"/>
          <w:numId w:val="7"/>
        </w:numPr>
        <w:ind w:firstLineChars="0"/>
        <w:rPr>
          <w:rFonts w:hint="eastAsia" w:ascii="宋体" w:hAnsi="宋体"/>
          <w:b/>
          <w:color w:val="auto"/>
          <w:highlight w:val="none"/>
        </w:rPr>
      </w:pPr>
      <w:r>
        <w:rPr>
          <w:rFonts w:ascii="宋体" w:hAnsi="宋体"/>
          <w:b/>
          <w:color w:val="auto"/>
          <w:highlight w:val="none"/>
        </w:rPr>
        <w:t>两带：京杭大运河带、湿地湖链带</w:t>
      </w:r>
    </w:p>
    <w:p>
      <w:pPr>
        <w:ind w:firstLine="480" w:firstLineChars="200"/>
        <w:rPr>
          <w:rFonts w:hint="eastAsia" w:ascii="宋体" w:hAnsi="宋体"/>
          <w:color w:val="auto"/>
          <w:highlight w:val="none"/>
        </w:rPr>
      </w:pPr>
      <w:r>
        <w:rPr>
          <w:rFonts w:ascii="宋体" w:hAnsi="宋体"/>
          <w:color w:val="auto"/>
          <w:highlight w:val="none"/>
        </w:rPr>
        <w:t>京杭大运河带是</w:t>
      </w:r>
      <w:r>
        <w:rPr>
          <w:rFonts w:hint="eastAsia" w:ascii="宋体" w:hAnsi="宋体"/>
          <w:color w:val="auto"/>
          <w:highlight w:val="none"/>
        </w:rPr>
        <w:t>杭州</w:t>
      </w:r>
      <w:r>
        <w:rPr>
          <w:rFonts w:ascii="宋体" w:hAnsi="宋体"/>
          <w:color w:val="auto"/>
          <w:highlight w:val="none"/>
        </w:rPr>
        <w:t>绿道网络体系</w:t>
      </w:r>
      <w:r>
        <w:rPr>
          <w:rFonts w:hint="eastAsia" w:ascii="宋体" w:hAnsi="宋体"/>
          <w:color w:val="auto"/>
          <w:highlight w:val="none"/>
        </w:rPr>
        <w:t>中</w:t>
      </w:r>
      <w:r>
        <w:rPr>
          <w:rFonts w:ascii="宋体" w:hAnsi="宋体"/>
          <w:color w:val="auto"/>
          <w:highlight w:val="none"/>
        </w:rPr>
        <w:t>的重要城市文脉。以运河为载体，串联西兴古镇、北塘河、艮山运河公园、小河直街历史文化街区、余杭良渚门户公园、陆博滨水公园等节点，形成融合古今</w:t>
      </w:r>
      <w:r>
        <w:rPr>
          <w:rFonts w:hint="eastAsia" w:ascii="宋体" w:hAnsi="宋体"/>
          <w:color w:val="auto"/>
          <w:highlight w:val="none"/>
        </w:rPr>
        <w:t>、</w:t>
      </w:r>
      <w:r>
        <w:rPr>
          <w:rFonts w:ascii="宋体" w:hAnsi="宋体" w:cs="Segoe UI"/>
          <w:color w:val="auto"/>
          <w:highlight w:val="none"/>
          <w:shd w:val="clear" w:color="auto" w:fill="FCFCFC"/>
        </w:rPr>
        <w:t>步移景异</w:t>
      </w:r>
      <w:r>
        <w:rPr>
          <w:rFonts w:ascii="宋体" w:hAnsi="宋体"/>
          <w:color w:val="auto"/>
          <w:highlight w:val="none"/>
        </w:rPr>
        <w:t>的水岸漫步空间。</w:t>
      </w:r>
    </w:p>
    <w:p>
      <w:pPr>
        <w:ind w:firstLine="480" w:firstLineChars="200"/>
        <w:rPr>
          <w:rFonts w:hint="eastAsia" w:ascii="宋体" w:hAnsi="宋体"/>
          <w:color w:val="auto"/>
          <w:highlight w:val="none"/>
        </w:rPr>
      </w:pPr>
      <w:r>
        <w:rPr>
          <w:rFonts w:hint="eastAsia" w:ascii="宋体" w:hAnsi="宋体"/>
          <w:color w:val="auto"/>
          <w:highlight w:val="none"/>
        </w:rPr>
        <w:t>湿地湖链带是杭州绿道网络体系中的重要生态脉络。依托南苕溪、余杭塘河两</w:t>
      </w:r>
      <w:r>
        <w:rPr>
          <w:rFonts w:ascii="宋体" w:hAnsi="宋体"/>
          <w:color w:val="auto"/>
          <w:highlight w:val="none"/>
        </w:rPr>
        <w:t>条水系，串联西湖、城西休闲公园、西溪湿地、五常水乡、和睦水乡、凤凰山休闲公园、南湖公园，青山湖等湿地湖泊资源，统筹城西科创大走廊生态本底保护与城乡融合发展，打造湿地连绵成网、蓝绿生境交融的生态示范带。</w:t>
      </w:r>
    </w:p>
    <w:p>
      <w:pPr>
        <w:pStyle w:val="25"/>
        <w:numPr>
          <w:ilvl w:val="0"/>
          <w:numId w:val="7"/>
        </w:numPr>
        <w:ind w:firstLineChars="0"/>
        <w:rPr>
          <w:rFonts w:hint="eastAsia" w:ascii="宋体" w:hAnsi="宋体"/>
          <w:b/>
          <w:color w:val="auto"/>
          <w:highlight w:val="none"/>
        </w:rPr>
      </w:pPr>
      <w:r>
        <w:rPr>
          <w:rFonts w:hint="eastAsia" w:ascii="宋体" w:hAnsi="宋体"/>
          <w:b/>
          <w:color w:val="auto"/>
          <w:highlight w:val="none"/>
        </w:rPr>
        <w:t>八射：</w:t>
      </w:r>
      <w:r>
        <w:rPr>
          <w:rFonts w:ascii="宋体" w:hAnsi="宋体"/>
          <w:b/>
          <w:color w:val="auto"/>
          <w:highlight w:val="none"/>
        </w:rPr>
        <w:t>骨干河流廊道</w:t>
      </w:r>
    </w:p>
    <w:p>
      <w:pPr>
        <w:ind w:firstLine="492"/>
        <w:rPr>
          <w:rFonts w:hint="eastAsia" w:ascii="宋体" w:hAnsi="宋体"/>
          <w:color w:val="auto"/>
          <w:highlight w:val="none"/>
        </w:rPr>
      </w:pPr>
      <w:r>
        <w:rPr>
          <w:rFonts w:hint="eastAsia" w:ascii="宋体" w:hAnsi="宋体"/>
          <w:color w:val="auto"/>
          <w:highlight w:val="none"/>
        </w:rPr>
        <w:t>八射</w:t>
      </w:r>
      <w:r>
        <w:rPr>
          <w:rFonts w:ascii="宋体" w:hAnsi="宋体"/>
          <w:color w:val="auto"/>
          <w:highlight w:val="none"/>
        </w:rPr>
        <w:t>是</w:t>
      </w:r>
      <w:r>
        <w:rPr>
          <w:rFonts w:hint="eastAsia" w:ascii="宋体" w:hAnsi="宋体"/>
          <w:color w:val="auto"/>
          <w:highlight w:val="none"/>
        </w:rPr>
        <w:t>杭州</w:t>
      </w:r>
      <w:r>
        <w:rPr>
          <w:rFonts w:ascii="宋体" w:hAnsi="宋体"/>
          <w:color w:val="auto"/>
          <w:highlight w:val="none"/>
        </w:rPr>
        <w:t>绿道网络体系中的重要结构性要素，依托</w:t>
      </w:r>
      <w:r>
        <w:rPr>
          <w:rFonts w:hint="eastAsia" w:ascii="宋体" w:hAnsi="宋体"/>
          <w:color w:val="auto"/>
          <w:highlight w:val="none"/>
        </w:rPr>
        <w:t>新安江、昌化溪、东关溪、南苕溪、寿昌江、兰江、大源溪、浦阳江等八条</w:t>
      </w:r>
      <w:r>
        <w:rPr>
          <w:rFonts w:ascii="宋体" w:hAnsi="宋体"/>
          <w:color w:val="auto"/>
          <w:highlight w:val="none"/>
        </w:rPr>
        <w:t>重要水系，</w:t>
      </w:r>
      <w:r>
        <w:rPr>
          <w:rFonts w:hint="eastAsia" w:ascii="宋体" w:hAnsi="宋体"/>
          <w:color w:val="auto"/>
          <w:highlight w:val="none"/>
        </w:rPr>
        <w:t>向外辐射延申</w:t>
      </w:r>
      <w:r>
        <w:rPr>
          <w:rFonts w:hint="eastAsia" w:ascii="宋体" w:hAnsi="宋体"/>
          <w:color w:val="auto"/>
          <w:highlight w:val="none"/>
        </w:rPr>
        <w:t>，</w:t>
      </w:r>
      <w:r>
        <w:rPr>
          <w:rFonts w:ascii="宋体" w:hAnsi="宋体"/>
          <w:color w:val="auto"/>
          <w:highlight w:val="none"/>
        </w:rPr>
        <w:t>构建生态型</w:t>
      </w:r>
      <w:r>
        <w:rPr>
          <w:rFonts w:hint="eastAsia" w:ascii="宋体" w:hAnsi="宋体"/>
          <w:color w:val="auto"/>
          <w:highlight w:val="none"/>
        </w:rPr>
        <w:t>蓝</w:t>
      </w:r>
      <w:r>
        <w:rPr>
          <w:rFonts w:ascii="宋体" w:hAnsi="宋体"/>
          <w:color w:val="auto"/>
          <w:highlight w:val="none"/>
        </w:rPr>
        <w:t>绿网络。</w:t>
      </w:r>
    </w:p>
    <w:p>
      <w:pPr>
        <w:pStyle w:val="25"/>
        <w:numPr>
          <w:ilvl w:val="0"/>
          <w:numId w:val="7"/>
        </w:numPr>
        <w:ind w:firstLineChars="0"/>
        <w:rPr>
          <w:rFonts w:hint="eastAsia" w:ascii="宋体" w:hAnsi="宋体"/>
          <w:b/>
          <w:color w:val="auto"/>
          <w:highlight w:val="none"/>
        </w:rPr>
      </w:pPr>
      <w:r>
        <w:rPr>
          <w:rFonts w:hint="eastAsia" w:ascii="宋体" w:hAnsi="宋体"/>
          <w:b/>
          <w:color w:val="auto"/>
          <w:highlight w:val="none"/>
        </w:rPr>
        <w:t>多</w:t>
      </w:r>
      <w:r>
        <w:rPr>
          <w:rFonts w:ascii="宋体" w:hAnsi="宋体"/>
          <w:b/>
          <w:color w:val="auto"/>
          <w:highlight w:val="none"/>
        </w:rPr>
        <w:t>环：绕城绿道</w:t>
      </w:r>
      <w:r>
        <w:rPr>
          <w:rFonts w:hint="eastAsia" w:ascii="宋体" w:hAnsi="宋体"/>
          <w:b/>
          <w:color w:val="auto"/>
          <w:highlight w:val="none"/>
        </w:rPr>
        <w:t>“碧玉</w:t>
      </w:r>
      <w:r>
        <w:rPr>
          <w:rFonts w:ascii="宋体" w:hAnsi="宋体"/>
          <w:b/>
          <w:color w:val="auto"/>
          <w:highlight w:val="none"/>
        </w:rPr>
        <w:t>环</w:t>
      </w:r>
      <w:r>
        <w:rPr>
          <w:rFonts w:hint="eastAsia" w:ascii="宋体" w:hAnsi="宋体"/>
          <w:b/>
          <w:color w:val="auto"/>
          <w:highlight w:val="none"/>
        </w:rPr>
        <w:t>”</w:t>
      </w:r>
    </w:p>
    <w:p>
      <w:pPr>
        <w:ind w:firstLine="480" w:firstLineChars="200"/>
        <w:rPr>
          <w:rFonts w:hint="eastAsia" w:ascii="宋体" w:hAnsi="宋体" w:cs="Times New Roman"/>
          <w:color w:val="auto"/>
          <w:szCs w:val="24"/>
          <w:highlight w:val="none"/>
        </w:rPr>
      </w:pPr>
      <w:r>
        <w:rPr>
          <w:rFonts w:hint="eastAsia" w:ascii="宋体" w:hAnsi="宋体"/>
          <w:color w:val="auto"/>
          <w:highlight w:val="none"/>
        </w:rPr>
        <w:t>依托现状绕城绿地和山水风景资源形成多个精品绿道环线。重点打造绕城绿道</w:t>
      </w:r>
      <w:r>
        <w:rPr>
          <w:rFonts w:hint="cs" w:ascii="宋体" w:hAnsi="宋体"/>
          <w:color w:val="auto"/>
          <w:highlight w:val="none"/>
        </w:rPr>
        <w:t>“</w:t>
      </w:r>
      <w:r>
        <w:rPr>
          <w:rFonts w:hint="eastAsia" w:ascii="宋体" w:hAnsi="宋体"/>
          <w:color w:val="auto"/>
          <w:highlight w:val="none"/>
        </w:rPr>
        <w:t>碧玉环</w:t>
      </w:r>
      <w:r>
        <w:rPr>
          <w:rFonts w:hint="cs" w:ascii="宋体" w:hAnsi="宋体"/>
          <w:color w:val="auto"/>
          <w:highlight w:val="none"/>
        </w:rPr>
        <w:t>”</w:t>
      </w:r>
      <w:r>
        <w:rPr>
          <w:rFonts w:hint="eastAsia" w:ascii="宋体" w:hAnsi="宋体"/>
          <w:color w:val="auto"/>
          <w:highlight w:val="none"/>
        </w:rPr>
        <w:t>为中心城区核心绿道骨架，连接拱墅区、上城区、西湖区、滨江区、钱塘区和萧山区，与城市绿道主线形成</w:t>
      </w:r>
      <w:r>
        <w:rPr>
          <w:rFonts w:hint="cs" w:ascii="宋体" w:hAnsi="宋体"/>
          <w:color w:val="auto"/>
          <w:highlight w:val="none"/>
        </w:rPr>
        <w:t>“</w:t>
      </w:r>
      <w:r>
        <w:rPr>
          <w:rFonts w:hint="eastAsia" w:ascii="宋体" w:hAnsi="宋体"/>
          <w:color w:val="auto"/>
          <w:highlight w:val="none"/>
        </w:rPr>
        <w:t>环形</w:t>
      </w:r>
      <w:r>
        <w:rPr>
          <w:rFonts w:ascii="宋体" w:hAnsi="宋体"/>
          <w:color w:val="auto"/>
          <w:highlight w:val="none"/>
        </w:rPr>
        <w:t>+</w:t>
      </w:r>
      <w:r>
        <w:rPr>
          <w:rFonts w:hint="eastAsia" w:ascii="宋体" w:hAnsi="宋体"/>
          <w:color w:val="auto"/>
          <w:highlight w:val="none"/>
        </w:rPr>
        <w:t>放射</w:t>
      </w:r>
      <w:r>
        <w:rPr>
          <w:rFonts w:hint="cs" w:ascii="宋体" w:hAnsi="宋体"/>
          <w:color w:val="auto"/>
          <w:highlight w:val="none"/>
        </w:rPr>
        <w:t>”</w:t>
      </w:r>
      <w:r>
        <w:rPr>
          <w:rFonts w:hint="eastAsia" w:ascii="宋体" w:hAnsi="宋体"/>
          <w:color w:val="auto"/>
          <w:highlight w:val="none"/>
        </w:rPr>
        <w:t>结构，提升品牌影响力。</w:t>
      </w:r>
      <w:r>
        <w:rPr>
          <w:rFonts w:hint="eastAsia" w:ascii="宋体" w:hAnsi="宋体"/>
          <w:color w:val="auto"/>
          <w:highlight w:val="none"/>
        </w:rPr>
        <w:t>同时，依托各区、县（市）地域特色资源形成多个绿道精品环线。</w:t>
      </w:r>
    </w:p>
    <w:p>
      <w:pPr>
        <w:pStyle w:val="5"/>
        <w:numPr>
          <w:ilvl w:val="0"/>
          <w:numId w:val="4"/>
        </w:numPr>
        <w:rPr>
          <w:rFonts w:hint="eastAsia" w:ascii="宋体" w:hAnsi="宋体"/>
          <w:color w:val="auto"/>
          <w:highlight w:val="none"/>
        </w:rPr>
      </w:pPr>
      <w:bookmarkStart w:id="47" w:name="_Toc196313845"/>
      <w:bookmarkStart w:id="48" w:name="_Toc651235645"/>
      <w:r>
        <w:rPr>
          <w:rFonts w:hint="eastAsia" w:ascii="宋体" w:hAnsi="宋体"/>
          <w:color w:val="auto"/>
          <w:highlight w:val="none"/>
        </w:rPr>
        <w:t>规划布局</w:t>
      </w:r>
      <w:bookmarkEnd w:id="47"/>
      <w:bookmarkEnd w:id="48"/>
    </w:p>
    <w:p>
      <w:pPr>
        <w:ind w:firstLine="480" w:firstLineChars="200"/>
        <w:rPr>
          <w:rFonts w:hint="eastAsia" w:ascii="宋体" w:hAnsi="宋体"/>
          <w:color w:val="auto"/>
          <w:highlight w:val="none"/>
        </w:rPr>
      </w:pPr>
      <w:r>
        <w:rPr>
          <w:rFonts w:hint="eastAsia" w:ascii="宋体" w:hAnsi="宋体"/>
          <w:color w:val="auto"/>
          <w:highlight w:val="none"/>
        </w:rPr>
        <w:t>基于</w:t>
      </w:r>
      <w:r>
        <w:rPr>
          <w:rFonts w:hint="cs" w:ascii="宋体" w:hAnsi="宋体"/>
          <w:color w:val="auto"/>
          <w:highlight w:val="none"/>
        </w:rPr>
        <w:t>“</w:t>
      </w:r>
      <w:r>
        <w:rPr>
          <w:rFonts w:hint="eastAsia" w:ascii="宋体" w:hAnsi="宋体"/>
          <w:color w:val="auto"/>
          <w:highlight w:val="none"/>
        </w:rPr>
        <w:t>一廊两带，八射多环</w:t>
      </w:r>
      <w:r>
        <w:rPr>
          <w:rFonts w:hint="cs" w:ascii="宋体" w:hAnsi="宋体"/>
          <w:color w:val="auto"/>
          <w:highlight w:val="none"/>
        </w:rPr>
        <w:t>”</w:t>
      </w:r>
      <w:r>
        <w:rPr>
          <w:rFonts w:hint="eastAsia" w:ascii="宋体" w:hAnsi="宋体"/>
          <w:color w:val="auto"/>
          <w:highlight w:val="none"/>
        </w:rPr>
        <w:t>的空间结构，形成全覆盖、多层次的全域绿道网络规划布局。区域级绿道、城市级绿道主线连通城乡，串联高等级资源，形成绿道骨架；城市级绿道支线与社区级绿道深度融入日常生活，形成切实服务城乡居民的绿道网络体系。</w:t>
      </w:r>
    </w:p>
    <w:p>
      <w:pPr>
        <w:pStyle w:val="25"/>
        <w:numPr>
          <w:ilvl w:val="0"/>
          <w:numId w:val="8"/>
        </w:numPr>
        <w:ind w:firstLineChars="0"/>
        <w:rPr>
          <w:rFonts w:hint="eastAsia" w:ascii="宋体" w:hAnsi="宋体"/>
          <w:b/>
          <w:bCs/>
          <w:color w:val="auto"/>
          <w:highlight w:val="none"/>
        </w:rPr>
      </w:pPr>
      <w:r>
        <w:rPr>
          <w:rFonts w:ascii="宋体" w:hAnsi="宋体"/>
          <w:b/>
          <w:bCs/>
          <w:color w:val="auto"/>
          <w:highlight w:val="none"/>
        </w:rPr>
        <w:t>区域级绿道</w:t>
      </w:r>
      <w:r>
        <w:rPr>
          <w:rFonts w:hint="eastAsia" w:ascii="宋体" w:hAnsi="宋体"/>
          <w:b/>
          <w:bCs/>
          <w:color w:val="auto"/>
          <w:highlight w:val="none"/>
        </w:rPr>
        <w:t>布局</w:t>
      </w:r>
    </w:p>
    <w:p>
      <w:pPr>
        <w:ind w:firstLine="480" w:firstLineChars="200"/>
        <w:rPr>
          <w:rFonts w:hint="eastAsia" w:ascii="宋体" w:hAnsi="宋体"/>
          <w:color w:val="auto"/>
          <w:highlight w:val="none"/>
        </w:rPr>
      </w:pPr>
      <w:r>
        <w:rPr>
          <w:rFonts w:hint="eastAsia" w:ascii="宋体" w:hAnsi="宋体"/>
          <w:color w:val="auto"/>
          <w:highlight w:val="none"/>
        </w:rPr>
        <w:t>区域级绿道是市域绿道网络的重要骨架。串联区域性生态廊道、饮用水水源保护区及风景名胜区，如西湖国家风景名胜区、千岛湖国家5A级旅游景区、青山湖国家森林公园等，促进生态环境保护；串联市域重要文化资源，如拱宸桥桥西历史街区、小河直街历史街区、塘栖古镇等，促进对重要文化资源的保护及活化利用；串联区域重要旅游景点，如湘湖旅游度假区、桐庐全域旅游示范区等，构建跨区域风景旅游网络，服务全域旅游发展。</w:t>
      </w:r>
    </w:p>
    <w:p>
      <w:pPr>
        <w:pStyle w:val="25"/>
        <w:numPr>
          <w:ilvl w:val="0"/>
          <w:numId w:val="8"/>
        </w:numPr>
        <w:ind w:firstLineChars="0"/>
        <w:rPr>
          <w:rFonts w:hint="eastAsia" w:ascii="宋体" w:hAnsi="宋体"/>
          <w:b/>
          <w:bCs/>
          <w:color w:val="auto"/>
          <w:highlight w:val="none"/>
        </w:rPr>
      </w:pPr>
      <w:r>
        <w:rPr>
          <w:rFonts w:ascii="宋体" w:hAnsi="宋体"/>
          <w:b/>
          <w:bCs/>
          <w:color w:val="auto"/>
          <w:highlight w:val="none"/>
        </w:rPr>
        <w:t>城市级绿道</w:t>
      </w:r>
      <w:r>
        <w:rPr>
          <w:rFonts w:hint="eastAsia" w:ascii="宋体" w:hAnsi="宋体"/>
          <w:b/>
          <w:bCs/>
          <w:color w:val="auto"/>
          <w:highlight w:val="none"/>
        </w:rPr>
        <w:t>布局</w:t>
      </w:r>
    </w:p>
    <w:p>
      <w:pPr>
        <w:ind w:firstLine="480" w:firstLineChars="200"/>
        <w:rPr>
          <w:rFonts w:hint="eastAsia" w:ascii="宋体" w:hAnsi="宋体"/>
          <w:color w:val="auto"/>
          <w:highlight w:val="none"/>
        </w:rPr>
      </w:pPr>
      <w:r>
        <w:rPr>
          <w:rFonts w:ascii="宋体" w:hAnsi="宋体"/>
          <w:color w:val="auto"/>
          <w:highlight w:val="none"/>
        </w:rPr>
        <w:t>城市级主线绿道是市域绿道网络的干线网络。连接重要功能组团，如钱江新城、钱江世纪城、未来科技城等，加强城市各组团之间的空间联系，促进城市协同发展；串联各类绿色开敞空间和重要自然人文节点，如长乐森林公园、西溪国家湿地公园、大奇山国家森林公园等，满足市民健身、休闲、游憩的多元化需求。</w:t>
      </w:r>
    </w:p>
    <w:p>
      <w:pPr>
        <w:pStyle w:val="25"/>
        <w:numPr>
          <w:ilvl w:val="0"/>
          <w:numId w:val="8"/>
        </w:numPr>
        <w:ind w:firstLineChars="0"/>
        <w:rPr>
          <w:rFonts w:hint="eastAsia" w:ascii="宋体" w:hAnsi="宋体"/>
          <w:b/>
          <w:bCs/>
          <w:color w:val="auto"/>
          <w:highlight w:val="none"/>
        </w:rPr>
      </w:pPr>
      <w:r>
        <w:rPr>
          <w:rFonts w:ascii="宋体" w:hAnsi="宋体"/>
          <w:b/>
          <w:bCs/>
          <w:color w:val="auto"/>
          <w:highlight w:val="none"/>
        </w:rPr>
        <w:t>社区级绿道</w:t>
      </w:r>
      <w:r>
        <w:rPr>
          <w:rFonts w:hint="eastAsia" w:ascii="宋体" w:hAnsi="宋体"/>
          <w:b/>
          <w:bCs/>
          <w:color w:val="auto"/>
          <w:highlight w:val="none"/>
        </w:rPr>
        <w:t>布局</w:t>
      </w:r>
    </w:p>
    <w:p>
      <w:pPr>
        <w:ind w:firstLine="480" w:firstLineChars="200"/>
        <w:rPr>
          <w:rFonts w:hint="eastAsia" w:ascii="宋体" w:hAnsi="宋体"/>
          <w:color w:val="auto"/>
          <w:highlight w:val="none"/>
        </w:rPr>
      </w:pPr>
      <w:r>
        <w:rPr>
          <w:rFonts w:ascii="宋体" w:hAnsi="宋体"/>
          <w:color w:val="auto"/>
          <w:highlight w:val="none"/>
        </w:rPr>
        <w:t>社区级绿道是市域绿道网络的重要组成部分，是绿道网的微循环系统。以居住点为基点，衔接周边学校、市场、医院等生活性服务设施，为居民打造安全</w:t>
      </w:r>
      <w:r>
        <w:rPr>
          <w:rFonts w:hint="eastAsia" w:ascii="宋体" w:hAnsi="宋体"/>
          <w:color w:val="auto"/>
          <w:highlight w:val="none"/>
        </w:rPr>
        <w:t>上学</w:t>
      </w:r>
      <w:r>
        <w:rPr>
          <w:rFonts w:ascii="宋体" w:hAnsi="宋体"/>
          <w:color w:val="auto"/>
          <w:highlight w:val="none"/>
        </w:rPr>
        <w:t>路、</w:t>
      </w:r>
      <w:r>
        <w:rPr>
          <w:rFonts w:hint="eastAsia" w:ascii="宋体" w:hAnsi="宋体"/>
          <w:color w:val="auto"/>
          <w:highlight w:val="none"/>
        </w:rPr>
        <w:t>绿色通勤路</w:t>
      </w:r>
      <w:r>
        <w:rPr>
          <w:rFonts w:ascii="宋体" w:hAnsi="宋体"/>
          <w:color w:val="auto"/>
          <w:highlight w:val="none"/>
        </w:rPr>
        <w:t>等贴近生活的“家门口绿道”，提升人居环境品质，增强居民幸福感。</w:t>
      </w:r>
    </w:p>
    <w:p>
      <w:pPr>
        <w:pStyle w:val="5"/>
        <w:numPr>
          <w:ilvl w:val="0"/>
          <w:numId w:val="4"/>
        </w:numPr>
        <w:rPr>
          <w:rFonts w:hint="eastAsia" w:ascii="宋体" w:hAnsi="宋体"/>
          <w:color w:val="auto"/>
          <w:highlight w:val="none"/>
        </w:rPr>
      </w:pPr>
      <w:bookmarkStart w:id="49" w:name="_Toc191459124"/>
      <w:bookmarkStart w:id="50" w:name="_Toc1051554394"/>
      <w:bookmarkStart w:id="51" w:name="_Toc196313846"/>
      <w:r>
        <w:rPr>
          <w:rFonts w:hint="eastAsia" w:ascii="宋体" w:hAnsi="宋体"/>
          <w:color w:val="auto"/>
          <w:highlight w:val="none"/>
        </w:rPr>
        <w:t>绿道</w:t>
      </w:r>
      <w:bookmarkEnd w:id="49"/>
      <w:r>
        <w:rPr>
          <w:rFonts w:hint="eastAsia" w:ascii="宋体" w:hAnsi="宋体"/>
          <w:color w:val="auto"/>
          <w:highlight w:val="none"/>
        </w:rPr>
        <w:t>建设行动</w:t>
      </w:r>
      <w:bookmarkEnd w:id="50"/>
      <w:bookmarkEnd w:id="51"/>
    </w:p>
    <w:p>
      <w:pPr>
        <w:ind w:firstLine="480" w:firstLineChars="200"/>
        <w:rPr>
          <w:rFonts w:hint="eastAsia" w:ascii="宋体" w:hAnsi="宋体"/>
          <w:color w:val="auto"/>
          <w:highlight w:val="none"/>
        </w:rPr>
      </w:pPr>
      <w:bookmarkStart w:id="52" w:name="_Toc191459127"/>
      <w:r>
        <w:rPr>
          <w:rFonts w:hint="eastAsia" w:ascii="宋体" w:hAnsi="宋体"/>
          <w:color w:val="auto"/>
          <w:highlight w:val="none"/>
        </w:rPr>
        <w:t>深入践行“五道”理念，推进八项绿道建设行动，促进构建新时代的杭州市绿道体系。</w:t>
      </w:r>
    </w:p>
    <w:p>
      <w:pPr>
        <w:pStyle w:val="25"/>
        <w:numPr>
          <w:ilvl w:val="0"/>
          <w:numId w:val="9"/>
        </w:numPr>
        <w:ind w:firstLineChars="0"/>
        <w:rPr>
          <w:rFonts w:hint="eastAsia" w:ascii="宋体" w:hAnsi="宋体"/>
          <w:b/>
          <w:bCs/>
          <w:color w:val="auto"/>
          <w:highlight w:val="none"/>
        </w:rPr>
      </w:pPr>
      <w:r>
        <w:rPr>
          <w:rFonts w:hint="eastAsia" w:ascii="宋体" w:hAnsi="宋体"/>
          <w:b/>
          <w:bCs/>
          <w:color w:val="auto"/>
          <w:highlight w:val="none"/>
        </w:rPr>
        <w:t>骨干绿道连通行动</w:t>
      </w:r>
    </w:p>
    <w:p>
      <w:pPr>
        <w:ind w:firstLine="480" w:firstLineChars="200"/>
        <w:rPr>
          <w:rFonts w:hint="eastAsia" w:ascii="宋体" w:hAnsi="宋体"/>
          <w:color w:val="auto"/>
          <w:highlight w:val="none"/>
        </w:rPr>
      </w:pPr>
      <w:r>
        <w:rPr>
          <w:rFonts w:hint="eastAsia" w:ascii="宋体" w:hAnsi="宋体"/>
          <w:color w:val="auto"/>
          <w:highlight w:val="none"/>
        </w:rPr>
        <w:t>重点摸排规划区域级绿道、城市级绿道主线中未建设的区域，结合区、县（市）建设时序，推动骨干网络次递逐步连通。打通绿道断点，</w:t>
      </w:r>
      <w:r>
        <w:rPr>
          <w:rFonts w:hint="eastAsia" w:ascii="宋体" w:hAnsi="宋体"/>
          <w:color w:val="auto"/>
          <w:spacing w:val="2"/>
          <w:highlight w:val="none"/>
          <w:shd w:val="clear" w:color="auto" w:fill="FFFFFF"/>
        </w:rPr>
        <w:t>连接</w:t>
      </w:r>
      <w:r>
        <w:rPr>
          <w:rFonts w:ascii="宋体" w:hAnsi="宋体"/>
          <w:color w:val="auto"/>
          <w:spacing w:val="2"/>
          <w:highlight w:val="none"/>
          <w:shd w:val="clear" w:color="auto" w:fill="FFFFFF"/>
        </w:rPr>
        <w:t>跨行政区域的重要生态廊道、产业带和旅游目的地</w:t>
      </w:r>
      <w:r>
        <w:rPr>
          <w:rFonts w:hint="eastAsia" w:ascii="宋体" w:hAnsi="宋体"/>
          <w:color w:val="auto"/>
          <w:spacing w:val="2"/>
          <w:highlight w:val="none"/>
          <w:shd w:val="clear" w:color="auto" w:fill="FFFFFF"/>
        </w:rPr>
        <w:t>，</w:t>
      </w:r>
      <w:r>
        <w:rPr>
          <w:rFonts w:ascii="宋体" w:hAnsi="宋体"/>
          <w:color w:val="auto"/>
          <w:spacing w:val="2"/>
          <w:highlight w:val="none"/>
          <w:shd w:val="clear" w:color="auto" w:fill="FFFFFF"/>
        </w:rPr>
        <w:t>通过科学评估地形条件、资源分布与功能需求，优化绿道</w:t>
      </w:r>
      <w:r>
        <w:rPr>
          <w:rFonts w:hint="eastAsia" w:ascii="宋体" w:hAnsi="宋体"/>
          <w:color w:val="auto"/>
          <w:spacing w:val="2"/>
          <w:highlight w:val="none"/>
          <w:shd w:val="clear" w:color="auto" w:fill="FFFFFF"/>
        </w:rPr>
        <w:t>线位</w:t>
      </w:r>
      <w:r>
        <w:rPr>
          <w:rFonts w:ascii="宋体" w:hAnsi="宋体"/>
          <w:color w:val="auto"/>
          <w:spacing w:val="2"/>
          <w:highlight w:val="none"/>
          <w:shd w:val="clear" w:color="auto" w:fill="FFFFFF"/>
        </w:rPr>
        <w:t>与节点设置，</w:t>
      </w:r>
      <w:r>
        <w:rPr>
          <w:rFonts w:hint="eastAsia" w:ascii="宋体" w:hAnsi="宋体"/>
          <w:color w:val="auto"/>
          <w:highlight w:val="none"/>
        </w:rPr>
        <w:t>确保绿道骨干脉络的连通性与可达性。</w:t>
      </w:r>
    </w:p>
    <w:p>
      <w:pPr>
        <w:pStyle w:val="25"/>
        <w:numPr>
          <w:ilvl w:val="0"/>
          <w:numId w:val="9"/>
        </w:numPr>
        <w:ind w:firstLineChars="0"/>
        <w:rPr>
          <w:rFonts w:hint="eastAsia" w:ascii="宋体" w:hAnsi="宋体"/>
          <w:b/>
          <w:bCs/>
          <w:color w:val="auto"/>
          <w:highlight w:val="none"/>
        </w:rPr>
      </w:pPr>
      <w:r>
        <w:rPr>
          <w:rFonts w:hint="eastAsia" w:ascii="宋体" w:hAnsi="宋体"/>
          <w:b/>
          <w:bCs/>
          <w:color w:val="auto"/>
          <w:highlight w:val="none"/>
        </w:rPr>
        <w:t>家门口绿道</w:t>
      </w:r>
      <w:bookmarkStart w:id="53" w:name="_Hlk193909098"/>
      <w:r>
        <w:rPr>
          <w:rFonts w:hint="eastAsia" w:ascii="宋体" w:hAnsi="宋体"/>
          <w:b/>
          <w:bCs/>
          <w:color w:val="auto"/>
          <w:highlight w:val="none"/>
        </w:rPr>
        <w:t>密网</w:t>
      </w:r>
      <w:bookmarkEnd w:id="53"/>
      <w:r>
        <w:rPr>
          <w:rFonts w:hint="eastAsia" w:ascii="宋体" w:hAnsi="宋体"/>
          <w:b/>
          <w:bCs/>
          <w:color w:val="auto"/>
          <w:highlight w:val="none"/>
        </w:rPr>
        <w:t>行动</w:t>
      </w:r>
    </w:p>
    <w:p>
      <w:pPr>
        <w:ind w:firstLine="480" w:firstLineChars="200"/>
        <w:rPr>
          <w:rFonts w:hint="eastAsia" w:ascii="宋体" w:hAnsi="宋体"/>
          <w:color w:val="auto"/>
          <w:highlight w:val="none"/>
        </w:rPr>
      </w:pPr>
      <w:r>
        <w:rPr>
          <w:rFonts w:hint="eastAsia" w:ascii="宋体" w:hAnsi="宋体"/>
          <w:color w:val="auto"/>
          <w:highlight w:val="none"/>
        </w:rPr>
        <w:t>积极加密城镇建成区社区级绿道，增加绿道与居民日常出行的需求适配性，提升社区级绿道便利度、舒适度。实施“安全上学路、</w:t>
      </w:r>
      <w:r>
        <w:rPr>
          <w:rFonts w:hint="eastAsia" w:ascii="宋体" w:hAnsi="宋体"/>
          <w:color w:val="auto"/>
          <w:highlight w:val="none"/>
        </w:rPr>
        <w:t>绿色通勤路</w:t>
      </w:r>
      <w:r>
        <w:rPr>
          <w:rFonts w:hint="eastAsia" w:ascii="宋体" w:hAnsi="宋体"/>
          <w:color w:val="auto"/>
          <w:highlight w:val="none"/>
        </w:rPr>
        <w:t>”等市政道路的绿道化改造，串联小区与学校、公交站点、绿地、公园、文化体育、休闲娱乐、产业园区等场景空间，助力打通居民公共交通出行和骑行、步行关键的最后5</w:t>
      </w:r>
      <w:r>
        <w:rPr>
          <w:rFonts w:ascii="宋体" w:hAnsi="宋体"/>
          <w:color w:val="auto"/>
          <w:highlight w:val="none"/>
        </w:rPr>
        <w:t>00</w:t>
      </w:r>
      <w:r>
        <w:rPr>
          <w:rFonts w:hint="eastAsia" w:ascii="宋体" w:hAnsi="宋体"/>
          <w:color w:val="auto"/>
          <w:highlight w:val="none"/>
        </w:rPr>
        <w:t>米，引导短途汽车通勤向绿色出行转化。完善家门口绿道及服务设施建设，重点提升无障碍改造，让社区的“一老一小”出行更加安全，整体符合便利可达、安全畅通、设施复合、环境优美的建设要求。</w:t>
      </w:r>
    </w:p>
    <w:p>
      <w:pPr>
        <w:pStyle w:val="25"/>
        <w:numPr>
          <w:ilvl w:val="0"/>
          <w:numId w:val="9"/>
        </w:numPr>
        <w:ind w:firstLineChars="0"/>
        <w:rPr>
          <w:rFonts w:hint="eastAsia" w:ascii="宋体" w:hAnsi="宋体"/>
          <w:b/>
          <w:bCs/>
          <w:color w:val="auto"/>
          <w:highlight w:val="none"/>
        </w:rPr>
      </w:pPr>
      <w:r>
        <w:rPr>
          <w:rFonts w:hint="eastAsia" w:ascii="宋体" w:hAnsi="宋体"/>
          <w:b/>
          <w:bCs/>
          <w:color w:val="auto"/>
          <w:highlight w:val="none"/>
        </w:rPr>
        <w:t>品牌绿道</w:t>
      </w:r>
      <w:bookmarkStart w:id="54" w:name="_Hlk193911019"/>
      <w:r>
        <w:rPr>
          <w:rFonts w:hint="eastAsia" w:ascii="宋体" w:hAnsi="宋体"/>
          <w:b/>
          <w:bCs/>
          <w:color w:val="auto"/>
          <w:highlight w:val="none"/>
        </w:rPr>
        <w:t>打造</w:t>
      </w:r>
      <w:bookmarkEnd w:id="54"/>
      <w:r>
        <w:rPr>
          <w:rFonts w:hint="eastAsia" w:ascii="宋体" w:hAnsi="宋体"/>
          <w:b/>
          <w:bCs/>
          <w:color w:val="auto"/>
          <w:highlight w:val="none"/>
        </w:rPr>
        <w:t>行动</w:t>
      </w:r>
    </w:p>
    <w:p>
      <w:pPr>
        <w:ind w:firstLine="480" w:firstLineChars="200"/>
        <w:rPr>
          <w:rFonts w:hint="eastAsia" w:ascii="宋体" w:hAnsi="宋体"/>
          <w:color w:val="auto"/>
          <w:highlight w:val="none"/>
        </w:rPr>
      </w:pPr>
      <w:bookmarkStart w:id="55" w:name="OLE_LINK9"/>
      <w:r>
        <w:rPr>
          <w:rFonts w:hint="eastAsia" w:ascii="宋体" w:hAnsi="宋体"/>
          <w:color w:val="auto"/>
          <w:highlight w:val="none"/>
        </w:rPr>
        <w:t>打造杭州十大品牌绿道。依托全市最具文化气韵、生态景观特色和空间格局特征的蓝绿线性空间，遴选打造具有“杭州意象、国际魅力”的十大品牌绿道，通过文化基因解码、生态韧性强化、智慧服务集成、功能配套提质、意境场景塑造等策略，聚焦“山水韵、国际范、现代化”要求，进行综合品质升级，充分展现杭州作为人文品质之都、山水灵秀之地和活力创新之城的独特魅力。包括环西湖绿道、大运河绿道（运道）、良渚玉道、钱塘江绿道、新安江绿道、富春江绿道、千岛湖绿道、湿地湖链绿道、天目山绿道、绕城绿道“碧玉环”。</w:t>
      </w:r>
    </w:p>
    <w:bookmarkEnd w:id="55"/>
    <w:p>
      <w:pPr>
        <w:pStyle w:val="25"/>
        <w:keepNext/>
        <w:keepLines/>
        <w:pageBreakBefore w:val="0"/>
        <w:widowControl w:val="0"/>
        <w:numPr>
          <w:ilvl w:val="0"/>
          <w:numId w:val="9"/>
        </w:numPr>
        <w:kinsoku/>
        <w:wordWrap/>
        <w:overflowPunct/>
        <w:topLinePunct w:val="0"/>
        <w:autoSpaceDE/>
        <w:autoSpaceDN/>
        <w:bidi w:val="0"/>
        <w:adjustRightInd/>
        <w:snapToGrid w:val="0"/>
        <w:ind w:left="442" w:hanging="442" w:firstLineChars="0"/>
        <w:textAlignment w:val="auto"/>
        <w:rPr>
          <w:rFonts w:hint="eastAsia" w:ascii="宋体" w:hAnsi="宋体"/>
          <w:b/>
          <w:bCs/>
          <w:color w:val="auto"/>
          <w:highlight w:val="none"/>
        </w:rPr>
      </w:pPr>
      <w:r>
        <w:rPr>
          <w:rFonts w:hint="eastAsia" w:ascii="宋体" w:hAnsi="宋体"/>
          <w:b/>
          <w:bCs/>
          <w:color w:val="auto"/>
          <w:highlight w:val="none"/>
        </w:rPr>
        <w:t>特色绿道培育行动</w:t>
      </w:r>
    </w:p>
    <w:p>
      <w:pPr>
        <w:ind w:firstLine="480" w:firstLineChars="200"/>
        <w:rPr>
          <w:rFonts w:hint="eastAsia" w:ascii="宋体" w:hAnsi="宋体"/>
          <w:color w:val="auto"/>
          <w:highlight w:val="none"/>
        </w:rPr>
      </w:pPr>
      <w:bookmarkStart w:id="56" w:name="_Hlk195257860"/>
      <w:r>
        <w:rPr>
          <w:rFonts w:hint="eastAsia" w:ascii="宋体" w:hAnsi="宋体"/>
          <w:color w:val="auto"/>
          <w:highlight w:val="none"/>
        </w:rPr>
        <w:t>培育八大特色绿道系列。立足城乡居民多元体验需求及杭州市差异化资源本底，培育 “享运动”、“趣研学”、“畅</w:t>
      </w:r>
      <w:r>
        <w:rPr>
          <w:rFonts w:ascii="宋体" w:hAnsi="宋体"/>
          <w:color w:val="auto"/>
          <w:highlight w:val="none"/>
        </w:rPr>
        <w:t>骑行</w:t>
      </w:r>
      <w:r>
        <w:rPr>
          <w:rFonts w:hint="eastAsia" w:ascii="宋体" w:hAnsi="宋体"/>
          <w:color w:val="auto"/>
          <w:highlight w:val="none"/>
        </w:rPr>
        <w:t>”、“森呼吸”、“品花海”、“乡田味”、“奇幻夜”和“寻古韵”八大特色绿道系列。</w:t>
      </w:r>
    </w:p>
    <w:p>
      <w:pPr>
        <w:ind w:firstLine="480" w:firstLineChars="200"/>
        <w:rPr>
          <w:rFonts w:hint="eastAsia" w:ascii="宋体" w:hAnsi="宋体" w:cs="Arial"/>
          <w:bCs/>
          <w:color w:val="auto"/>
          <w:highlight w:val="none"/>
          <w:shd w:val="clear" w:color="auto" w:fill="FFFFFF"/>
        </w:rPr>
      </w:pPr>
      <w:r>
        <w:rPr>
          <w:rStyle w:val="20"/>
          <w:rFonts w:hint="eastAsia" w:ascii="宋体" w:hAnsi="宋体" w:cs="Arial"/>
          <w:b w:val="0"/>
          <w:bCs w:val="0"/>
          <w:color w:val="auto"/>
          <w:highlight w:val="none"/>
          <w:shd w:val="clear" w:color="auto" w:fill="FFFFFF"/>
        </w:rPr>
        <w:t>探索建立特色</w:t>
      </w:r>
      <w:r>
        <w:rPr>
          <w:rStyle w:val="20"/>
          <w:rFonts w:ascii="宋体" w:hAnsi="宋体" w:cs="Arial"/>
          <w:b w:val="0"/>
          <w:bCs w:val="0"/>
          <w:color w:val="auto"/>
          <w:highlight w:val="none"/>
          <w:shd w:val="clear" w:color="auto" w:fill="FFFFFF"/>
        </w:rPr>
        <w:t>绿道</w:t>
      </w:r>
      <w:r>
        <w:rPr>
          <w:rStyle w:val="20"/>
          <w:rFonts w:hint="eastAsia" w:ascii="宋体" w:hAnsi="宋体" w:cs="Arial"/>
          <w:b w:val="0"/>
          <w:bCs w:val="0"/>
          <w:color w:val="auto"/>
          <w:highlight w:val="none"/>
          <w:shd w:val="clear" w:color="auto" w:fill="FFFFFF"/>
        </w:rPr>
        <w:t>建设培育</w:t>
      </w:r>
      <w:r>
        <w:rPr>
          <w:rFonts w:ascii="宋体" w:hAnsi="宋体"/>
          <w:color w:val="auto"/>
          <w:highlight w:val="none"/>
        </w:rPr>
        <w:t>机制</w:t>
      </w:r>
      <w:r>
        <w:rPr>
          <w:rFonts w:hint="eastAsia" w:ascii="宋体" w:hAnsi="宋体"/>
          <w:color w:val="auto"/>
          <w:highlight w:val="none"/>
        </w:rPr>
        <w:t>，</w:t>
      </w:r>
      <w:r>
        <w:rPr>
          <w:rFonts w:ascii="宋体" w:hAnsi="宋体"/>
          <w:color w:val="auto"/>
          <w:highlight w:val="none"/>
        </w:rPr>
        <w:t>鼓励各建设主体积极推进现有绿道的高质量更新与</w:t>
      </w:r>
      <w:r>
        <w:rPr>
          <w:rFonts w:hint="eastAsia" w:ascii="宋体" w:hAnsi="宋体"/>
          <w:color w:val="auto"/>
          <w:highlight w:val="none"/>
        </w:rPr>
        <w:t>新建绿道的</w:t>
      </w:r>
      <w:r>
        <w:rPr>
          <w:rFonts w:ascii="宋体" w:hAnsi="宋体"/>
          <w:color w:val="auto"/>
          <w:highlight w:val="none"/>
        </w:rPr>
        <w:t>高品质建设</w:t>
      </w:r>
      <w:r>
        <w:rPr>
          <w:rStyle w:val="20"/>
          <w:rFonts w:ascii="宋体" w:hAnsi="宋体" w:cs="Arial"/>
          <w:b w:val="0"/>
          <w:bCs w:val="0"/>
          <w:color w:val="auto"/>
          <w:highlight w:val="none"/>
          <w:shd w:val="clear" w:color="auto" w:fill="FFFFFF"/>
        </w:rPr>
        <w:t>。</w:t>
      </w:r>
      <w:r>
        <w:rPr>
          <w:rFonts w:hint="eastAsia" w:ascii="宋体" w:hAnsi="宋体"/>
          <w:color w:val="auto"/>
          <w:highlight w:val="none"/>
        </w:rPr>
        <w:t>制定特色绿道建设要求，针对绿道五要素（慢行道、节点、标识、驿站、设施）明确特色绿道建设指引，严控特色绿道建设品质，根据不同基础及特色提出差异化建设要求。</w:t>
      </w:r>
    </w:p>
    <w:bookmarkEnd w:id="56"/>
    <w:p>
      <w:pPr>
        <w:pStyle w:val="25"/>
        <w:numPr>
          <w:ilvl w:val="0"/>
          <w:numId w:val="9"/>
        </w:numPr>
        <w:ind w:firstLineChars="0"/>
        <w:rPr>
          <w:rFonts w:hint="eastAsia" w:ascii="宋体" w:hAnsi="宋体"/>
          <w:b/>
          <w:bCs/>
          <w:color w:val="auto"/>
          <w:highlight w:val="none"/>
        </w:rPr>
      </w:pPr>
      <w:r>
        <w:rPr>
          <w:rFonts w:hint="eastAsia" w:ascii="宋体" w:hAnsi="宋体"/>
          <w:b/>
          <w:bCs/>
          <w:color w:val="auto"/>
          <w:highlight w:val="none"/>
        </w:rPr>
        <w:t>存量更新提质行动</w:t>
      </w:r>
    </w:p>
    <w:p>
      <w:pPr>
        <w:ind w:firstLine="480" w:firstLineChars="200"/>
        <w:rPr>
          <w:rFonts w:hint="eastAsia" w:ascii="宋体" w:hAnsi="宋体"/>
          <w:color w:val="auto"/>
          <w:highlight w:val="none"/>
        </w:rPr>
      </w:pPr>
      <w:r>
        <w:rPr>
          <w:rFonts w:hint="eastAsia" w:ascii="宋体" w:hAnsi="宋体"/>
          <w:color w:val="auto"/>
          <w:highlight w:val="none"/>
        </w:rPr>
        <w:t>将绿道改造纳入城市有机更新专项行动，联动河道整治、老旧社区改造等项目空间，结合绿地、绿道管养维护等工作，开展存量绿道</w:t>
      </w:r>
      <w:r>
        <w:rPr>
          <w:rFonts w:ascii="宋体" w:hAnsi="宋体"/>
          <w:color w:val="auto"/>
          <w:highlight w:val="none"/>
        </w:rPr>
        <w:t>焕新</w:t>
      </w:r>
      <w:r>
        <w:rPr>
          <w:rFonts w:hint="eastAsia" w:ascii="宋体" w:hAnsi="宋体"/>
          <w:color w:val="auto"/>
          <w:highlight w:val="none"/>
        </w:rPr>
        <w:t>，保障存量绿道服务效能和综合品质。提升慢行道安全通行功能，因地制宜嵌入各类服务设施</w:t>
      </w:r>
      <w:r>
        <w:rPr>
          <w:rFonts w:hint="eastAsia" w:ascii="宋体" w:hAnsi="宋体" w:cs="Arial"/>
          <w:color w:val="auto"/>
          <w:highlight w:val="none"/>
          <w:shd w:val="clear" w:color="auto" w:fill="FFFFFF"/>
        </w:rPr>
        <w:t>。</w:t>
      </w:r>
      <w:r>
        <w:rPr>
          <w:rFonts w:hint="eastAsia" w:ascii="宋体" w:hAnsi="宋体"/>
          <w:color w:val="auto"/>
          <w:highlight w:val="none"/>
        </w:rPr>
        <w:t>加强更新提质过程中的绿色低碳技术应用，定期开展绿道体检、公众使用评价等，及时掌握人群意见和使用需求，形成针对性提升要求，打造环境友好、用户点赞的高品质更新绿道。</w:t>
      </w:r>
    </w:p>
    <w:p>
      <w:pPr>
        <w:pStyle w:val="25"/>
        <w:numPr>
          <w:ilvl w:val="0"/>
          <w:numId w:val="9"/>
        </w:numPr>
        <w:ind w:firstLineChars="0"/>
        <w:rPr>
          <w:rFonts w:hint="eastAsia" w:ascii="宋体" w:hAnsi="宋体"/>
          <w:b/>
          <w:bCs/>
          <w:color w:val="auto"/>
          <w:highlight w:val="none"/>
        </w:rPr>
      </w:pPr>
      <w:r>
        <w:rPr>
          <w:rFonts w:hint="eastAsia" w:ascii="宋体" w:hAnsi="宋体"/>
          <w:b/>
          <w:bCs/>
          <w:color w:val="auto"/>
          <w:highlight w:val="none"/>
        </w:rPr>
        <w:t>多道融合共建行动</w:t>
      </w:r>
    </w:p>
    <w:p>
      <w:pPr>
        <w:ind w:firstLine="480" w:firstLineChars="200"/>
        <w:rPr>
          <w:rFonts w:hint="eastAsia" w:ascii="宋体" w:hAnsi="宋体"/>
          <w:color w:val="auto"/>
          <w:highlight w:val="none"/>
        </w:rPr>
      </w:pPr>
      <w:r>
        <w:rPr>
          <w:rFonts w:hint="eastAsia" w:ascii="宋体" w:hAnsi="宋体"/>
          <w:color w:val="auto"/>
          <w:highlight w:val="none"/>
        </w:rPr>
        <w:t>衔接长三角一体化绿道贯通标准，促进区域绿道连网。加强省、市绿道导则的推广应用，强化各级、各</w:t>
      </w:r>
      <w:r>
        <w:rPr>
          <w:rFonts w:ascii="宋体" w:hAnsi="宋体"/>
          <w:color w:val="auto"/>
          <w:highlight w:val="none"/>
        </w:rPr>
        <w:t>类</w:t>
      </w:r>
      <w:r>
        <w:rPr>
          <w:rFonts w:hint="eastAsia" w:ascii="宋体" w:hAnsi="宋体"/>
          <w:color w:val="auto"/>
          <w:highlight w:val="none"/>
        </w:rPr>
        <w:t>绿道建设标准和</w:t>
      </w:r>
      <w:r>
        <w:rPr>
          <w:rFonts w:ascii="宋体" w:hAnsi="宋体"/>
          <w:color w:val="auto"/>
          <w:highlight w:val="none"/>
        </w:rPr>
        <w:t>要素指引</w:t>
      </w:r>
      <w:r>
        <w:rPr>
          <w:rFonts w:hint="eastAsia" w:ascii="宋体" w:hAnsi="宋体"/>
          <w:color w:val="auto"/>
          <w:highlight w:val="none"/>
        </w:rPr>
        <w:t>。衔接各类步道标准，梳理满足绿道基本要求的森林防火道、水利巡查道、古道、登山道、市政道路非机动车道和人行道等，按照多道融合要求，有序纳入杭州绿道系统。</w:t>
      </w:r>
    </w:p>
    <w:p>
      <w:pPr>
        <w:pStyle w:val="25"/>
        <w:numPr>
          <w:ilvl w:val="0"/>
          <w:numId w:val="9"/>
        </w:numPr>
        <w:ind w:firstLineChars="0"/>
        <w:rPr>
          <w:rFonts w:hint="eastAsia" w:ascii="宋体" w:hAnsi="宋体"/>
          <w:b/>
          <w:bCs/>
          <w:color w:val="auto"/>
          <w:highlight w:val="none"/>
        </w:rPr>
      </w:pPr>
      <w:r>
        <w:rPr>
          <w:rFonts w:hint="eastAsia" w:ascii="宋体" w:hAnsi="宋体"/>
          <w:b/>
          <w:bCs/>
          <w:color w:val="auto"/>
          <w:highlight w:val="none"/>
        </w:rPr>
        <w:t>绿道经济激活行动</w:t>
      </w:r>
    </w:p>
    <w:bookmarkEnd w:id="52"/>
    <w:p>
      <w:pPr>
        <w:ind w:firstLine="480" w:firstLineChars="200"/>
        <w:rPr>
          <w:rFonts w:hint="eastAsia" w:ascii="宋体" w:hAnsi="宋体"/>
          <w:color w:val="auto"/>
          <w:highlight w:val="none"/>
        </w:rPr>
      </w:pPr>
      <w:bookmarkStart w:id="57" w:name="_Toc191459133"/>
      <w:r>
        <w:rPr>
          <w:rFonts w:hint="eastAsia" w:ascii="宋体" w:hAnsi="宋体"/>
          <w:color w:val="auto"/>
          <w:highlight w:val="none"/>
        </w:rPr>
        <w:t>激活绿道沿线资源空间，赋能绿道经济高质量发展。树立运营前置理念，系统整合乡村、产业园区、历史街区等多元旅游目的地，深入挖掘沿线村庄、驿站等闲置空间运营潜力，科学评估资产价值与市场前景，引导社会资本参与绿道闲置资产开发运营。鼓励探索市场化运营机制与“政府+企业+社会”多方共建模式，为绿道经济可持续发展注入新动能。强化区域示范经验推广，策划各类赛事活动、文旅游线等，通过多元化的文旅场景营造，带动绿道沿线经济发展，实现“绿水青山”向“金山银山”的价值转化，绘就城乡融合共同富裕的美好图景。</w:t>
      </w:r>
    </w:p>
    <w:p>
      <w:pPr>
        <w:pStyle w:val="25"/>
        <w:numPr>
          <w:ilvl w:val="0"/>
          <w:numId w:val="9"/>
        </w:numPr>
        <w:ind w:firstLineChars="0"/>
        <w:rPr>
          <w:rFonts w:hint="eastAsia" w:ascii="宋体" w:hAnsi="宋体"/>
          <w:b/>
          <w:bCs/>
          <w:color w:val="auto"/>
          <w:highlight w:val="none"/>
        </w:rPr>
      </w:pPr>
      <w:r>
        <w:rPr>
          <w:rFonts w:hint="eastAsia" w:ascii="宋体" w:hAnsi="宋体"/>
          <w:b/>
          <w:bCs/>
          <w:color w:val="auto"/>
          <w:highlight w:val="none"/>
        </w:rPr>
        <w:t>绿道数智赋能行动</w:t>
      </w:r>
    </w:p>
    <w:p>
      <w:pPr>
        <w:ind w:firstLine="480" w:firstLineChars="200"/>
        <w:rPr>
          <w:rFonts w:hint="eastAsia" w:ascii="宋体" w:hAnsi="宋体"/>
          <w:color w:val="auto"/>
          <w:highlight w:val="none"/>
        </w:rPr>
      </w:pPr>
      <w:r>
        <w:rPr>
          <w:rFonts w:hint="eastAsia" w:ascii="宋体" w:hAnsi="宋体"/>
          <w:color w:val="auto"/>
          <w:highlight w:val="none"/>
        </w:rPr>
        <w:t>构建数智动态管理平台，打造智慧绿道示范场景。衔接杭州市相关规划要求，整合、共享各类绿道信息资源，构建从规划到建管的动态管理平台，融入数据监测、信息发布、运营管理、使用评价等多元功能，推动绿道信息平台全场景内容整合。通过引入智能驿站、无人商店、智慧停车场等新型服务设施，打造智慧绿道，营造多元化的智慧应用场景。</w:t>
      </w:r>
    </w:p>
    <w:p>
      <w:pPr>
        <w:widowControl/>
        <w:snapToGrid/>
        <w:spacing w:line="240" w:lineRule="auto"/>
        <w:jc w:val="left"/>
        <w:rPr>
          <w:rFonts w:hint="eastAsia" w:ascii="宋体" w:hAnsi="宋体" w:cstheme="majorBidi"/>
          <w:b/>
          <w:bCs/>
          <w:color w:val="auto"/>
          <w:sz w:val="44"/>
          <w:szCs w:val="32"/>
          <w:highlight w:val="none"/>
        </w:rPr>
      </w:pPr>
      <w:r>
        <w:rPr>
          <w:rFonts w:hint="eastAsia" w:ascii="宋体" w:hAnsi="宋体"/>
          <w:color w:val="auto"/>
          <w:highlight w:val="none"/>
        </w:rPr>
        <w:br w:type="page"/>
      </w:r>
      <w:bookmarkEnd w:id="57"/>
      <w:bookmarkStart w:id="58" w:name="_Toc191459142"/>
    </w:p>
    <w:p>
      <w:pPr>
        <w:pStyle w:val="3"/>
        <w:jc w:val="center"/>
        <w:rPr>
          <w:rFonts w:hint="eastAsia" w:ascii="宋体" w:hAnsi="宋体" w:eastAsia="宋体"/>
          <w:color w:val="auto"/>
          <w:highlight w:val="none"/>
        </w:rPr>
      </w:pPr>
      <w:bookmarkStart w:id="59" w:name="_Toc2078889669"/>
      <w:bookmarkStart w:id="60" w:name="_Toc196313847"/>
      <w:r>
        <w:rPr>
          <w:rFonts w:hint="eastAsia" w:ascii="宋体" w:hAnsi="宋体" w:eastAsia="宋体"/>
          <w:color w:val="auto"/>
          <w:highlight w:val="none"/>
        </w:rPr>
        <w:t>第四章 规划实施保障</w:t>
      </w:r>
      <w:bookmarkEnd w:id="58"/>
      <w:bookmarkEnd w:id="59"/>
      <w:bookmarkEnd w:id="60"/>
    </w:p>
    <w:p>
      <w:pPr>
        <w:pStyle w:val="5"/>
        <w:numPr>
          <w:ilvl w:val="0"/>
          <w:numId w:val="10"/>
        </w:numPr>
        <w:rPr>
          <w:rFonts w:hint="eastAsia" w:ascii="宋体" w:hAnsi="宋体"/>
          <w:color w:val="auto"/>
          <w:highlight w:val="none"/>
        </w:rPr>
      </w:pPr>
      <w:r>
        <w:rPr>
          <w:rFonts w:hint="eastAsia" w:ascii="宋体" w:hAnsi="宋体"/>
          <w:color w:val="auto"/>
          <w:highlight w:val="none"/>
        </w:rPr>
        <w:t xml:space="preserve"> </w:t>
      </w:r>
      <w:bookmarkStart w:id="61" w:name="_Toc196313848"/>
      <w:bookmarkStart w:id="62" w:name="_Toc1026426261"/>
      <w:r>
        <w:rPr>
          <w:rFonts w:hint="eastAsia" w:ascii="宋体" w:hAnsi="宋体"/>
          <w:color w:val="auto"/>
          <w:highlight w:val="none"/>
        </w:rPr>
        <w:t>建立规划传导机制</w:t>
      </w:r>
      <w:bookmarkEnd w:id="61"/>
      <w:bookmarkEnd w:id="62"/>
    </w:p>
    <w:p>
      <w:pPr>
        <w:ind w:firstLine="480" w:firstLineChars="200"/>
        <w:rPr>
          <w:rFonts w:hint="eastAsia" w:ascii="宋体" w:hAnsi="宋体"/>
          <w:color w:val="auto"/>
          <w:highlight w:val="none"/>
        </w:rPr>
      </w:pPr>
      <w:r>
        <w:rPr>
          <w:rFonts w:hint="eastAsia" w:ascii="宋体" w:hAnsi="宋体"/>
          <w:color w:val="auto"/>
          <w:highlight w:val="none"/>
        </w:rPr>
        <w:t>建立规划传导路径。统筹建设布局与时序，逐级分解落实规划目标和指标。市级专项规划作为指导全市绿道建设实施的依据，各区、县（市）可根据实际需求编制分区规划，分区规划需衔接落实市级专项规划要求，协调详细规划编制内容。市级专项规划可作为项目立项依据，重点地区的绿道建设需开展详细规划层面的规划设计。</w:t>
      </w:r>
    </w:p>
    <w:p>
      <w:pPr>
        <w:ind w:firstLine="480" w:firstLineChars="200"/>
        <w:rPr>
          <w:rFonts w:hint="eastAsia" w:ascii="宋体" w:hAnsi="宋体" w:cs="Times New Roman"/>
          <w:color w:val="auto"/>
          <w:szCs w:val="24"/>
          <w:highlight w:val="none"/>
        </w:rPr>
      </w:pPr>
      <w:r>
        <w:rPr>
          <w:rFonts w:hint="eastAsia" w:ascii="宋体" w:hAnsi="宋体"/>
          <w:color w:val="auto"/>
          <w:highlight w:val="none"/>
        </w:rPr>
        <w:t>区、县（市）级层面的专项规划需要与国土空间总体规划及详细规划充分衔接，在方案阶段进行项目可行性研究，对用地条件、建设难度、资金保障做充分评估，保障项目的落地性。</w:t>
      </w:r>
    </w:p>
    <w:p>
      <w:pPr>
        <w:ind w:firstLine="480" w:firstLineChars="200"/>
        <w:rPr>
          <w:rFonts w:hint="eastAsia" w:ascii="宋体" w:hAnsi="宋体"/>
          <w:color w:val="auto"/>
          <w:highlight w:val="none"/>
        </w:rPr>
      </w:pPr>
      <w:r>
        <w:rPr>
          <w:rFonts w:hint="eastAsia" w:ascii="宋体" w:hAnsi="宋体"/>
          <w:color w:val="auto"/>
          <w:highlight w:val="none"/>
        </w:rPr>
        <w:t>完善绿道建设技术标准和导则。结合新形势、新需求，及时修订完善相关建设标准及技术导则，进一步细化各类型绿道的建设要求与技术规范，统筹提升全市绿道建设品质。</w:t>
      </w:r>
    </w:p>
    <w:p>
      <w:pPr>
        <w:pStyle w:val="5"/>
        <w:numPr>
          <w:ilvl w:val="0"/>
          <w:numId w:val="10"/>
        </w:numPr>
        <w:rPr>
          <w:rFonts w:hint="eastAsia" w:ascii="宋体" w:hAnsi="宋体"/>
          <w:color w:val="auto"/>
          <w:highlight w:val="none"/>
        </w:rPr>
      </w:pPr>
      <w:bookmarkStart w:id="63" w:name="_Toc196313849"/>
      <w:bookmarkStart w:id="64" w:name="_Toc1763669310"/>
      <w:r>
        <w:rPr>
          <w:rFonts w:hint="eastAsia" w:ascii="宋体" w:hAnsi="宋体"/>
          <w:color w:val="auto"/>
          <w:highlight w:val="none"/>
        </w:rPr>
        <w:t>完善协同共建机制</w:t>
      </w:r>
      <w:bookmarkEnd w:id="63"/>
      <w:bookmarkEnd w:id="64"/>
    </w:p>
    <w:p>
      <w:pPr>
        <w:ind w:firstLine="480" w:firstLineChars="200"/>
        <w:rPr>
          <w:rFonts w:hint="eastAsia" w:ascii="宋体" w:hAnsi="宋体"/>
          <w:color w:val="auto"/>
          <w:highlight w:val="none"/>
        </w:rPr>
      </w:pPr>
      <w:r>
        <w:rPr>
          <w:rFonts w:hint="eastAsia" w:ascii="宋体" w:hAnsi="宋体"/>
          <w:color w:val="auto"/>
          <w:highlight w:val="none"/>
        </w:rPr>
        <w:t>加强组织领导，形成区域协调、部门协同、上下联动的长效协作机制。建立市、区两级联动机制，各司其职，</w:t>
      </w:r>
      <w:r>
        <w:rPr>
          <w:rFonts w:ascii="宋体" w:hAnsi="宋体" w:cs="Segoe UI"/>
          <w:color w:val="auto"/>
          <w:highlight w:val="none"/>
          <w:shd w:val="clear" w:color="auto" w:fill="FCFCFC"/>
        </w:rPr>
        <w:t>统筹市级部门在古道、水利巡查道等绿道相关建设任务的协同推进</w:t>
      </w:r>
      <w:r>
        <w:rPr>
          <w:rFonts w:hint="eastAsia" w:ascii="宋体" w:hAnsi="宋体"/>
          <w:color w:val="auto"/>
          <w:highlight w:val="none"/>
        </w:rPr>
        <w:t>。促进市-区、县（市）各层级规划之间有效传导，区、县（市）级层面为建设实施主体，按计划推进各级各类绿道建设实施。</w:t>
      </w:r>
    </w:p>
    <w:p>
      <w:pPr>
        <w:ind w:firstLine="480" w:firstLineChars="200"/>
        <w:rPr>
          <w:rFonts w:hint="eastAsia" w:ascii="宋体" w:hAnsi="宋体"/>
          <w:color w:val="auto"/>
          <w:highlight w:val="none"/>
        </w:rPr>
      </w:pPr>
      <w:r>
        <w:rPr>
          <w:rFonts w:hint="eastAsia" w:ascii="宋体" w:hAnsi="宋体"/>
          <w:color w:val="auto"/>
          <w:highlight w:val="none"/>
        </w:rPr>
        <w:t>绿道项目尽可能结合相关工程项目推进，如道路、河道整治提升等同步实施。</w:t>
      </w:r>
    </w:p>
    <w:p>
      <w:pPr>
        <w:pStyle w:val="5"/>
        <w:numPr>
          <w:ilvl w:val="0"/>
          <w:numId w:val="10"/>
        </w:numPr>
        <w:rPr>
          <w:rFonts w:hint="eastAsia" w:ascii="宋体" w:hAnsi="宋体"/>
          <w:color w:val="auto"/>
          <w:highlight w:val="none"/>
        </w:rPr>
      </w:pPr>
      <w:bookmarkStart w:id="65" w:name="_Toc1856906614"/>
      <w:bookmarkStart w:id="66" w:name="_Toc196313850"/>
      <w:r>
        <w:rPr>
          <w:rFonts w:hint="eastAsia" w:ascii="宋体" w:hAnsi="宋体"/>
          <w:color w:val="auto"/>
          <w:highlight w:val="none"/>
        </w:rPr>
        <w:t>创新多元投入机制</w:t>
      </w:r>
      <w:bookmarkEnd w:id="65"/>
      <w:bookmarkEnd w:id="66"/>
    </w:p>
    <w:p>
      <w:pPr>
        <w:pStyle w:val="35"/>
        <w:ind w:firstLine="480" w:firstLineChars="200"/>
        <w:rPr>
          <w:rFonts w:hint="eastAsia"/>
          <w:color w:val="auto"/>
          <w:highlight w:val="none"/>
        </w:rPr>
      </w:pPr>
      <w:r>
        <w:rPr>
          <w:rFonts w:hint="eastAsia"/>
          <w:color w:val="auto"/>
          <w:highlight w:val="none"/>
        </w:rPr>
        <w:t>构建政府主导、社会参与、市场运作的多元化投融资机制，推进绿道建设实施。区、县（市）发改、财政部门根据事权划分，分别负责建设、管养经费保障工作，各区、县（市）做好资金保障工作，建立激励奖补机制推进绿道建设。规范运用政府和社会资本合作模式，制定和完善鼓励引导社会资本参与绿道投资、建设、运营的实施细则。鼓励社会各界通过捐赠、资助、志愿者活动等方式，支持绿道建设、管理及开展公益性活动。</w:t>
      </w:r>
    </w:p>
    <w:p>
      <w:pPr>
        <w:ind w:firstLine="480" w:firstLineChars="200"/>
        <w:rPr>
          <w:rFonts w:hint="eastAsia" w:ascii="宋体" w:hAnsi="宋体"/>
          <w:color w:val="auto"/>
          <w:highlight w:val="none"/>
        </w:rPr>
      </w:pPr>
    </w:p>
    <w:p>
      <w:pPr>
        <w:pStyle w:val="5"/>
        <w:numPr>
          <w:ilvl w:val="0"/>
          <w:numId w:val="10"/>
        </w:numPr>
        <w:rPr>
          <w:rFonts w:hint="eastAsia" w:ascii="宋体" w:hAnsi="宋体"/>
          <w:color w:val="auto"/>
          <w:highlight w:val="none"/>
        </w:rPr>
      </w:pPr>
      <w:bookmarkStart w:id="67" w:name="_Toc1772849836"/>
      <w:bookmarkStart w:id="68" w:name="_Toc196313851"/>
      <w:r>
        <w:rPr>
          <w:rFonts w:hint="eastAsia" w:ascii="宋体" w:hAnsi="宋体"/>
          <w:color w:val="auto"/>
          <w:highlight w:val="none"/>
        </w:rPr>
        <w:t>加强绿道运营管理</w:t>
      </w:r>
      <w:bookmarkEnd w:id="67"/>
      <w:bookmarkEnd w:id="68"/>
    </w:p>
    <w:p>
      <w:pPr>
        <w:ind w:firstLine="480" w:firstLineChars="200"/>
        <w:rPr>
          <w:rFonts w:hint="eastAsia" w:ascii="宋体" w:hAnsi="宋体"/>
          <w:color w:val="auto"/>
          <w:highlight w:val="none"/>
        </w:rPr>
      </w:pPr>
      <w:r>
        <w:rPr>
          <w:rFonts w:hint="eastAsia" w:ascii="宋体" w:hAnsi="宋体"/>
          <w:color w:val="auto"/>
          <w:highlight w:val="none"/>
        </w:rPr>
        <w:t>健全绿道规建管一体的长效运行机制，建立全周期、全时段、全覆盖的精细化管理模式。明确管理维护责任主体，构建以属地管理为基础，多部门联合、分级管理、社会各界共同参与的管理模式。在坚持公益性原则的基础上，加强政府监管，完善管理维护机制和运营管理制度，保障管护经费。依据相关标准，做好绿道养护管理、运行维护计划，保护绿道建设成果，保障各项设施顺利运行。积极探索绿道市场化、产业化运营管理模式，通过专业化的管理与运作盘活资源，提升招商引资、宣传推广、开发策划等能力，植入文体旅商经营模式，加强绿道品牌营造，实现绿道可持续发展。</w:t>
      </w:r>
    </w:p>
    <w:p>
      <w:pPr>
        <w:pStyle w:val="5"/>
        <w:numPr>
          <w:ilvl w:val="0"/>
          <w:numId w:val="10"/>
        </w:numPr>
        <w:rPr>
          <w:rFonts w:hint="eastAsia" w:ascii="宋体" w:hAnsi="宋体"/>
          <w:color w:val="auto"/>
          <w:highlight w:val="none"/>
        </w:rPr>
      </w:pPr>
      <w:bookmarkStart w:id="69" w:name="_Toc196313852"/>
      <w:bookmarkStart w:id="70" w:name="_Toc236739372"/>
      <w:r>
        <w:rPr>
          <w:rFonts w:hint="eastAsia" w:ascii="宋体" w:hAnsi="宋体"/>
          <w:color w:val="auto"/>
          <w:highlight w:val="none"/>
        </w:rPr>
        <w:t>强化实施监督</w:t>
      </w:r>
      <w:bookmarkEnd w:id="69"/>
      <w:r>
        <w:rPr>
          <w:rFonts w:hint="eastAsia" w:ascii="宋体" w:hAnsi="宋体"/>
          <w:color w:val="auto"/>
          <w:highlight w:val="none"/>
        </w:rPr>
        <w:t>管理</w:t>
      </w:r>
      <w:bookmarkEnd w:id="70"/>
    </w:p>
    <w:p>
      <w:pPr>
        <w:ind w:firstLine="480" w:firstLineChars="200"/>
        <w:rPr>
          <w:rFonts w:hint="eastAsia" w:ascii="宋体" w:hAnsi="宋体"/>
          <w:color w:val="auto"/>
          <w:highlight w:val="none"/>
        </w:rPr>
      </w:pPr>
      <w:r>
        <w:rPr>
          <w:rFonts w:hint="eastAsia" w:ascii="宋体" w:hAnsi="宋体"/>
          <w:color w:val="auto"/>
          <w:highlight w:val="none"/>
        </w:rPr>
        <w:t>建立绿道工作监督与目标责任管理制度。各区、县（市）要全面加强绿道建设组织协调工作，分解各项任务。定期开展绿道规划建设评估，建立五年定期评估、年度专项评估的绿道实施评估机制，对具体指标完成情况和主要任务实施闭环管理。</w:t>
      </w:r>
    </w:p>
    <w:p>
      <w:pPr>
        <w:pStyle w:val="5"/>
        <w:numPr>
          <w:ilvl w:val="0"/>
          <w:numId w:val="10"/>
        </w:numPr>
        <w:rPr>
          <w:rFonts w:hint="eastAsia" w:ascii="宋体" w:hAnsi="宋体"/>
          <w:color w:val="auto"/>
          <w:highlight w:val="none"/>
        </w:rPr>
      </w:pPr>
      <w:bookmarkStart w:id="71" w:name="_Toc196313853"/>
      <w:bookmarkStart w:id="72" w:name="_Toc525179315"/>
      <w:r>
        <w:rPr>
          <w:rFonts w:hint="eastAsia" w:ascii="宋体" w:hAnsi="宋体"/>
          <w:color w:val="auto"/>
          <w:highlight w:val="none"/>
        </w:rPr>
        <w:t>积极引导公众参与</w:t>
      </w:r>
      <w:bookmarkEnd w:id="71"/>
      <w:bookmarkEnd w:id="72"/>
    </w:p>
    <w:p>
      <w:pPr>
        <w:ind w:firstLine="480" w:firstLineChars="200"/>
        <w:rPr>
          <w:rFonts w:hint="eastAsia" w:ascii="宋体" w:hAnsi="宋体"/>
          <w:color w:val="auto"/>
          <w:highlight w:val="none"/>
        </w:rPr>
      </w:pPr>
      <w:r>
        <w:rPr>
          <w:rFonts w:hint="eastAsia" w:ascii="宋体" w:hAnsi="宋体"/>
          <w:color w:val="auto"/>
          <w:highlight w:val="none"/>
        </w:rPr>
        <w:t>加强绿道宣传推广，建立</w:t>
      </w:r>
      <w:r>
        <w:rPr>
          <w:rFonts w:ascii="宋体" w:hAnsi="宋体" w:cs="Segoe UI"/>
          <w:color w:val="auto"/>
          <w:highlight w:val="none"/>
          <w:shd w:val="clear" w:color="auto" w:fill="FCFCFC"/>
        </w:rPr>
        <w:t>公众多元参与机制</w:t>
      </w:r>
      <w:r>
        <w:rPr>
          <w:rFonts w:hint="eastAsia" w:ascii="宋体" w:hAnsi="宋体"/>
          <w:color w:val="auto"/>
          <w:highlight w:val="none"/>
        </w:rPr>
        <w:t>。加强舆论宣传引导，广泛应用新媒体平台建立多样化资讯渠道，对特色绿道进行重点宣传，提升绿道知名度。定期举行与绿道相关的主题活动、大型赛事及社区活动，组织绿道志愿者活动，凝聚起全市推进绿道建设的共识。健全完善公众参与绿道规划编制和实施过程的监督机制，采取专家咨询与市民参与相结合的方式，在规划管理和建设实施过程中组织多渠道开展问卷调查、现场咨询、互动地图、公众论坛、工作坊等方式进行推广和征集意见，提升市民参与感和获得感。</w:t>
      </w:r>
    </w:p>
    <w:p>
      <w:pPr>
        <w:ind w:firstLine="480" w:firstLineChars="200"/>
        <w:rPr>
          <w:rFonts w:hint="eastAsia" w:ascii="宋体" w:hAnsi="宋体"/>
          <w:color w:val="auto"/>
          <w:highlight w:val="none"/>
        </w:rPr>
      </w:pPr>
    </w:p>
    <w:p>
      <w:pPr>
        <w:pStyle w:val="3"/>
        <w:jc w:val="both"/>
        <w:rPr>
          <w:rFonts w:hint="eastAsia" w:ascii="宋体" w:hAnsi="宋体" w:eastAsia="宋体"/>
          <w:color w:val="auto"/>
          <w:highlight w:val="none"/>
        </w:rPr>
      </w:pPr>
      <w:bookmarkStart w:id="73" w:name="_Toc196313854"/>
      <w:bookmarkStart w:id="74" w:name="_Toc665356267"/>
      <w:r>
        <w:rPr>
          <w:rFonts w:hint="eastAsia" w:ascii="宋体" w:hAnsi="宋体" w:eastAsia="宋体"/>
          <w:color w:val="auto"/>
          <w:highlight w:val="none"/>
        </w:rPr>
        <w:t>附图</w:t>
      </w:r>
      <w:bookmarkEnd w:id="73"/>
      <w:bookmarkEnd w:id="74"/>
    </w:p>
    <w:p>
      <w:pPr>
        <w:pStyle w:val="25"/>
        <w:numPr>
          <w:ilvl w:val="0"/>
          <w:numId w:val="11"/>
        </w:numPr>
        <w:ind w:firstLineChars="0"/>
        <w:rPr>
          <w:rFonts w:hint="eastAsia" w:ascii="宋体" w:hAnsi="宋体"/>
          <w:color w:val="auto"/>
          <w:highlight w:val="none"/>
        </w:rPr>
      </w:pPr>
      <w:r>
        <w:rPr>
          <w:rFonts w:hint="eastAsia" w:ascii="宋体" w:hAnsi="宋体"/>
          <w:color w:val="auto"/>
          <w:highlight w:val="none"/>
        </w:rPr>
        <w:t>规划范围图</w:t>
      </w:r>
    </w:p>
    <w:p>
      <w:pPr>
        <w:pStyle w:val="25"/>
        <w:numPr>
          <w:ilvl w:val="0"/>
          <w:numId w:val="11"/>
        </w:numPr>
        <w:ind w:firstLineChars="0"/>
        <w:rPr>
          <w:rFonts w:hint="eastAsia" w:ascii="宋体" w:hAnsi="宋体"/>
          <w:color w:val="auto"/>
          <w:highlight w:val="none"/>
        </w:rPr>
      </w:pPr>
      <w:r>
        <w:rPr>
          <w:rFonts w:hint="eastAsia" w:ascii="宋体" w:hAnsi="宋体"/>
          <w:color w:val="auto"/>
          <w:highlight w:val="none"/>
        </w:rPr>
        <w:t>空间结构规划图</w:t>
      </w:r>
    </w:p>
    <w:p>
      <w:pPr>
        <w:pStyle w:val="25"/>
        <w:numPr>
          <w:ilvl w:val="0"/>
          <w:numId w:val="11"/>
        </w:numPr>
        <w:ind w:firstLineChars="0"/>
        <w:rPr>
          <w:rFonts w:hint="eastAsia" w:ascii="宋体" w:hAnsi="宋体"/>
          <w:color w:val="auto"/>
          <w:highlight w:val="none"/>
        </w:rPr>
      </w:pPr>
      <w:r>
        <w:rPr>
          <w:rFonts w:hint="eastAsia" w:ascii="宋体" w:hAnsi="宋体"/>
          <w:color w:val="auto"/>
          <w:highlight w:val="none"/>
        </w:rPr>
        <w:t>总体布局规划图</w:t>
      </w:r>
    </w:p>
    <w:p>
      <w:pPr>
        <w:rPr>
          <w:rFonts w:hint="eastAsia" w:ascii="宋体" w:hAnsi="宋体"/>
          <w:color w:val="auto"/>
          <w:highlight w:val="none"/>
        </w:rPr>
      </w:pPr>
    </w:p>
    <w:p>
      <w:pPr>
        <w:rPr>
          <w:rFonts w:hint="eastAsia" w:ascii="宋体" w:hAnsi="宋体"/>
          <w:color w:val="auto"/>
          <w:highlight w:val="none"/>
        </w:rPr>
      </w:pPr>
    </w:p>
    <w:p>
      <w:pPr>
        <w:ind w:left="-566" w:leftChars="-236"/>
        <w:rPr>
          <w:rFonts w:hint="eastAsia" w:ascii="宋体" w:hAnsi="宋体"/>
          <w:color w:val="auto"/>
          <w:highlight w:val="none"/>
        </w:rPr>
      </w:pPr>
      <w:r>
        <w:rPr>
          <w:color w:val="auto"/>
          <w:highlight w:val="none"/>
        </w:rPr>
        <w:drawing>
          <wp:inline distT="0" distB="0" distL="0" distR="0">
            <wp:extent cx="6047740" cy="42799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048000" cy="4279902"/>
                    </a:xfrm>
                    <a:prstGeom prst="rect">
                      <a:avLst/>
                    </a:prstGeom>
                    <a:noFill/>
                    <a:ln>
                      <a:noFill/>
                    </a:ln>
                  </pic:spPr>
                </pic:pic>
              </a:graphicData>
            </a:graphic>
          </wp:inline>
        </w:drawing>
      </w:r>
      <w:r>
        <w:rPr>
          <w:rFonts w:ascii="Times New Roman" w:hAnsi="Times New Roman" w:eastAsia="Times New Roman" w:cs="Times New Roman"/>
          <w:snapToGrid w:val="0"/>
          <w:color w:val="auto"/>
          <w:w w:val="0"/>
          <w:kern w:val="0"/>
          <w:sz w:val="0"/>
          <w:szCs w:val="0"/>
          <w:highlight w:val="none"/>
          <w:u w:color="000000"/>
          <w:shd w:val="clear" w:color="000000" w:fill="000000"/>
          <w:lang w:val="zh-CN" w:bidi="zh-CN"/>
        </w:rPr>
        <w:t xml:space="preserve"> </w:t>
      </w:r>
      <w:r>
        <w:rPr>
          <w:rFonts w:ascii="Times New Roman" w:hAnsi="Times New Roman" w:eastAsia="Times New Roman" w:cs="Times New Roman"/>
          <w:snapToGrid w:val="0"/>
          <w:color w:val="auto"/>
          <w:w w:val="0"/>
          <w:kern w:val="0"/>
          <w:sz w:val="0"/>
          <w:szCs w:val="0"/>
          <w:highlight w:val="none"/>
          <w:u w:color="000000"/>
          <w:shd w:val="clear" w:color="000000" w:fill="000000"/>
          <w:lang w:val="zh-CN" w:bidi="zh-CN"/>
        </w:rPr>
        <w:drawing>
          <wp:inline distT="0" distB="0" distL="0" distR="0">
            <wp:extent cx="6047740" cy="4290060"/>
            <wp:effectExtent l="0" t="0" r="0" b="0"/>
            <wp:docPr id="3155086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50863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054821" cy="4295089"/>
                    </a:xfrm>
                    <a:prstGeom prst="rect">
                      <a:avLst/>
                    </a:prstGeom>
                    <a:noFill/>
                    <a:ln>
                      <a:noFill/>
                    </a:ln>
                  </pic:spPr>
                </pic:pic>
              </a:graphicData>
            </a:graphic>
          </wp:inline>
        </w:drawing>
      </w:r>
    </w:p>
    <w:p>
      <w:pPr>
        <w:ind w:left="-566" w:leftChars="-236"/>
        <w:rPr>
          <w:rFonts w:hint="eastAsia" w:ascii="宋体" w:hAnsi="宋体"/>
          <w:color w:val="auto"/>
          <w:highlight w:val="none"/>
        </w:rPr>
      </w:pPr>
      <w:r>
        <w:rPr>
          <w:color w:val="auto"/>
          <w:highlight w:val="none"/>
        </w:rPr>
        <w:drawing>
          <wp:inline distT="0" distB="0" distL="0" distR="0">
            <wp:extent cx="6047740" cy="427990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048000" cy="4280082"/>
                    </a:xfrm>
                    <a:prstGeom prst="rect">
                      <a:avLst/>
                    </a:prstGeom>
                    <a:noFill/>
                    <a:ln>
                      <a:noFill/>
                    </a:ln>
                  </pic:spPr>
                </pic:pic>
              </a:graphicData>
            </a:graphic>
          </wp:inline>
        </w:drawing>
      </w:r>
    </w:p>
    <w:sectPr>
      <w:footerReference r:id="rId6" w:type="default"/>
      <w:pgSz w:w="11906" w:h="16838"/>
      <w:pgMar w:top="1440" w:right="1800" w:bottom="1440" w:left="1800" w:header="851" w:footer="992"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Light">
    <w:altName w:val="华文中宋"/>
    <w:panose1 w:val="02010600030101010101"/>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AdobeSongStd-Light">
    <w:altName w:val="华文中宋"/>
    <w:panose1 w:val="00000000000000000000"/>
    <w:charset w:val="86"/>
    <w:family w:val="auto"/>
    <w:pitch w:val="default"/>
    <w:sig w:usb0="00000000" w:usb1="00000000" w:usb2="0000001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Segoe UI">
    <w:altName w:val="Noto Naskh Arabic"/>
    <w:panose1 w:val="020B0502040204020203"/>
    <w:charset w:val="00"/>
    <w:family w:val="swiss"/>
    <w:pitch w:val="default"/>
    <w:sig w:usb0="00000000" w:usb1="00000000" w:usb2="00000009" w:usb3="00000000" w:csb0="000001FF" w:csb1="00000000"/>
  </w:font>
  <w:font w:name="Noto Naskh Arabic">
    <w:panose1 w:val="020B0502040504020204"/>
    <w:charset w:val="00"/>
    <w:family w:val="auto"/>
    <w:pitch w:val="default"/>
    <w:sig w:usb0="80002003" w:usb1="80002000" w:usb2="00000008" w:usb3="00000000" w:csb0="00000041" w:csb1="00080000"/>
  </w:font>
  <w:font w:name="等线">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国标小标宋">
    <w:panose1 w:val="02000500000000000000"/>
    <w:charset w:val="86"/>
    <w:family w:val="auto"/>
    <w:pitch w:val="default"/>
    <w:sig w:usb0="00000001" w:usb1="08000000" w:usb2="00000000" w:usb3="00000000" w:csb0="00060007" w:csb1="00000000"/>
  </w:font>
  <w:font w:name="等线 Light">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p>
  <w:p>
    <w:pPr>
      <w:pStyle w:val="11"/>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7411074"/>
    </w:sdtPr>
    <w:sdtContent>
      <w:p>
        <w:pPr>
          <w:pStyle w:val="11"/>
          <w:jc w:val="center"/>
          <w:rPr>
            <w:rFonts w:hint="eastAsia"/>
          </w:rPr>
        </w:pPr>
        <w:r>
          <w:fldChar w:fldCharType="begin"/>
        </w:r>
        <w:r>
          <w:instrText xml:space="preserve">PAGE   \* MERGEFORMAT</w:instrText>
        </w:r>
        <w:r>
          <w:fldChar w:fldCharType="separate"/>
        </w:r>
        <w:r>
          <w:rPr>
            <w:lang w:val="zh-CN"/>
          </w:rPr>
          <w:t>2</w:t>
        </w:r>
        <w:r>
          <w:fldChar w:fldCharType="end"/>
        </w:r>
      </w:p>
    </w:sdtContent>
  </w:sdt>
  <w:p>
    <w:pPr>
      <w:pStyle w:val="11"/>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F0642E"/>
    <w:multiLevelType w:val="multilevel"/>
    <w:tmpl w:val="0DF0642E"/>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7746B26"/>
    <w:multiLevelType w:val="multilevel"/>
    <w:tmpl w:val="17746B2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8D42BF1"/>
    <w:multiLevelType w:val="multilevel"/>
    <w:tmpl w:val="18D42BF1"/>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3">
    <w:nsid w:val="24A61CD7"/>
    <w:multiLevelType w:val="multilevel"/>
    <w:tmpl w:val="24A61CD7"/>
    <w:lvl w:ilvl="0" w:tentative="0">
      <w:start w:val="8"/>
      <w:numFmt w:val="decimal"/>
      <w:lvlText w:val="第%1条"/>
      <w:lvlJc w:val="left"/>
      <w:pPr>
        <w:ind w:left="420" w:hanging="42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25CC42A5"/>
    <w:multiLevelType w:val="multilevel"/>
    <w:tmpl w:val="25CC42A5"/>
    <w:lvl w:ilvl="0" w:tentative="0">
      <w:start w:val="1"/>
      <w:numFmt w:val="decimal"/>
      <w:lvlText w:val="%1."/>
      <w:lvlJc w:val="left"/>
      <w:pPr>
        <w:ind w:left="964" w:hanging="397"/>
      </w:pPr>
      <w:rPr>
        <w:rFonts w:hint="default"/>
      </w:rPr>
    </w:lvl>
    <w:lvl w:ilvl="1" w:tentative="0">
      <w:start w:val="1"/>
      <w:numFmt w:val="decimalEnclosedCircle"/>
      <w:lvlText w:val="%2"/>
      <w:lvlJc w:val="left"/>
      <w:pPr>
        <w:ind w:left="360" w:hanging="360"/>
      </w:pPr>
      <w:rPr>
        <w:rFonts w:hint="default"/>
      </w:r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5">
    <w:nsid w:val="30614195"/>
    <w:multiLevelType w:val="multilevel"/>
    <w:tmpl w:val="3061419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4F56892"/>
    <w:multiLevelType w:val="multilevel"/>
    <w:tmpl w:val="34F56892"/>
    <w:lvl w:ilvl="0" w:tentative="0">
      <w:start w:val="4"/>
      <w:numFmt w:val="decimal"/>
      <w:lvlText w:val="第%1条"/>
      <w:lvlJc w:val="left"/>
      <w:pPr>
        <w:ind w:left="420" w:hanging="420"/>
      </w:pPr>
      <w:rPr>
        <w:rFonts w:hint="default"/>
      </w:rPr>
    </w:lvl>
    <w:lvl w:ilvl="1" w:tentative="0">
      <w:start w:val="1"/>
      <w:numFmt w:val="lowerLetter"/>
      <w:lvlText w:val="%2)"/>
      <w:lvlJc w:val="left"/>
      <w:pPr>
        <w:ind w:left="273" w:hanging="420"/>
      </w:pPr>
    </w:lvl>
    <w:lvl w:ilvl="2" w:tentative="0">
      <w:start w:val="1"/>
      <w:numFmt w:val="lowerRoman"/>
      <w:lvlText w:val="%3."/>
      <w:lvlJc w:val="right"/>
      <w:pPr>
        <w:ind w:left="693" w:hanging="420"/>
      </w:pPr>
    </w:lvl>
    <w:lvl w:ilvl="3" w:tentative="0">
      <w:start w:val="1"/>
      <w:numFmt w:val="decimal"/>
      <w:lvlText w:val="%4."/>
      <w:lvlJc w:val="left"/>
      <w:pPr>
        <w:ind w:left="1113" w:hanging="420"/>
      </w:pPr>
    </w:lvl>
    <w:lvl w:ilvl="4" w:tentative="0">
      <w:start w:val="1"/>
      <w:numFmt w:val="lowerLetter"/>
      <w:lvlText w:val="%5)"/>
      <w:lvlJc w:val="left"/>
      <w:pPr>
        <w:ind w:left="1533" w:hanging="420"/>
      </w:pPr>
    </w:lvl>
    <w:lvl w:ilvl="5" w:tentative="0">
      <w:start w:val="1"/>
      <w:numFmt w:val="lowerRoman"/>
      <w:lvlText w:val="%6."/>
      <w:lvlJc w:val="right"/>
      <w:pPr>
        <w:ind w:left="1953" w:hanging="420"/>
      </w:pPr>
    </w:lvl>
    <w:lvl w:ilvl="6" w:tentative="0">
      <w:start w:val="1"/>
      <w:numFmt w:val="decimal"/>
      <w:lvlText w:val="%7."/>
      <w:lvlJc w:val="left"/>
      <w:pPr>
        <w:ind w:left="2373" w:hanging="420"/>
      </w:pPr>
    </w:lvl>
    <w:lvl w:ilvl="7" w:tentative="0">
      <w:start w:val="1"/>
      <w:numFmt w:val="lowerLetter"/>
      <w:lvlText w:val="%8)"/>
      <w:lvlJc w:val="left"/>
      <w:pPr>
        <w:ind w:left="2793" w:hanging="420"/>
      </w:pPr>
    </w:lvl>
    <w:lvl w:ilvl="8" w:tentative="0">
      <w:start w:val="1"/>
      <w:numFmt w:val="lowerRoman"/>
      <w:lvlText w:val="%9."/>
      <w:lvlJc w:val="right"/>
      <w:pPr>
        <w:ind w:left="3213" w:hanging="420"/>
      </w:pPr>
    </w:lvl>
  </w:abstractNum>
  <w:abstractNum w:abstractNumId="7">
    <w:nsid w:val="42AF6DE6"/>
    <w:multiLevelType w:val="multilevel"/>
    <w:tmpl w:val="42AF6DE6"/>
    <w:lvl w:ilvl="0" w:tentative="0">
      <w:start w:val="14"/>
      <w:numFmt w:val="decimal"/>
      <w:lvlText w:val="第%1条"/>
      <w:lvlJc w:val="left"/>
      <w:pPr>
        <w:ind w:left="420" w:hanging="42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61B8128E"/>
    <w:multiLevelType w:val="multilevel"/>
    <w:tmpl w:val="61B8128E"/>
    <w:lvl w:ilvl="0" w:tentative="0">
      <w:start w:val="1"/>
      <w:numFmt w:val="decimal"/>
      <w:lvlText w:val="第%1条"/>
      <w:lvlJc w:val="left"/>
      <w:pPr>
        <w:ind w:left="420" w:hanging="4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1732393"/>
    <w:multiLevelType w:val="multilevel"/>
    <w:tmpl w:val="71732393"/>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76544E63"/>
    <w:multiLevelType w:val="multilevel"/>
    <w:tmpl w:val="76544E63"/>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8"/>
  </w:num>
  <w:num w:numId="2">
    <w:abstractNumId w:val="4"/>
  </w:num>
  <w:num w:numId="3">
    <w:abstractNumId w:val="6"/>
  </w:num>
  <w:num w:numId="4">
    <w:abstractNumId w:val="3"/>
  </w:num>
  <w:num w:numId="5">
    <w:abstractNumId w:val="0"/>
  </w:num>
  <w:num w:numId="6">
    <w:abstractNumId w:val="10"/>
  </w:num>
  <w:num w:numId="7">
    <w:abstractNumId w:val="5"/>
  </w:num>
  <w:num w:numId="8">
    <w:abstractNumId w:val="9"/>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lM2U2NTFiNjQ3ZTY4MTEyYzBhZmZkYmVkNDc5M2EifQ=="/>
  </w:docVars>
  <w:rsids>
    <w:rsidRoot w:val="00395CA9"/>
    <w:rsid w:val="00000C9D"/>
    <w:rsid w:val="000042B1"/>
    <w:rsid w:val="00005AB2"/>
    <w:rsid w:val="000073CD"/>
    <w:rsid w:val="00013397"/>
    <w:rsid w:val="00020563"/>
    <w:rsid w:val="00021024"/>
    <w:rsid w:val="000223D1"/>
    <w:rsid w:val="00023525"/>
    <w:rsid w:val="000312CD"/>
    <w:rsid w:val="00031FD3"/>
    <w:rsid w:val="00032595"/>
    <w:rsid w:val="00037846"/>
    <w:rsid w:val="00043A61"/>
    <w:rsid w:val="000441A3"/>
    <w:rsid w:val="000457DC"/>
    <w:rsid w:val="00046AFF"/>
    <w:rsid w:val="00050FD7"/>
    <w:rsid w:val="00053F16"/>
    <w:rsid w:val="000605B9"/>
    <w:rsid w:val="0006131B"/>
    <w:rsid w:val="00065C36"/>
    <w:rsid w:val="00071B94"/>
    <w:rsid w:val="000756A0"/>
    <w:rsid w:val="000816D0"/>
    <w:rsid w:val="00081DB7"/>
    <w:rsid w:val="00086A21"/>
    <w:rsid w:val="00086E48"/>
    <w:rsid w:val="00091BB7"/>
    <w:rsid w:val="0009275C"/>
    <w:rsid w:val="00095C5D"/>
    <w:rsid w:val="0009723F"/>
    <w:rsid w:val="000A274C"/>
    <w:rsid w:val="000B7989"/>
    <w:rsid w:val="000C46FC"/>
    <w:rsid w:val="000C5BBB"/>
    <w:rsid w:val="000C745F"/>
    <w:rsid w:val="000D1A9A"/>
    <w:rsid w:val="000D276C"/>
    <w:rsid w:val="000D4A0B"/>
    <w:rsid w:val="000D6CA3"/>
    <w:rsid w:val="000E06B2"/>
    <w:rsid w:val="000E0A1E"/>
    <w:rsid w:val="000E72F4"/>
    <w:rsid w:val="000F01CF"/>
    <w:rsid w:val="000F04FF"/>
    <w:rsid w:val="000F1575"/>
    <w:rsid w:val="000F2890"/>
    <w:rsid w:val="000F6A55"/>
    <w:rsid w:val="0011636C"/>
    <w:rsid w:val="00120327"/>
    <w:rsid w:val="001253ED"/>
    <w:rsid w:val="00135B02"/>
    <w:rsid w:val="00140B17"/>
    <w:rsid w:val="00143AD5"/>
    <w:rsid w:val="00144223"/>
    <w:rsid w:val="00154A18"/>
    <w:rsid w:val="00155BB8"/>
    <w:rsid w:val="00155F70"/>
    <w:rsid w:val="001702CD"/>
    <w:rsid w:val="001705CB"/>
    <w:rsid w:val="00187111"/>
    <w:rsid w:val="00192D6F"/>
    <w:rsid w:val="00197810"/>
    <w:rsid w:val="001A0B02"/>
    <w:rsid w:val="001A1B11"/>
    <w:rsid w:val="001A1E77"/>
    <w:rsid w:val="001A367B"/>
    <w:rsid w:val="001A42CB"/>
    <w:rsid w:val="001A64B1"/>
    <w:rsid w:val="001B1558"/>
    <w:rsid w:val="001B24D6"/>
    <w:rsid w:val="001B33AB"/>
    <w:rsid w:val="001B3F40"/>
    <w:rsid w:val="001B6DCB"/>
    <w:rsid w:val="001C0C22"/>
    <w:rsid w:val="001C35D4"/>
    <w:rsid w:val="001C4E3A"/>
    <w:rsid w:val="001C7E47"/>
    <w:rsid w:val="001D1449"/>
    <w:rsid w:val="001D273A"/>
    <w:rsid w:val="001D62F0"/>
    <w:rsid w:val="001E2FD6"/>
    <w:rsid w:val="001E50EB"/>
    <w:rsid w:val="001E5342"/>
    <w:rsid w:val="001E6B6F"/>
    <w:rsid w:val="001E7D73"/>
    <w:rsid w:val="001F45C9"/>
    <w:rsid w:val="001F4F98"/>
    <w:rsid w:val="00210382"/>
    <w:rsid w:val="00216F8B"/>
    <w:rsid w:val="002211D3"/>
    <w:rsid w:val="00222E2C"/>
    <w:rsid w:val="00222F5D"/>
    <w:rsid w:val="002249A5"/>
    <w:rsid w:val="002264DC"/>
    <w:rsid w:val="002303C6"/>
    <w:rsid w:val="0023606E"/>
    <w:rsid w:val="002375D8"/>
    <w:rsid w:val="00240AE0"/>
    <w:rsid w:val="002415E8"/>
    <w:rsid w:val="00243511"/>
    <w:rsid w:val="00245CF9"/>
    <w:rsid w:val="00247DE2"/>
    <w:rsid w:val="0025773C"/>
    <w:rsid w:val="00266E2C"/>
    <w:rsid w:val="0027281C"/>
    <w:rsid w:val="002763B8"/>
    <w:rsid w:val="002778C3"/>
    <w:rsid w:val="002814C5"/>
    <w:rsid w:val="00286E5F"/>
    <w:rsid w:val="00294FE5"/>
    <w:rsid w:val="002A3D74"/>
    <w:rsid w:val="002B1196"/>
    <w:rsid w:val="002B4762"/>
    <w:rsid w:val="002B7A0A"/>
    <w:rsid w:val="002C3A97"/>
    <w:rsid w:val="002C5636"/>
    <w:rsid w:val="002C7CC1"/>
    <w:rsid w:val="002E1658"/>
    <w:rsid w:val="002E1721"/>
    <w:rsid w:val="002E302F"/>
    <w:rsid w:val="002E4044"/>
    <w:rsid w:val="002E4100"/>
    <w:rsid w:val="002E4ED4"/>
    <w:rsid w:val="002E542C"/>
    <w:rsid w:val="002E5BDD"/>
    <w:rsid w:val="002E75F1"/>
    <w:rsid w:val="002F0909"/>
    <w:rsid w:val="002F2C8E"/>
    <w:rsid w:val="00300D53"/>
    <w:rsid w:val="00302894"/>
    <w:rsid w:val="00303FA6"/>
    <w:rsid w:val="003069C9"/>
    <w:rsid w:val="00307DF4"/>
    <w:rsid w:val="003116A8"/>
    <w:rsid w:val="00314C7E"/>
    <w:rsid w:val="003162C7"/>
    <w:rsid w:val="00316E18"/>
    <w:rsid w:val="00320127"/>
    <w:rsid w:val="00330222"/>
    <w:rsid w:val="00331416"/>
    <w:rsid w:val="00331F1A"/>
    <w:rsid w:val="003342EF"/>
    <w:rsid w:val="00340D80"/>
    <w:rsid w:val="00341723"/>
    <w:rsid w:val="00342439"/>
    <w:rsid w:val="0034400B"/>
    <w:rsid w:val="003509F7"/>
    <w:rsid w:val="0035476E"/>
    <w:rsid w:val="003602E6"/>
    <w:rsid w:val="00362CF1"/>
    <w:rsid w:val="00367BDC"/>
    <w:rsid w:val="003700DC"/>
    <w:rsid w:val="00387597"/>
    <w:rsid w:val="0039408B"/>
    <w:rsid w:val="00395CA9"/>
    <w:rsid w:val="00397C82"/>
    <w:rsid w:val="003A016D"/>
    <w:rsid w:val="003A04F7"/>
    <w:rsid w:val="003B53C1"/>
    <w:rsid w:val="003C1BE3"/>
    <w:rsid w:val="003C1F82"/>
    <w:rsid w:val="003C344E"/>
    <w:rsid w:val="003C58F8"/>
    <w:rsid w:val="003D0EAD"/>
    <w:rsid w:val="003D3120"/>
    <w:rsid w:val="003E5C43"/>
    <w:rsid w:val="003F0E8D"/>
    <w:rsid w:val="003F30C8"/>
    <w:rsid w:val="003F364F"/>
    <w:rsid w:val="003F6AA0"/>
    <w:rsid w:val="003F7684"/>
    <w:rsid w:val="003F7855"/>
    <w:rsid w:val="00404F19"/>
    <w:rsid w:val="00423FCF"/>
    <w:rsid w:val="0043214C"/>
    <w:rsid w:val="00435A18"/>
    <w:rsid w:val="004402C9"/>
    <w:rsid w:val="004423F2"/>
    <w:rsid w:val="004427C4"/>
    <w:rsid w:val="00443F6B"/>
    <w:rsid w:val="0044614A"/>
    <w:rsid w:val="00447BD8"/>
    <w:rsid w:val="00450A38"/>
    <w:rsid w:val="00453054"/>
    <w:rsid w:val="004542B8"/>
    <w:rsid w:val="00455FA2"/>
    <w:rsid w:val="00457083"/>
    <w:rsid w:val="00464EFF"/>
    <w:rsid w:val="00465C20"/>
    <w:rsid w:val="00466303"/>
    <w:rsid w:val="00467E34"/>
    <w:rsid w:val="004801B1"/>
    <w:rsid w:val="00481D75"/>
    <w:rsid w:val="004833C3"/>
    <w:rsid w:val="0049242D"/>
    <w:rsid w:val="00494BB2"/>
    <w:rsid w:val="004A55CF"/>
    <w:rsid w:val="004B6066"/>
    <w:rsid w:val="004B63BD"/>
    <w:rsid w:val="004B6EB5"/>
    <w:rsid w:val="004C0864"/>
    <w:rsid w:val="004D14E4"/>
    <w:rsid w:val="004D4385"/>
    <w:rsid w:val="004F0314"/>
    <w:rsid w:val="004F094A"/>
    <w:rsid w:val="004F295F"/>
    <w:rsid w:val="004F319F"/>
    <w:rsid w:val="004F3666"/>
    <w:rsid w:val="004F7FD0"/>
    <w:rsid w:val="00505598"/>
    <w:rsid w:val="00506CB9"/>
    <w:rsid w:val="00512F6B"/>
    <w:rsid w:val="005136D9"/>
    <w:rsid w:val="00522F3E"/>
    <w:rsid w:val="005272F9"/>
    <w:rsid w:val="0053270B"/>
    <w:rsid w:val="00532D94"/>
    <w:rsid w:val="005343BA"/>
    <w:rsid w:val="00535F67"/>
    <w:rsid w:val="00541686"/>
    <w:rsid w:val="00544CB0"/>
    <w:rsid w:val="00552AC6"/>
    <w:rsid w:val="00554896"/>
    <w:rsid w:val="00561E41"/>
    <w:rsid w:val="005634FC"/>
    <w:rsid w:val="005638A4"/>
    <w:rsid w:val="00566287"/>
    <w:rsid w:val="00573EE1"/>
    <w:rsid w:val="00574082"/>
    <w:rsid w:val="0057794D"/>
    <w:rsid w:val="00577AE9"/>
    <w:rsid w:val="00577D71"/>
    <w:rsid w:val="00582010"/>
    <w:rsid w:val="00585602"/>
    <w:rsid w:val="00585F92"/>
    <w:rsid w:val="00587C48"/>
    <w:rsid w:val="00590194"/>
    <w:rsid w:val="00590D5E"/>
    <w:rsid w:val="00590E37"/>
    <w:rsid w:val="00594E2E"/>
    <w:rsid w:val="00595D36"/>
    <w:rsid w:val="005A4667"/>
    <w:rsid w:val="005A4AE7"/>
    <w:rsid w:val="005B2009"/>
    <w:rsid w:val="005B2445"/>
    <w:rsid w:val="005B3AB0"/>
    <w:rsid w:val="005B4917"/>
    <w:rsid w:val="005B50BC"/>
    <w:rsid w:val="005B5C27"/>
    <w:rsid w:val="005C33F6"/>
    <w:rsid w:val="005C35D1"/>
    <w:rsid w:val="005C5DE9"/>
    <w:rsid w:val="005C6350"/>
    <w:rsid w:val="005C6BD8"/>
    <w:rsid w:val="005D0C91"/>
    <w:rsid w:val="005D1AE4"/>
    <w:rsid w:val="005D1DBA"/>
    <w:rsid w:val="005D28DC"/>
    <w:rsid w:val="005D6008"/>
    <w:rsid w:val="005F2259"/>
    <w:rsid w:val="005F5AA7"/>
    <w:rsid w:val="0061032A"/>
    <w:rsid w:val="0061205B"/>
    <w:rsid w:val="0061210D"/>
    <w:rsid w:val="00615527"/>
    <w:rsid w:val="00616B5C"/>
    <w:rsid w:val="0062052B"/>
    <w:rsid w:val="00621D4C"/>
    <w:rsid w:val="00630B92"/>
    <w:rsid w:val="00636867"/>
    <w:rsid w:val="00640896"/>
    <w:rsid w:val="00644FE7"/>
    <w:rsid w:val="00650755"/>
    <w:rsid w:val="006533A4"/>
    <w:rsid w:val="0065682B"/>
    <w:rsid w:val="0066201B"/>
    <w:rsid w:val="00663C10"/>
    <w:rsid w:val="00667685"/>
    <w:rsid w:val="006706AB"/>
    <w:rsid w:val="006763C2"/>
    <w:rsid w:val="00685DA1"/>
    <w:rsid w:val="006872BD"/>
    <w:rsid w:val="00691D5A"/>
    <w:rsid w:val="006935E2"/>
    <w:rsid w:val="00695E03"/>
    <w:rsid w:val="006A0FED"/>
    <w:rsid w:val="006A136D"/>
    <w:rsid w:val="006A387B"/>
    <w:rsid w:val="006C0732"/>
    <w:rsid w:val="006C122B"/>
    <w:rsid w:val="006C197B"/>
    <w:rsid w:val="006D0569"/>
    <w:rsid w:val="006D0AAF"/>
    <w:rsid w:val="006D208F"/>
    <w:rsid w:val="006E665E"/>
    <w:rsid w:val="006F571F"/>
    <w:rsid w:val="006F7F03"/>
    <w:rsid w:val="00700CAB"/>
    <w:rsid w:val="00701DA4"/>
    <w:rsid w:val="007044B6"/>
    <w:rsid w:val="00710D5F"/>
    <w:rsid w:val="00713D97"/>
    <w:rsid w:val="00713F99"/>
    <w:rsid w:val="007148DE"/>
    <w:rsid w:val="007344A6"/>
    <w:rsid w:val="00735C7F"/>
    <w:rsid w:val="00735DA8"/>
    <w:rsid w:val="00735FB4"/>
    <w:rsid w:val="007377B1"/>
    <w:rsid w:val="00747E6D"/>
    <w:rsid w:val="007513DD"/>
    <w:rsid w:val="00751454"/>
    <w:rsid w:val="00752CAA"/>
    <w:rsid w:val="00753D99"/>
    <w:rsid w:val="007567A1"/>
    <w:rsid w:val="00762A66"/>
    <w:rsid w:val="007677AA"/>
    <w:rsid w:val="00773471"/>
    <w:rsid w:val="007762DC"/>
    <w:rsid w:val="00777C41"/>
    <w:rsid w:val="0078336B"/>
    <w:rsid w:val="00783CF1"/>
    <w:rsid w:val="00786E0E"/>
    <w:rsid w:val="0079095C"/>
    <w:rsid w:val="007A0F65"/>
    <w:rsid w:val="007A1806"/>
    <w:rsid w:val="007A2A72"/>
    <w:rsid w:val="007A3BF4"/>
    <w:rsid w:val="007B0A02"/>
    <w:rsid w:val="007B0B33"/>
    <w:rsid w:val="007B3769"/>
    <w:rsid w:val="007B3CAD"/>
    <w:rsid w:val="007B5716"/>
    <w:rsid w:val="007B71DD"/>
    <w:rsid w:val="007C0705"/>
    <w:rsid w:val="007C2E21"/>
    <w:rsid w:val="007C7475"/>
    <w:rsid w:val="007D541F"/>
    <w:rsid w:val="007E78CF"/>
    <w:rsid w:val="008055C8"/>
    <w:rsid w:val="008156FA"/>
    <w:rsid w:val="0082129E"/>
    <w:rsid w:val="00825307"/>
    <w:rsid w:val="00826275"/>
    <w:rsid w:val="008333AA"/>
    <w:rsid w:val="00834118"/>
    <w:rsid w:val="00835325"/>
    <w:rsid w:val="00842FAA"/>
    <w:rsid w:val="00853DC2"/>
    <w:rsid w:val="008564B5"/>
    <w:rsid w:val="00856B9B"/>
    <w:rsid w:val="00856D33"/>
    <w:rsid w:val="00860B27"/>
    <w:rsid w:val="00862DEB"/>
    <w:rsid w:val="00864080"/>
    <w:rsid w:val="00864B0B"/>
    <w:rsid w:val="00864DE3"/>
    <w:rsid w:val="008670CE"/>
    <w:rsid w:val="008679AB"/>
    <w:rsid w:val="008706F2"/>
    <w:rsid w:val="0087634C"/>
    <w:rsid w:val="0088088E"/>
    <w:rsid w:val="00880CAA"/>
    <w:rsid w:val="008840F2"/>
    <w:rsid w:val="008868D6"/>
    <w:rsid w:val="008879E2"/>
    <w:rsid w:val="0089206E"/>
    <w:rsid w:val="008926F8"/>
    <w:rsid w:val="008939FE"/>
    <w:rsid w:val="008940BD"/>
    <w:rsid w:val="00895F0B"/>
    <w:rsid w:val="00896A18"/>
    <w:rsid w:val="00896F3D"/>
    <w:rsid w:val="0089795B"/>
    <w:rsid w:val="008A1EFB"/>
    <w:rsid w:val="008A28B8"/>
    <w:rsid w:val="008B0E27"/>
    <w:rsid w:val="008B2CAD"/>
    <w:rsid w:val="008B54DE"/>
    <w:rsid w:val="008C1E0A"/>
    <w:rsid w:val="008C212B"/>
    <w:rsid w:val="008C5996"/>
    <w:rsid w:val="008C5F58"/>
    <w:rsid w:val="008C5F74"/>
    <w:rsid w:val="008D3061"/>
    <w:rsid w:val="008D5304"/>
    <w:rsid w:val="008D6499"/>
    <w:rsid w:val="008E3FF7"/>
    <w:rsid w:val="008E713E"/>
    <w:rsid w:val="008F0323"/>
    <w:rsid w:val="008F16C7"/>
    <w:rsid w:val="008F16F3"/>
    <w:rsid w:val="008F2236"/>
    <w:rsid w:val="008F444A"/>
    <w:rsid w:val="00900DDE"/>
    <w:rsid w:val="00902F01"/>
    <w:rsid w:val="00903AD9"/>
    <w:rsid w:val="00903EEB"/>
    <w:rsid w:val="00905107"/>
    <w:rsid w:val="00905643"/>
    <w:rsid w:val="00907863"/>
    <w:rsid w:val="009130AD"/>
    <w:rsid w:val="00925939"/>
    <w:rsid w:val="00930364"/>
    <w:rsid w:val="00930977"/>
    <w:rsid w:val="00936D33"/>
    <w:rsid w:val="009420BF"/>
    <w:rsid w:val="009442EB"/>
    <w:rsid w:val="0094529F"/>
    <w:rsid w:val="009464B7"/>
    <w:rsid w:val="00946E24"/>
    <w:rsid w:val="0094713E"/>
    <w:rsid w:val="00952AF2"/>
    <w:rsid w:val="00952B09"/>
    <w:rsid w:val="00957F26"/>
    <w:rsid w:val="009604AF"/>
    <w:rsid w:val="009608C5"/>
    <w:rsid w:val="00960A5A"/>
    <w:rsid w:val="00960A78"/>
    <w:rsid w:val="00962CDC"/>
    <w:rsid w:val="0096304F"/>
    <w:rsid w:val="00965293"/>
    <w:rsid w:val="00966BC3"/>
    <w:rsid w:val="00970834"/>
    <w:rsid w:val="0097222E"/>
    <w:rsid w:val="0097301E"/>
    <w:rsid w:val="00974304"/>
    <w:rsid w:val="0097621E"/>
    <w:rsid w:val="00980178"/>
    <w:rsid w:val="009811A8"/>
    <w:rsid w:val="0099048A"/>
    <w:rsid w:val="00991397"/>
    <w:rsid w:val="00994B8C"/>
    <w:rsid w:val="00997F66"/>
    <w:rsid w:val="009A65E8"/>
    <w:rsid w:val="009B7B71"/>
    <w:rsid w:val="009C4E7D"/>
    <w:rsid w:val="009D3110"/>
    <w:rsid w:val="009D44FF"/>
    <w:rsid w:val="009F0B9A"/>
    <w:rsid w:val="009F46B6"/>
    <w:rsid w:val="009F4E64"/>
    <w:rsid w:val="009F5DF4"/>
    <w:rsid w:val="009F630C"/>
    <w:rsid w:val="009F69EA"/>
    <w:rsid w:val="009F7149"/>
    <w:rsid w:val="009F756F"/>
    <w:rsid w:val="00A07327"/>
    <w:rsid w:val="00A10C7F"/>
    <w:rsid w:val="00A11FA9"/>
    <w:rsid w:val="00A138E6"/>
    <w:rsid w:val="00A14B6B"/>
    <w:rsid w:val="00A21042"/>
    <w:rsid w:val="00A211F3"/>
    <w:rsid w:val="00A2431F"/>
    <w:rsid w:val="00A357D7"/>
    <w:rsid w:val="00A35BC5"/>
    <w:rsid w:val="00A40213"/>
    <w:rsid w:val="00A4105F"/>
    <w:rsid w:val="00A429DD"/>
    <w:rsid w:val="00A43380"/>
    <w:rsid w:val="00A46F37"/>
    <w:rsid w:val="00A53011"/>
    <w:rsid w:val="00A54527"/>
    <w:rsid w:val="00A5454A"/>
    <w:rsid w:val="00A56938"/>
    <w:rsid w:val="00A6428F"/>
    <w:rsid w:val="00A65C79"/>
    <w:rsid w:val="00A76939"/>
    <w:rsid w:val="00A7758F"/>
    <w:rsid w:val="00A80262"/>
    <w:rsid w:val="00A82061"/>
    <w:rsid w:val="00A906DC"/>
    <w:rsid w:val="00A92C80"/>
    <w:rsid w:val="00AA1F1D"/>
    <w:rsid w:val="00AA7960"/>
    <w:rsid w:val="00AC445A"/>
    <w:rsid w:val="00AD4750"/>
    <w:rsid w:val="00AD6EE0"/>
    <w:rsid w:val="00AE10ED"/>
    <w:rsid w:val="00AF420A"/>
    <w:rsid w:val="00AF438C"/>
    <w:rsid w:val="00AF5154"/>
    <w:rsid w:val="00AF7E74"/>
    <w:rsid w:val="00AF7EF0"/>
    <w:rsid w:val="00B00D92"/>
    <w:rsid w:val="00B02E19"/>
    <w:rsid w:val="00B045A9"/>
    <w:rsid w:val="00B1002C"/>
    <w:rsid w:val="00B11019"/>
    <w:rsid w:val="00B11110"/>
    <w:rsid w:val="00B20BF4"/>
    <w:rsid w:val="00B21062"/>
    <w:rsid w:val="00B21B6F"/>
    <w:rsid w:val="00B237AD"/>
    <w:rsid w:val="00B27202"/>
    <w:rsid w:val="00B32934"/>
    <w:rsid w:val="00B33D8A"/>
    <w:rsid w:val="00B40313"/>
    <w:rsid w:val="00B4412D"/>
    <w:rsid w:val="00B57814"/>
    <w:rsid w:val="00B607DA"/>
    <w:rsid w:val="00B725A5"/>
    <w:rsid w:val="00B7273A"/>
    <w:rsid w:val="00B75B43"/>
    <w:rsid w:val="00B81D65"/>
    <w:rsid w:val="00B82AEA"/>
    <w:rsid w:val="00B84EDC"/>
    <w:rsid w:val="00B86C12"/>
    <w:rsid w:val="00B927EF"/>
    <w:rsid w:val="00B92ADA"/>
    <w:rsid w:val="00B9369A"/>
    <w:rsid w:val="00B96F23"/>
    <w:rsid w:val="00BA6522"/>
    <w:rsid w:val="00BB035C"/>
    <w:rsid w:val="00BC15FD"/>
    <w:rsid w:val="00BC2405"/>
    <w:rsid w:val="00BC7028"/>
    <w:rsid w:val="00BD0162"/>
    <w:rsid w:val="00BD127A"/>
    <w:rsid w:val="00BD28D5"/>
    <w:rsid w:val="00BD63BA"/>
    <w:rsid w:val="00BE3EDB"/>
    <w:rsid w:val="00BE5372"/>
    <w:rsid w:val="00BE6480"/>
    <w:rsid w:val="00BF2061"/>
    <w:rsid w:val="00C00974"/>
    <w:rsid w:val="00C0124E"/>
    <w:rsid w:val="00C13CFB"/>
    <w:rsid w:val="00C162B6"/>
    <w:rsid w:val="00C211E0"/>
    <w:rsid w:val="00C21B4E"/>
    <w:rsid w:val="00C21EB2"/>
    <w:rsid w:val="00C21F57"/>
    <w:rsid w:val="00C22CFD"/>
    <w:rsid w:val="00C233ED"/>
    <w:rsid w:val="00C23F7C"/>
    <w:rsid w:val="00C31B8A"/>
    <w:rsid w:val="00C34DED"/>
    <w:rsid w:val="00C35C3B"/>
    <w:rsid w:val="00C361A7"/>
    <w:rsid w:val="00C36F05"/>
    <w:rsid w:val="00C40BCB"/>
    <w:rsid w:val="00C4293B"/>
    <w:rsid w:val="00C4571A"/>
    <w:rsid w:val="00C53E79"/>
    <w:rsid w:val="00C5673D"/>
    <w:rsid w:val="00C61575"/>
    <w:rsid w:val="00C62F3B"/>
    <w:rsid w:val="00C65CBB"/>
    <w:rsid w:val="00C754D0"/>
    <w:rsid w:val="00C76931"/>
    <w:rsid w:val="00C77AFD"/>
    <w:rsid w:val="00C829E7"/>
    <w:rsid w:val="00C83C83"/>
    <w:rsid w:val="00C87C39"/>
    <w:rsid w:val="00C918B3"/>
    <w:rsid w:val="00C93B84"/>
    <w:rsid w:val="00C95868"/>
    <w:rsid w:val="00C966A9"/>
    <w:rsid w:val="00CA15F0"/>
    <w:rsid w:val="00CA168C"/>
    <w:rsid w:val="00CA2032"/>
    <w:rsid w:val="00CA3959"/>
    <w:rsid w:val="00CA3F0A"/>
    <w:rsid w:val="00CA4ACF"/>
    <w:rsid w:val="00CA5408"/>
    <w:rsid w:val="00CA7D44"/>
    <w:rsid w:val="00CB1A6F"/>
    <w:rsid w:val="00CB1EE5"/>
    <w:rsid w:val="00CB3444"/>
    <w:rsid w:val="00CC01FA"/>
    <w:rsid w:val="00CC420B"/>
    <w:rsid w:val="00CC5323"/>
    <w:rsid w:val="00CC7691"/>
    <w:rsid w:val="00CD2769"/>
    <w:rsid w:val="00CE0248"/>
    <w:rsid w:val="00CE12EC"/>
    <w:rsid w:val="00CE208B"/>
    <w:rsid w:val="00CE3FDF"/>
    <w:rsid w:val="00CE7A1B"/>
    <w:rsid w:val="00CE7A1C"/>
    <w:rsid w:val="00CF5011"/>
    <w:rsid w:val="00CF5EB3"/>
    <w:rsid w:val="00CF79B2"/>
    <w:rsid w:val="00D02E78"/>
    <w:rsid w:val="00D0423F"/>
    <w:rsid w:val="00D112B5"/>
    <w:rsid w:val="00D13DC7"/>
    <w:rsid w:val="00D148C3"/>
    <w:rsid w:val="00D31225"/>
    <w:rsid w:val="00D32110"/>
    <w:rsid w:val="00D329FF"/>
    <w:rsid w:val="00D33103"/>
    <w:rsid w:val="00D3728E"/>
    <w:rsid w:val="00D41FD7"/>
    <w:rsid w:val="00D42E58"/>
    <w:rsid w:val="00D4374E"/>
    <w:rsid w:val="00D44253"/>
    <w:rsid w:val="00D5091B"/>
    <w:rsid w:val="00D5392E"/>
    <w:rsid w:val="00D63C96"/>
    <w:rsid w:val="00D659B6"/>
    <w:rsid w:val="00D659C5"/>
    <w:rsid w:val="00D7097F"/>
    <w:rsid w:val="00D72216"/>
    <w:rsid w:val="00D76686"/>
    <w:rsid w:val="00D777B0"/>
    <w:rsid w:val="00D81F38"/>
    <w:rsid w:val="00D86BCF"/>
    <w:rsid w:val="00D900A7"/>
    <w:rsid w:val="00D9312D"/>
    <w:rsid w:val="00D956B3"/>
    <w:rsid w:val="00D95792"/>
    <w:rsid w:val="00D968D4"/>
    <w:rsid w:val="00DA2A53"/>
    <w:rsid w:val="00DA7BCA"/>
    <w:rsid w:val="00DB49C9"/>
    <w:rsid w:val="00DB60A1"/>
    <w:rsid w:val="00DC191D"/>
    <w:rsid w:val="00DC37F0"/>
    <w:rsid w:val="00DD3758"/>
    <w:rsid w:val="00DD4873"/>
    <w:rsid w:val="00DD5E45"/>
    <w:rsid w:val="00DD6144"/>
    <w:rsid w:val="00DD711C"/>
    <w:rsid w:val="00DD7156"/>
    <w:rsid w:val="00DE6CF6"/>
    <w:rsid w:val="00DF2178"/>
    <w:rsid w:val="00DF331C"/>
    <w:rsid w:val="00DF75AD"/>
    <w:rsid w:val="00DF7896"/>
    <w:rsid w:val="00DF7C4E"/>
    <w:rsid w:val="00E01CBD"/>
    <w:rsid w:val="00E03CFE"/>
    <w:rsid w:val="00E108D3"/>
    <w:rsid w:val="00E14206"/>
    <w:rsid w:val="00E15EBF"/>
    <w:rsid w:val="00E1780D"/>
    <w:rsid w:val="00E22E10"/>
    <w:rsid w:val="00E27733"/>
    <w:rsid w:val="00E305C1"/>
    <w:rsid w:val="00E33964"/>
    <w:rsid w:val="00E3405A"/>
    <w:rsid w:val="00E36A38"/>
    <w:rsid w:val="00E40A84"/>
    <w:rsid w:val="00E46DF2"/>
    <w:rsid w:val="00E4725C"/>
    <w:rsid w:val="00E525C2"/>
    <w:rsid w:val="00E53568"/>
    <w:rsid w:val="00E57706"/>
    <w:rsid w:val="00E57B23"/>
    <w:rsid w:val="00E610F5"/>
    <w:rsid w:val="00E6765B"/>
    <w:rsid w:val="00E70DC0"/>
    <w:rsid w:val="00E716FD"/>
    <w:rsid w:val="00E73A40"/>
    <w:rsid w:val="00E73DF8"/>
    <w:rsid w:val="00E742AB"/>
    <w:rsid w:val="00E809E1"/>
    <w:rsid w:val="00E81289"/>
    <w:rsid w:val="00E81D89"/>
    <w:rsid w:val="00E835E6"/>
    <w:rsid w:val="00E84553"/>
    <w:rsid w:val="00EA0ACD"/>
    <w:rsid w:val="00EA297B"/>
    <w:rsid w:val="00EA339C"/>
    <w:rsid w:val="00EB030A"/>
    <w:rsid w:val="00EB3D7C"/>
    <w:rsid w:val="00EB5A98"/>
    <w:rsid w:val="00EB6B33"/>
    <w:rsid w:val="00ED1836"/>
    <w:rsid w:val="00ED1E05"/>
    <w:rsid w:val="00ED69C0"/>
    <w:rsid w:val="00EF1FC4"/>
    <w:rsid w:val="00EF2EDA"/>
    <w:rsid w:val="00EF48C6"/>
    <w:rsid w:val="00EF5589"/>
    <w:rsid w:val="00F00E34"/>
    <w:rsid w:val="00F04482"/>
    <w:rsid w:val="00F05B9B"/>
    <w:rsid w:val="00F10712"/>
    <w:rsid w:val="00F12471"/>
    <w:rsid w:val="00F1571C"/>
    <w:rsid w:val="00F20B25"/>
    <w:rsid w:val="00F20F86"/>
    <w:rsid w:val="00F23838"/>
    <w:rsid w:val="00F25CC1"/>
    <w:rsid w:val="00F40458"/>
    <w:rsid w:val="00F435EF"/>
    <w:rsid w:val="00F44157"/>
    <w:rsid w:val="00F444A2"/>
    <w:rsid w:val="00F50103"/>
    <w:rsid w:val="00F50982"/>
    <w:rsid w:val="00F52AC1"/>
    <w:rsid w:val="00F54AB7"/>
    <w:rsid w:val="00F55DF7"/>
    <w:rsid w:val="00F604B7"/>
    <w:rsid w:val="00F60D62"/>
    <w:rsid w:val="00F61406"/>
    <w:rsid w:val="00F61E9D"/>
    <w:rsid w:val="00F62E29"/>
    <w:rsid w:val="00F666D1"/>
    <w:rsid w:val="00F66C51"/>
    <w:rsid w:val="00F66F60"/>
    <w:rsid w:val="00F70AF1"/>
    <w:rsid w:val="00F710A0"/>
    <w:rsid w:val="00F7456E"/>
    <w:rsid w:val="00F805B4"/>
    <w:rsid w:val="00F81AAB"/>
    <w:rsid w:val="00F83CDA"/>
    <w:rsid w:val="00F93F31"/>
    <w:rsid w:val="00F94882"/>
    <w:rsid w:val="00F975FA"/>
    <w:rsid w:val="00FA3B32"/>
    <w:rsid w:val="00FA4DF9"/>
    <w:rsid w:val="00FB5E5E"/>
    <w:rsid w:val="00FC1BCF"/>
    <w:rsid w:val="00FD48DD"/>
    <w:rsid w:val="00FD795E"/>
    <w:rsid w:val="00FE13A1"/>
    <w:rsid w:val="00FE162D"/>
    <w:rsid w:val="00FE1A46"/>
    <w:rsid w:val="00FE348B"/>
    <w:rsid w:val="00FE3822"/>
    <w:rsid w:val="00FE4B7B"/>
    <w:rsid w:val="00FE4C9B"/>
    <w:rsid w:val="00FF004D"/>
    <w:rsid w:val="00FF05B2"/>
    <w:rsid w:val="00FF080B"/>
    <w:rsid w:val="00FF0FA1"/>
    <w:rsid w:val="00FF4086"/>
    <w:rsid w:val="00FF4485"/>
    <w:rsid w:val="00FF5735"/>
    <w:rsid w:val="00FF58AD"/>
    <w:rsid w:val="010354FD"/>
    <w:rsid w:val="01AF06A3"/>
    <w:rsid w:val="02C65933"/>
    <w:rsid w:val="04E33A5F"/>
    <w:rsid w:val="055A58D4"/>
    <w:rsid w:val="06336531"/>
    <w:rsid w:val="06826B71"/>
    <w:rsid w:val="069150A5"/>
    <w:rsid w:val="06D86136"/>
    <w:rsid w:val="06DF115B"/>
    <w:rsid w:val="07763677"/>
    <w:rsid w:val="07D96C64"/>
    <w:rsid w:val="0992716B"/>
    <w:rsid w:val="0BCC77F4"/>
    <w:rsid w:val="0BE1221F"/>
    <w:rsid w:val="0C281C5C"/>
    <w:rsid w:val="0C831895"/>
    <w:rsid w:val="0C835A1C"/>
    <w:rsid w:val="0DC25855"/>
    <w:rsid w:val="0E14727F"/>
    <w:rsid w:val="0EC30E48"/>
    <w:rsid w:val="109760E4"/>
    <w:rsid w:val="10B5184D"/>
    <w:rsid w:val="11C87327"/>
    <w:rsid w:val="11E143C5"/>
    <w:rsid w:val="12E4695E"/>
    <w:rsid w:val="13F372BF"/>
    <w:rsid w:val="14BA5FFE"/>
    <w:rsid w:val="15662D4C"/>
    <w:rsid w:val="16994CA2"/>
    <w:rsid w:val="16CB00C0"/>
    <w:rsid w:val="170A0BE8"/>
    <w:rsid w:val="178C3CF3"/>
    <w:rsid w:val="17AE46FF"/>
    <w:rsid w:val="17C4348D"/>
    <w:rsid w:val="17F9719D"/>
    <w:rsid w:val="17FED215"/>
    <w:rsid w:val="18366034"/>
    <w:rsid w:val="189E7D07"/>
    <w:rsid w:val="190C57B6"/>
    <w:rsid w:val="19DB1FD0"/>
    <w:rsid w:val="1B590209"/>
    <w:rsid w:val="1BA64C58"/>
    <w:rsid w:val="1C05636D"/>
    <w:rsid w:val="1C4970E5"/>
    <w:rsid w:val="1CC76A4B"/>
    <w:rsid w:val="1CE16824"/>
    <w:rsid w:val="1DEA6D6D"/>
    <w:rsid w:val="1E2C7696"/>
    <w:rsid w:val="1E587609"/>
    <w:rsid w:val="1E856051"/>
    <w:rsid w:val="1EE21D17"/>
    <w:rsid w:val="20B93A21"/>
    <w:rsid w:val="20F10ACE"/>
    <w:rsid w:val="21A836AE"/>
    <w:rsid w:val="23E36F26"/>
    <w:rsid w:val="24326F94"/>
    <w:rsid w:val="248433C6"/>
    <w:rsid w:val="248C7FF2"/>
    <w:rsid w:val="24B16B47"/>
    <w:rsid w:val="271436D1"/>
    <w:rsid w:val="27710A67"/>
    <w:rsid w:val="279E0B42"/>
    <w:rsid w:val="29103779"/>
    <w:rsid w:val="2AB064B6"/>
    <w:rsid w:val="2DFE40FB"/>
    <w:rsid w:val="2E344345"/>
    <w:rsid w:val="2E7B05E9"/>
    <w:rsid w:val="2F5164C7"/>
    <w:rsid w:val="30BD2BD7"/>
    <w:rsid w:val="30F609FC"/>
    <w:rsid w:val="31172428"/>
    <w:rsid w:val="31DE5652"/>
    <w:rsid w:val="333B68F9"/>
    <w:rsid w:val="33824B11"/>
    <w:rsid w:val="33974AEA"/>
    <w:rsid w:val="33CD6E6A"/>
    <w:rsid w:val="34FC1B68"/>
    <w:rsid w:val="364E28A2"/>
    <w:rsid w:val="36A53B2F"/>
    <w:rsid w:val="3727A866"/>
    <w:rsid w:val="38517CC2"/>
    <w:rsid w:val="393F933F"/>
    <w:rsid w:val="3AA0442B"/>
    <w:rsid w:val="3AF06E3D"/>
    <w:rsid w:val="3AFA2997"/>
    <w:rsid w:val="3B4A4EF5"/>
    <w:rsid w:val="3BCE0190"/>
    <w:rsid w:val="3CC71E06"/>
    <w:rsid w:val="3D5D46EE"/>
    <w:rsid w:val="3D811383"/>
    <w:rsid w:val="3E986E3C"/>
    <w:rsid w:val="3ECA6DBF"/>
    <w:rsid w:val="3EEFCB62"/>
    <w:rsid w:val="3F7E650B"/>
    <w:rsid w:val="41962EF5"/>
    <w:rsid w:val="42486677"/>
    <w:rsid w:val="429E1EFE"/>
    <w:rsid w:val="42E14644"/>
    <w:rsid w:val="444B4E82"/>
    <w:rsid w:val="44B412EF"/>
    <w:rsid w:val="44E47837"/>
    <w:rsid w:val="46DE54E3"/>
    <w:rsid w:val="483004E4"/>
    <w:rsid w:val="48AD6F9B"/>
    <w:rsid w:val="48FC26B8"/>
    <w:rsid w:val="49290AF3"/>
    <w:rsid w:val="49F24B6C"/>
    <w:rsid w:val="4B062DD1"/>
    <w:rsid w:val="4B464A0E"/>
    <w:rsid w:val="513375D9"/>
    <w:rsid w:val="52351866"/>
    <w:rsid w:val="527C2D8E"/>
    <w:rsid w:val="530511F0"/>
    <w:rsid w:val="536E1962"/>
    <w:rsid w:val="53EE096F"/>
    <w:rsid w:val="54216F96"/>
    <w:rsid w:val="54435882"/>
    <w:rsid w:val="54D9517B"/>
    <w:rsid w:val="554F7B33"/>
    <w:rsid w:val="568C1D33"/>
    <w:rsid w:val="56A33508"/>
    <w:rsid w:val="57A85B85"/>
    <w:rsid w:val="585D60C3"/>
    <w:rsid w:val="58D05938"/>
    <w:rsid w:val="59173FA0"/>
    <w:rsid w:val="599864FB"/>
    <w:rsid w:val="59EC7C81"/>
    <w:rsid w:val="5B442D32"/>
    <w:rsid w:val="5B617FF9"/>
    <w:rsid w:val="5C5F065B"/>
    <w:rsid w:val="5D274D93"/>
    <w:rsid w:val="5D6F5686"/>
    <w:rsid w:val="610E3F35"/>
    <w:rsid w:val="61C611F4"/>
    <w:rsid w:val="6461518D"/>
    <w:rsid w:val="64F41B5D"/>
    <w:rsid w:val="64FC782B"/>
    <w:rsid w:val="65103FD9"/>
    <w:rsid w:val="65E9368C"/>
    <w:rsid w:val="664E7552"/>
    <w:rsid w:val="6651700F"/>
    <w:rsid w:val="67AF7F23"/>
    <w:rsid w:val="68953565"/>
    <w:rsid w:val="68983D3B"/>
    <w:rsid w:val="69CD5680"/>
    <w:rsid w:val="6B7E1927"/>
    <w:rsid w:val="6BA75E4F"/>
    <w:rsid w:val="6D504110"/>
    <w:rsid w:val="6D6E2A73"/>
    <w:rsid w:val="6DD32422"/>
    <w:rsid w:val="6E202828"/>
    <w:rsid w:val="6EBC6B95"/>
    <w:rsid w:val="6EFA4A79"/>
    <w:rsid w:val="6F6F723A"/>
    <w:rsid w:val="6FA30C38"/>
    <w:rsid w:val="6FB525C1"/>
    <w:rsid w:val="70B328CC"/>
    <w:rsid w:val="714F7A5A"/>
    <w:rsid w:val="7225401B"/>
    <w:rsid w:val="727A5D97"/>
    <w:rsid w:val="72FF4398"/>
    <w:rsid w:val="733953BA"/>
    <w:rsid w:val="736E7985"/>
    <w:rsid w:val="739169EA"/>
    <w:rsid w:val="74CE7983"/>
    <w:rsid w:val="75AE23A5"/>
    <w:rsid w:val="765D6891"/>
    <w:rsid w:val="776B2CCA"/>
    <w:rsid w:val="784A4E29"/>
    <w:rsid w:val="78EF0498"/>
    <w:rsid w:val="79BB0976"/>
    <w:rsid w:val="7A202934"/>
    <w:rsid w:val="7A6537B6"/>
    <w:rsid w:val="7AF95CC7"/>
    <w:rsid w:val="7BA350B2"/>
    <w:rsid w:val="7BF52091"/>
    <w:rsid w:val="7CEE73E3"/>
    <w:rsid w:val="7ED12ACB"/>
    <w:rsid w:val="7EF742CC"/>
    <w:rsid w:val="7F6F45EA"/>
    <w:rsid w:val="7F9D0770"/>
    <w:rsid w:val="7FB6256D"/>
    <w:rsid w:val="BB9BED7C"/>
    <w:rsid w:val="DF971D14"/>
    <w:rsid w:val="DFFC7962"/>
    <w:rsid w:val="EFFBF3A1"/>
    <w:rsid w:val="F2DF9C4C"/>
    <w:rsid w:val="FA2E0AF2"/>
    <w:rsid w:val="FCFF6354"/>
    <w:rsid w:val="FDAFE84E"/>
    <w:rsid w:val="FF6C0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60" w:lineRule="auto"/>
      <w:jc w:val="both"/>
    </w:pPr>
    <w:rPr>
      <w:rFonts w:eastAsia="宋体" w:asciiTheme="minorHAnsi" w:hAnsiTheme="minorHAnsi" w:cstheme="minorBidi"/>
      <w:kern w:val="2"/>
      <w:sz w:val="24"/>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eastAsia="黑体" w:asciiTheme="majorHAnsi" w:hAnsiTheme="majorHAnsi" w:cstheme="majorBidi"/>
      <w:b/>
      <w:bCs/>
      <w:sz w:val="44"/>
      <w:szCs w:val="32"/>
    </w:rPr>
  </w:style>
  <w:style w:type="paragraph" w:styleId="4">
    <w:name w:val="heading 3"/>
    <w:basedOn w:val="1"/>
    <w:next w:val="1"/>
    <w:link w:val="27"/>
    <w:unhideWhenUsed/>
    <w:qFormat/>
    <w:uiPriority w:val="9"/>
    <w:pPr>
      <w:keepNext/>
      <w:keepLines/>
      <w:spacing w:before="260" w:after="260" w:line="416" w:lineRule="auto"/>
      <w:outlineLvl w:val="2"/>
    </w:pPr>
    <w:rPr>
      <w:b/>
      <w:bCs/>
      <w:sz w:val="30"/>
      <w:szCs w:val="32"/>
    </w:rPr>
  </w:style>
  <w:style w:type="paragraph" w:styleId="5">
    <w:name w:val="heading 4"/>
    <w:basedOn w:val="1"/>
    <w:next w:val="1"/>
    <w:link w:val="28"/>
    <w:unhideWhenUsed/>
    <w:qFormat/>
    <w:uiPriority w:val="9"/>
    <w:pPr>
      <w:keepNext/>
      <w:keepLines/>
      <w:spacing w:before="280" w:after="290" w:line="376" w:lineRule="auto"/>
      <w:outlineLvl w:val="3"/>
    </w:pPr>
    <w:rPr>
      <w:rFonts w:asciiTheme="majorHAnsi" w:hAnsiTheme="majorHAnsi" w:cstheme="majorBidi"/>
      <w:b/>
      <w:bCs/>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unhideWhenUsed/>
    <w:qFormat/>
    <w:uiPriority w:val="35"/>
    <w:pPr>
      <w:snapToGrid/>
      <w:spacing w:line="240" w:lineRule="auto"/>
      <w:jc w:val="left"/>
    </w:pPr>
    <w:rPr>
      <w:rFonts w:eastAsia="黑体" w:asciiTheme="majorHAnsi" w:hAnsiTheme="majorHAnsi" w:cstheme="majorBidi"/>
      <w:sz w:val="20"/>
      <w:szCs w:val="20"/>
    </w:rPr>
  </w:style>
  <w:style w:type="paragraph" w:styleId="7">
    <w:name w:val="annotation text"/>
    <w:basedOn w:val="1"/>
    <w:semiHidden/>
    <w:unhideWhenUsed/>
    <w:qFormat/>
    <w:uiPriority w:val="99"/>
    <w:pPr>
      <w:jc w:val="left"/>
    </w:pPr>
  </w:style>
  <w:style w:type="paragraph" w:styleId="8">
    <w:name w:val="toc 3"/>
    <w:basedOn w:val="1"/>
    <w:next w:val="1"/>
    <w:unhideWhenUsed/>
    <w:qFormat/>
    <w:uiPriority w:val="39"/>
    <w:pPr>
      <w:tabs>
        <w:tab w:val="left" w:pos="2045"/>
        <w:tab w:val="right" w:leader="dot" w:pos="8296"/>
      </w:tabs>
      <w:ind w:left="1120" w:leftChars="400"/>
      <w:jc w:val="left"/>
    </w:pPr>
  </w:style>
  <w:style w:type="paragraph" w:styleId="9">
    <w:name w:val="Date"/>
    <w:basedOn w:val="1"/>
    <w:next w:val="1"/>
    <w:link w:val="53"/>
    <w:semiHidden/>
    <w:unhideWhenUsed/>
    <w:qFormat/>
    <w:uiPriority w:val="99"/>
    <w:pPr>
      <w:ind w:left="100" w:leftChars="2500"/>
    </w:pPr>
  </w:style>
  <w:style w:type="paragraph" w:styleId="10">
    <w:name w:val="Balloon Text"/>
    <w:basedOn w:val="1"/>
    <w:link w:val="50"/>
    <w:semiHidden/>
    <w:unhideWhenUsed/>
    <w:qFormat/>
    <w:uiPriority w:val="99"/>
    <w:pPr>
      <w:spacing w:line="240" w:lineRule="auto"/>
    </w:pPr>
    <w:rPr>
      <w:sz w:val="18"/>
      <w:szCs w:val="18"/>
    </w:rPr>
  </w:style>
  <w:style w:type="paragraph" w:styleId="11">
    <w:name w:val="footer"/>
    <w:basedOn w:val="1"/>
    <w:link w:val="34"/>
    <w:unhideWhenUsed/>
    <w:qFormat/>
    <w:uiPriority w:val="99"/>
    <w:pPr>
      <w:tabs>
        <w:tab w:val="center" w:pos="4153"/>
        <w:tab w:val="right" w:pos="8306"/>
      </w:tabs>
      <w:jc w:val="left"/>
    </w:pPr>
    <w:rPr>
      <w:sz w:val="18"/>
      <w:szCs w:val="18"/>
    </w:rPr>
  </w:style>
  <w:style w:type="paragraph" w:styleId="12">
    <w:name w:val="header"/>
    <w:basedOn w:val="1"/>
    <w:link w:val="33"/>
    <w:unhideWhenUsed/>
    <w:qFormat/>
    <w:uiPriority w:val="99"/>
    <w:pPr>
      <w:pBdr>
        <w:bottom w:val="single" w:color="auto" w:sz="6" w:space="1"/>
      </w:pBdr>
      <w:tabs>
        <w:tab w:val="center" w:pos="4153"/>
        <w:tab w:val="right" w:pos="8306"/>
      </w:tabs>
      <w:jc w:val="center"/>
    </w:pPr>
    <w:rPr>
      <w:sz w:val="18"/>
      <w:szCs w:val="18"/>
    </w:rPr>
  </w:style>
  <w:style w:type="paragraph" w:styleId="13">
    <w:name w:val="toc 1"/>
    <w:basedOn w:val="1"/>
    <w:next w:val="1"/>
    <w:unhideWhenUsed/>
    <w:qFormat/>
    <w:uiPriority w:val="39"/>
    <w:pPr>
      <w:widowControl/>
      <w:tabs>
        <w:tab w:val="right" w:leader="dot" w:pos="8296"/>
      </w:tabs>
      <w:spacing w:after="100" w:line="259" w:lineRule="auto"/>
      <w:jc w:val="left"/>
    </w:pPr>
    <w:rPr>
      <w:rFonts w:cs="Times New Roman" w:eastAsiaTheme="minorEastAsia"/>
      <w:kern w:val="0"/>
    </w:rPr>
  </w:style>
  <w:style w:type="paragraph" w:styleId="14">
    <w:name w:val="toc 4"/>
    <w:basedOn w:val="1"/>
    <w:next w:val="1"/>
    <w:unhideWhenUsed/>
    <w:qFormat/>
    <w:uiPriority w:val="39"/>
    <w:pPr>
      <w:ind w:left="1260" w:leftChars="600"/>
    </w:pPr>
  </w:style>
  <w:style w:type="paragraph" w:styleId="15">
    <w:name w:val="toc 2"/>
    <w:basedOn w:val="1"/>
    <w:next w:val="1"/>
    <w:unhideWhenUsed/>
    <w:qFormat/>
    <w:uiPriority w:val="39"/>
    <w:pPr>
      <w:ind w:left="420" w:leftChars="200"/>
    </w:pPr>
  </w:style>
  <w:style w:type="paragraph" w:styleId="16">
    <w:name w:val="Normal (Web)"/>
    <w:basedOn w:val="1"/>
    <w:semiHidden/>
    <w:unhideWhenUsed/>
    <w:qFormat/>
    <w:uiPriority w:val="99"/>
    <w:pPr>
      <w:widowControl/>
      <w:spacing w:before="100" w:beforeAutospacing="1" w:after="100" w:afterAutospacing="1"/>
      <w:jc w:val="left"/>
    </w:pPr>
    <w:rPr>
      <w:rFonts w:ascii="宋体" w:hAnsi="宋体" w:cs="宋体"/>
      <w:kern w:val="0"/>
      <w:szCs w:val="24"/>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FollowedHyperlink"/>
    <w:basedOn w:val="19"/>
    <w:semiHidden/>
    <w:unhideWhenUsed/>
    <w:qFormat/>
    <w:uiPriority w:val="99"/>
    <w:rPr>
      <w:color w:val="96607D"/>
      <w:u w:val="single"/>
    </w:rPr>
  </w:style>
  <w:style w:type="character" w:styleId="22">
    <w:name w:val="Emphasis"/>
    <w:basedOn w:val="19"/>
    <w:qFormat/>
    <w:uiPriority w:val="20"/>
    <w:rPr>
      <w:i/>
    </w:rPr>
  </w:style>
  <w:style w:type="character" w:styleId="23">
    <w:name w:val="Hyperlink"/>
    <w:basedOn w:val="19"/>
    <w:unhideWhenUsed/>
    <w:qFormat/>
    <w:uiPriority w:val="99"/>
    <w:rPr>
      <w:color w:val="0563C1" w:themeColor="hyperlink"/>
      <w:u w:val="single"/>
      <w14:textFill>
        <w14:solidFill>
          <w14:schemeClr w14:val="hlink"/>
        </w14:solidFill>
      </w14:textFill>
    </w:rPr>
  </w:style>
  <w:style w:type="character" w:styleId="24">
    <w:name w:val="annotation reference"/>
    <w:basedOn w:val="19"/>
    <w:semiHidden/>
    <w:unhideWhenUsed/>
    <w:qFormat/>
    <w:uiPriority w:val="99"/>
    <w:rPr>
      <w:sz w:val="21"/>
      <w:szCs w:val="21"/>
    </w:rPr>
  </w:style>
  <w:style w:type="paragraph" w:styleId="25">
    <w:name w:val="List Paragraph"/>
    <w:basedOn w:val="1"/>
    <w:qFormat/>
    <w:uiPriority w:val="34"/>
    <w:pPr>
      <w:ind w:firstLine="420" w:firstLineChars="200"/>
    </w:pPr>
  </w:style>
  <w:style w:type="character" w:customStyle="1" w:styleId="26">
    <w:name w:val="标题 2 字符"/>
    <w:basedOn w:val="19"/>
    <w:link w:val="3"/>
    <w:qFormat/>
    <w:uiPriority w:val="9"/>
    <w:rPr>
      <w:rFonts w:eastAsia="黑体" w:asciiTheme="majorHAnsi" w:hAnsiTheme="majorHAnsi" w:cstheme="majorBidi"/>
      <w:b/>
      <w:bCs/>
      <w:sz w:val="44"/>
      <w:szCs w:val="32"/>
    </w:rPr>
  </w:style>
  <w:style w:type="character" w:customStyle="1" w:styleId="27">
    <w:name w:val="标题 3 字符"/>
    <w:basedOn w:val="19"/>
    <w:link w:val="4"/>
    <w:qFormat/>
    <w:uiPriority w:val="9"/>
    <w:rPr>
      <w:rFonts w:eastAsia="宋体"/>
      <w:b/>
      <w:bCs/>
      <w:sz w:val="30"/>
      <w:szCs w:val="32"/>
    </w:rPr>
  </w:style>
  <w:style w:type="character" w:customStyle="1" w:styleId="28">
    <w:name w:val="标题 4 字符"/>
    <w:basedOn w:val="19"/>
    <w:link w:val="5"/>
    <w:qFormat/>
    <w:uiPriority w:val="9"/>
    <w:rPr>
      <w:rFonts w:eastAsia="宋体" w:asciiTheme="majorHAnsi" w:hAnsiTheme="majorHAnsi" w:cstheme="majorBidi"/>
      <w:b/>
      <w:bCs/>
      <w:sz w:val="28"/>
      <w:szCs w:val="28"/>
    </w:rPr>
  </w:style>
  <w:style w:type="paragraph" w:customStyle="1" w:styleId="29">
    <w:name w:val="Default"/>
    <w:qForma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 w:type="character" w:customStyle="1" w:styleId="30">
    <w:name w:val="标题 1 字符"/>
    <w:basedOn w:val="19"/>
    <w:link w:val="2"/>
    <w:qFormat/>
    <w:uiPriority w:val="9"/>
    <w:rPr>
      <w:rFonts w:eastAsia="宋体"/>
      <w:b/>
      <w:bCs/>
      <w:kern w:val="44"/>
      <w:sz w:val="44"/>
      <w:szCs w:val="44"/>
    </w:rPr>
  </w:style>
  <w:style w:type="paragraph" w:customStyle="1" w:styleId="3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32">
    <w:name w:val="[基本段落]"/>
    <w:basedOn w:val="1"/>
    <w:qFormat/>
    <w:uiPriority w:val="99"/>
    <w:pPr>
      <w:autoSpaceDE w:val="0"/>
      <w:autoSpaceDN w:val="0"/>
      <w:adjustRightInd w:val="0"/>
      <w:spacing w:line="288" w:lineRule="auto"/>
      <w:textAlignment w:val="center"/>
    </w:pPr>
    <w:rPr>
      <w:rFonts w:ascii="AdobeSongStd-Light" w:eastAsia="AdobeSongStd-Light" w:cs="AdobeSongStd-Light"/>
      <w:color w:val="000000"/>
      <w:kern w:val="0"/>
      <w:szCs w:val="24"/>
      <w:lang w:val="zh-CN"/>
    </w:rPr>
  </w:style>
  <w:style w:type="character" w:customStyle="1" w:styleId="33">
    <w:name w:val="页眉 字符"/>
    <w:basedOn w:val="19"/>
    <w:link w:val="12"/>
    <w:qFormat/>
    <w:uiPriority w:val="99"/>
    <w:rPr>
      <w:rFonts w:eastAsia="宋体"/>
      <w:sz w:val="18"/>
      <w:szCs w:val="18"/>
    </w:rPr>
  </w:style>
  <w:style w:type="character" w:customStyle="1" w:styleId="34">
    <w:name w:val="页脚 字符"/>
    <w:basedOn w:val="19"/>
    <w:link w:val="11"/>
    <w:qFormat/>
    <w:uiPriority w:val="99"/>
    <w:rPr>
      <w:rFonts w:eastAsia="宋体"/>
      <w:sz w:val="18"/>
      <w:szCs w:val="18"/>
    </w:rPr>
  </w:style>
  <w:style w:type="paragraph" w:customStyle="1" w:styleId="35">
    <w:name w:val="正文1"/>
    <w:basedOn w:val="1"/>
    <w:link w:val="36"/>
    <w:qFormat/>
    <w:uiPriority w:val="0"/>
    <w:pPr>
      <w:jc w:val="left"/>
    </w:pPr>
    <w:rPr>
      <w:rFonts w:ascii="宋体" w:hAnsi="宋体"/>
    </w:rPr>
  </w:style>
  <w:style w:type="character" w:customStyle="1" w:styleId="36">
    <w:name w:val="正文1 字符"/>
    <w:basedOn w:val="19"/>
    <w:link w:val="35"/>
    <w:qFormat/>
    <w:uiPriority w:val="0"/>
    <w:rPr>
      <w:rFonts w:ascii="宋体" w:hAnsi="宋体" w:eastAsia="宋体"/>
      <w:sz w:val="24"/>
    </w:rPr>
  </w:style>
  <w:style w:type="table" w:customStyle="1" w:styleId="37">
    <w:name w:val="网格型1"/>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8">
    <w:name w:val="No Spacing"/>
    <w:qFormat/>
    <w:uiPriority w:val="1"/>
    <w:pPr>
      <w:widowControl w:val="0"/>
    </w:pPr>
    <w:rPr>
      <w:rFonts w:ascii="宋体" w:hAnsi="宋体" w:eastAsia="宋体" w:cstheme="minorBidi"/>
      <w:kern w:val="2"/>
      <w:sz w:val="24"/>
      <w:szCs w:val="22"/>
      <w:lang w:val="en-US" w:eastAsia="zh-CN" w:bidi="ar-SA"/>
    </w:rPr>
  </w:style>
  <w:style w:type="paragraph" w:customStyle="1" w:styleId="39">
    <w:name w:val="msonormal"/>
    <w:basedOn w:val="1"/>
    <w:qFormat/>
    <w:uiPriority w:val="0"/>
    <w:pPr>
      <w:widowControl/>
      <w:snapToGrid/>
      <w:spacing w:before="100" w:beforeAutospacing="1" w:after="100" w:afterAutospacing="1" w:line="240" w:lineRule="auto"/>
      <w:jc w:val="left"/>
    </w:pPr>
    <w:rPr>
      <w:rFonts w:ascii="宋体" w:hAnsi="宋体" w:cs="宋体"/>
      <w:kern w:val="0"/>
      <w:szCs w:val="24"/>
    </w:rPr>
  </w:style>
  <w:style w:type="paragraph" w:customStyle="1" w:styleId="40">
    <w:name w:val="xl65"/>
    <w:basedOn w:val="1"/>
    <w:qFormat/>
    <w:uiPriority w:val="0"/>
    <w:pPr>
      <w:widowControl/>
      <w:pBdr>
        <w:top w:val="single" w:color="000000" w:sz="8" w:space="0"/>
        <w:left w:val="single" w:color="000000" w:sz="8" w:space="0"/>
        <w:bottom w:val="single" w:color="000000" w:sz="4" w:space="0"/>
        <w:right w:val="single" w:color="000000" w:sz="4" w:space="0"/>
      </w:pBdr>
      <w:shd w:val="clear" w:color="000000" w:fill="A6A6A6"/>
      <w:snapToGrid/>
      <w:spacing w:before="100" w:beforeAutospacing="1" w:after="100" w:afterAutospacing="1" w:line="240" w:lineRule="auto"/>
      <w:jc w:val="center"/>
    </w:pPr>
    <w:rPr>
      <w:rFonts w:ascii="微软雅黑" w:hAnsi="微软雅黑" w:eastAsia="微软雅黑" w:cs="宋体"/>
      <w:b/>
      <w:bCs/>
      <w:color w:val="000000"/>
      <w:kern w:val="0"/>
      <w:sz w:val="32"/>
      <w:szCs w:val="32"/>
    </w:rPr>
  </w:style>
  <w:style w:type="paragraph" w:customStyle="1" w:styleId="41">
    <w:name w:val="xl66"/>
    <w:basedOn w:val="1"/>
    <w:qFormat/>
    <w:uiPriority w:val="0"/>
    <w:pPr>
      <w:widowControl/>
      <w:pBdr>
        <w:top w:val="single" w:color="000000" w:sz="8" w:space="0"/>
        <w:left w:val="single" w:color="000000" w:sz="4" w:space="0"/>
        <w:bottom w:val="single" w:color="000000" w:sz="4" w:space="0"/>
        <w:right w:val="single" w:color="000000" w:sz="4" w:space="0"/>
      </w:pBdr>
      <w:shd w:val="clear" w:color="000000" w:fill="A6A6A6"/>
      <w:snapToGrid/>
      <w:spacing w:before="100" w:beforeAutospacing="1" w:after="100" w:afterAutospacing="1" w:line="240" w:lineRule="auto"/>
      <w:jc w:val="center"/>
    </w:pPr>
    <w:rPr>
      <w:rFonts w:ascii="微软雅黑" w:hAnsi="微软雅黑" w:eastAsia="微软雅黑" w:cs="宋体"/>
      <w:b/>
      <w:bCs/>
      <w:color w:val="000000"/>
      <w:kern w:val="0"/>
      <w:sz w:val="32"/>
      <w:szCs w:val="32"/>
    </w:rPr>
  </w:style>
  <w:style w:type="paragraph" w:customStyle="1" w:styleId="42">
    <w:name w:val="xl67"/>
    <w:basedOn w:val="1"/>
    <w:qFormat/>
    <w:uiPriority w:val="0"/>
    <w:pPr>
      <w:widowControl/>
      <w:pBdr>
        <w:top w:val="single" w:color="000000" w:sz="4" w:space="0"/>
        <w:left w:val="single" w:color="000000" w:sz="4" w:space="0"/>
        <w:bottom w:val="single" w:color="000000" w:sz="4" w:space="0"/>
        <w:right w:val="single" w:color="000000" w:sz="4" w:space="0"/>
      </w:pBdr>
      <w:snapToGrid/>
      <w:spacing w:before="100" w:beforeAutospacing="1" w:after="100" w:afterAutospacing="1" w:line="240" w:lineRule="auto"/>
      <w:jc w:val="center"/>
    </w:pPr>
    <w:rPr>
      <w:rFonts w:ascii="微软雅黑" w:hAnsi="微软雅黑" w:eastAsia="微软雅黑" w:cs="宋体"/>
      <w:color w:val="000000"/>
      <w:kern w:val="0"/>
      <w:sz w:val="32"/>
      <w:szCs w:val="32"/>
    </w:rPr>
  </w:style>
  <w:style w:type="paragraph" w:customStyle="1" w:styleId="43">
    <w:name w:val="xl68"/>
    <w:basedOn w:val="1"/>
    <w:qFormat/>
    <w:uiPriority w:val="0"/>
    <w:pPr>
      <w:widowControl/>
      <w:pBdr>
        <w:top w:val="single" w:color="000000" w:sz="4" w:space="0"/>
        <w:left w:val="single" w:color="000000" w:sz="8" w:space="0"/>
        <w:bottom w:val="single" w:color="000000" w:sz="4" w:space="0"/>
        <w:right w:val="single" w:color="000000" w:sz="4" w:space="0"/>
      </w:pBdr>
      <w:snapToGrid/>
      <w:spacing w:before="100" w:beforeAutospacing="1" w:after="100" w:afterAutospacing="1" w:line="240" w:lineRule="auto"/>
      <w:jc w:val="center"/>
    </w:pPr>
    <w:rPr>
      <w:rFonts w:ascii="微软雅黑" w:hAnsi="微软雅黑" w:eastAsia="微软雅黑" w:cs="宋体"/>
      <w:color w:val="000000"/>
      <w:kern w:val="0"/>
      <w:sz w:val="32"/>
      <w:szCs w:val="32"/>
    </w:rPr>
  </w:style>
  <w:style w:type="paragraph" w:customStyle="1" w:styleId="44">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A6A6A6"/>
      <w:snapToGrid/>
      <w:spacing w:before="100" w:beforeAutospacing="1" w:after="100" w:afterAutospacing="1" w:line="240" w:lineRule="auto"/>
      <w:jc w:val="center"/>
    </w:pPr>
    <w:rPr>
      <w:rFonts w:ascii="微软雅黑" w:hAnsi="微软雅黑" w:eastAsia="微软雅黑" w:cs="宋体"/>
      <w:b/>
      <w:bCs/>
      <w:color w:val="000000"/>
      <w:kern w:val="0"/>
      <w:sz w:val="32"/>
      <w:szCs w:val="32"/>
    </w:rPr>
  </w:style>
  <w:style w:type="paragraph" w:customStyle="1" w:styleId="45">
    <w:name w:val="xl7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A6A6A6"/>
      <w:snapToGrid/>
      <w:spacing w:before="100" w:beforeAutospacing="1" w:after="100" w:afterAutospacing="1" w:line="240" w:lineRule="auto"/>
      <w:jc w:val="center"/>
    </w:pPr>
    <w:rPr>
      <w:rFonts w:ascii="Arial" w:hAnsi="Arial" w:cs="Arial"/>
      <w:kern w:val="0"/>
      <w:sz w:val="36"/>
      <w:szCs w:val="36"/>
    </w:rPr>
  </w:style>
  <w:style w:type="paragraph" w:customStyle="1" w:styleId="46">
    <w:name w:val="xl71"/>
    <w:basedOn w:val="1"/>
    <w:qFormat/>
    <w:uiPriority w:val="0"/>
    <w:pPr>
      <w:widowControl/>
      <w:pBdr>
        <w:top w:val="single" w:color="000000" w:sz="4" w:space="0"/>
        <w:left w:val="single" w:color="000000" w:sz="8" w:space="0"/>
        <w:bottom w:val="single" w:color="000000" w:sz="4" w:space="0"/>
      </w:pBdr>
      <w:shd w:val="clear" w:color="000000" w:fill="A6A6A6"/>
      <w:snapToGrid/>
      <w:spacing w:before="100" w:beforeAutospacing="1" w:after="100" w:afterAutospacing="1" w:line="240" w:lineRule="auto"/>
      <w:jc w:val="center"/>
    </w:pPr>
    <w:rPr>
      <w:rFonts w:ascii="微软雅黑" w:hAnsi="微软雅黑" w:eastAsia="微软雅黑" w:cs="宋体"/>
      <w:b/>
      <w:bCs/>
      <w:color w:val="000000"/>
      <w:kern w:val="0"/>
      <w:sz w:val="32"/>
      <w:szCs w:val="32"/>
    </w:rPr>
  </w:style>
  <w:style w:type="paragraph" w:customStyle="1" w:styleId="47">
    <w:name w:val="xl72"/>
    <w:basedOn w:val="1"/>
    <w:qFormat/>
    <w:uiPriority w:val="0"/>
    <w:pPr>
      <w:widowControl/>
      <w:pBdr>
        <w:top w:val="single" w:color="000000" w:sz="4" w:space="0"/>
        <w:bottom w:val="single" w:color="000000" w:sz="4" w:space="0"/>
      </w:pBdr>
      <w:shd w:val="clear" w:color="000000" w:fill="A6A6A6"/>
      <w:snapToGrid/>
      <w:spacing w:before="100" w:beforeAutospacing="1" w:after="100" w:afterAutospacing="1" w:line="240" w:lineRule="auto"/>
      <w:jc w:val="center"/>
    </w:pPr>
    <w:rPr>
      <w:rFonts w:ascii="微软雅黑" w:hAnsi="微软雅黑" w:eastAsia="微软雅黑" w:cs="宋体"/>
      <w:b/>
      <w:bCs/>
      <w:color w:val="000000"/>
      <w:kern w:val="0"/>
      <w:sz w:val="32"/>
      <w:szCs w:val="32"/>
    </w:rPr>
  </w:style>
  <w:style w:type="paragraph" w:customStyle="1" w:styleId="48">
    <w:name w:val="xl73"/>
    <w:basedOn w:val="1"/>
    <w:qFormat/>
    <w:uiPriority w:val="0"/>
    <w:pPr>
      <w:widowControl/>
      <w:pBdr>
        <w:top w:val="single" w:color="000000" w:sz="4" w:space="0"/>
        <w:bottom w:val="single" w:color="000000" w:sz="4" w:space="0"/>
        <w:right w:val="single" w:color="000000" w:sz="4" w:space="0"/>
      </w:pBdr>
      <w:shd w:val="clear" w:color="000000" w:fill="A6A6A6"/>
      <w:snapToGrid/>
      <w:spacing w:before="100" w:beforeAutospacing="1" w:after="100" w:afterAutospacing="1" w:line="240" w:lineRule="auto"/>
      <w:jc w:val="center"/>
    </w:pPr>
    <w:rPr>
      <w:rFonts w:ascii="微软雅黑" w:hAnsi="微软雅黑" w:eastAsia="微软雅黑" w:cs="宋体"/>
      <w:b/>
      <w:bCs/>
      <w:color w:val="000000"/>
      <w:kern w:val="0"/>
      <w:sz w:val="32"/>
      <w:szCs w:val="32"/>
    </w:rPr>
  </w:style>
  <w:style w:type="paragraph" w:customStyle="1" w:styleId="49">
    <w:name w:val="font5"/>
    <w:basedOn w:val="1"/>
    <w:qFormat/>
    <w:uiPriority w:val="0"/>
    <w:pPr>
      <w:widowControl/>
      <w:snapToGrid/>
      <w:spacing w:before="100" w:beforeAutospacing="1" w:after="100" w:afterAutospacing="1" w:line="240" w:lineRule="auto"/>
      <w:jc w:val="left"/>
    </w:pPr>
    <w:rPr>
      <w:rFonts w:ascii="等线" w:hAnsi="等线" w:eastAsia="等线" w:cs="宋体"/>
      <w:kern w:val="0"/>
      <w:sz w:val="18"/>
      <w:szCs w:val="18"/>
    </w:rPr>
  </w:style>
  <w:style w:type="character" w:customStyle="1" w:styleId="50">
    <w:name w:val="批注框文本 字符"/>
    <w:basedOn w:val="19"/>
    <w:link w:val="10"/>
    <w:semiHidden/>
    <w:qFormat/>
    <w:uiPriority w:val="99"/>
    <w:rPr>
      <w:rFonts w:asciiTheme="minorHAnsi" w:hAnsiTheme="minorHAnsi" w:cstheme="minorBidi"/>
      <w:kern w:val="2"/>
      <w:sz w:val="18"/>
      <w:szCs w:val="18"/>
    </w:rPr>
  </w:style>
  <w:style w:type="paragraph" w:customStyle="1" w:styleId="51">
    <w:name w:val="修订1"/>
    <w:hidden/>
    <w:semiHidden/>
    <w:qFormat/>
    <w:uiPriority w:val="99"/>
    <w:rPr>
      <w:rFonts w:eastAsia="宋体" w:asciiTheme="minorHAnsi" w:hAnsiTheme="minorHAnsi" w:cstheme="minorBidi"/>
      <w:kern w:val="2"/>
      <w:sz w:val="24"/>
      <w:szCs w:val="22"/>
      <w:lang w:val="en-US" w:eastAsia="zh-CN" w:bidi="ar-SA"/>
    </w:rPr>
  </w:style>
  <w:style w:type="paragraph" w:customStyle="1" w:styleId="52">
    <w:name w:val="修订2"/>
    <w:hidden/>
    <w:unhideWhenUsed/>
    <w:qFormat/>
    <w:uiPriority w:val="99"/>
    <w:rPr>
      <w:rFonts w:eastAsia="宋体" w:asciiTheme="minorHAnsi" w:hAnsiTheme="minorHAnsi" w:cstheme="minorBidi"/>
      <w:kern w:val="2"/>
      <w:sz w:val="24"/>
      <w:szCs w:val="22"/>
      <w:lang w:val="en-US" w:eastAsia="zh-CN" w:bidi="ar-SA"/>
    </w:rPr>
  </w:style>
  <w:style w:type="character" w:customStyle="1" w:styleId="53">
    <w:name w:val="日期 字符"/>
    <w:basedOn w:val="19"/>
    <w:link w:val="9"/>
    <w:semiHidden/>
    <w:qFormat/>
    <w:uiPriority w:val="99"/>
    <w:rPr>
      <w:rFonts w:asciiTheme="minorHAnsi" w:hAnsiTheme="minorHAnsi" w:cstheme="minorBidi"/>
      <w:kern w:val="2"/>
      <w:sz w:val="24"/>
      <w:szCs w:val="22"/>
    </w:rPr>
  </w:style>
  <w:style w:type="paragraph" w:customStyle="1" w:styleId="54">
    <w:name w:val="修订3"/>
    <w:hidden/>
    <w:semiHidden/>
    <w:qFormat/>
    <w:uiPriority w:val="99"/>
    <w:rPr>
      <w:rFonts w:eastAsia="宋体" w:asciiTheme="minorHAnsi" w:hAnsiTheme="minorHAnsi" w:cstheme="minorBidi"/>
      <w:kern w:val="2"/>
      <w:sz w:val="24"/>
      <w:szCs w:val="22"/>
      <w:lang w:val="en-US" w:eastAsia="zh-CN" w:bidi="ar-SA"/>
    </w:rPr>
  </w:style>
  <w:style w:type="paragraph" w:customStyle="1" w:styleId="55">
    <w:name w:val="Revision"/>
    <w:hidden/>
    <w:unhideWhenUsed/>
    <w:qFormat/>
    <w:uiPriority w:val="99"/>
    <w:rPr>
      <w:rFonts w:eastAsia="宋体" w:asciiTheme="minorHAnsi" w:hAnsiTheme="minorHAnsi"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037061A0-8556-4545-990A-A9C5FAE35237}">
  <ds:schemaRefs/>
</ds:datastoreItem>
</file>

<file path=docProps/app.xml><?xml version="1.0" encoding="utf-8"?>
<Properties xmlns="http://schemas.openxmlformats.org/officeDocument/2006/extended-properties" xmlns:vt="http://schemas.openxmlformats.org/officeDocument/2006/docPropsVTypes">
  <Template>Normal</Template>
  <Pages>17</Pages>
  <Words>8326</Words>
  <Characters>1804</Characters>
  <Lines>78</Lines>
  <Paragraphs>184</Paragraphs>
  <TotalTime>9</TotalTime>
  <ScaleCrop>false</ScaleCrop>
  <LinksUpToDate>false</LinksUpToDate>
  <CharactersWithSpaces>9946</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2025-04-29T14:18:00Z</dcterms:created>
  <dc:creator>雅轩 吴</dc:creator>
  <cp:lastModifiedBy>user</cp:lastModifiedBy>
  <cp:lastPrinted>2025-04-23T23:17:00Z</cp:lastPrinted>
  <dcterms:modified xsi:type="dcterms:W3CDTF">2025-04-29T15:25:08Z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eyJoZGlkIjoiMDBhYjU0NzI0NGZmZDRkODI5MGRhNzk4ODFlMzA4YTIifQ==</vt:lpwstr>
  </property>
  <property fmtid="{D5CDD505-2E9C-101B-9397-08002B2CF9AE}" pid="3" name="KSOProductBuildVer">
    <vt:lpwstr>2052-11.8.2.12219</vt:lpwstr>
  </property>
  <property fmtid="{D5CDD505-2E9C-101B-9397-08002B2CF9AE}" pid="4" name="ICV">
    <vt:lpwstr>6E2715FF39A80945FB7810687E107F1A</vt:lpwstr>
  </property>
</Properties>
</file>