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spacing w:line="580" w:lineRule="exact"/>
        <w:jc w:val="center"/>
        <w:rPr>
          <w:rFonts w:hint="eastAsia" w:ascii="方正小标宋简体" w:eastAsia="方正小标宋简体"/>
          <w:sz w:val="44"/>
          <w:szCs w:val="44"/>
        </w:rPr>
      </w:pPr>
      <w:r>
        <w:rPr>
          <w:rFonts w:hint="eastAsia" w:ascii="方正小标宋简体" w:hAnsi="宋体" w:eastAsia="方正小标宋简体"/>
          <w:sz w:val="44"/>
        </w:rPr>
        <w:t>关于</w:t>
      </w:r>
      <w:r>
        <w:rPr>
          <w:rFonts w:hint="eastAsia" w:ascii="方正小标宋简体" w:hAnsi="宋体" w:eastAsia="方正小标宋简体"/>
          <w:sz w:val="44"/>
          <w:lang w:eastAsia="zh-CN"/>
        </w:rPr>
        <w:t>公布</w:t>
      </w:r>
      <w:r>
        <w:rPr>
          <w:rFonts w:hint="eastAsia" w:ascii="方正小标宋简体" w:eastAsia="方正小标宋简体"/>
          <w:sz w:val="44"/>
          <w:szCs w:val="44"/>
        </w:rPr>
        <w:t>市政府及市政府办公室文件</w:t>
      </w:r>
      <w:r>
        <w:rPr>
          <w:rFonts w:hint="eastAsia" w:ascii="方正小标宋简体" w:hAnsi="宋体" w:eastAsia="方正小标宋简体"/>
          <w:sz w:val="44"/>
          <w:lang w:eastAsia="zh-CN"/>
        </w:rPr>
        <w:t>清理结果</w:t>
      </w:r>
      <w:r>
        <w:rPr>
          <w:rFonts w:hint="eastAsia" w:ascii="方正小标宋简体"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szCs w:val="32"/>
          <w:lang w:eastAsia="zh-CN"/>
        </w:rPr>
      </w:pPr>
      <w:r>
        <w:rPr>
          <w:rFonts w:hint="eastAsia"/>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szCs w:val="32"/>
        </w:rPr>
      </w:pPr>
      <w:r>
        <w:rPr>
          <w:szCs w:val="32"/>
        </w:rPr>
        <w:t xml:space="preserve">各区、县（市）人民政府，市政府各部门、各单位：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Times New Roman" w:hAnsi="Times New Roman" w:cs="Times New Roman"/>
          <w:szCs w:val="32"/>
          <w:lang w:val="en-US" w:eastAsia="zh-CN"/>
        </w:rPr>
      </w:pPr>
      <w:r>
        <w:rPr>
          <w:szCs w:val="32"/>
        </w:rPr>
        <w:t>根据</w:t>
      </w:r>
      <w:r>
        <w:rPr>
          <w:rFonts w:hint="eastAsia" w:ascii="仿宋_GB2312" w:hAnsi="仿宋" w:eastAsia="仿宋_GB2312" w:cs="仿宋"/>
          <w:sz w:val="32"/>
          <w:szCs w:val="32"/>
        </w:rPr>
        <w:t>《</w:t>
      </w:r>
      <w:r>
        <w:rPr>
          <w:rFonts w:hint="eastAsia" w:ascii="仿宋_GB2312" w:hAnsi="仿宋" w:cs="仿宋"/>
          <w:sz w:val="32"/>
          <w:szCs w:val="32"/>
          <w:lang w:eastAsia="zh-CN"/>
        </w:rPr>
        <w:t>浙江省行政规范性文件管理办法</w:t>
      </w:r>
      <w:r>
        <w:rPr>
          <w:rFonts w:hint="eastAsia" w:ascii="仿宋_GB2312" w:hAnsi="仿宋" w:eastAsia="仿宋_GB2312" w:cs="仿宋"/>
          <w:sz w:val="32"/>
          <w:szCs w:val="32"/>
        </w:rPr>
        <w:t>》（</w:t>
      </w:r>
      <w:r>
        <w:rPr>
          <w:rFonts w:hint="eastAsia" w:ascii="仿宋_GB2312" w:hAnsi="仿宋" w:cs="仿宋"/>
          <w:sz w:val="32"/>
          <w:szCs w:val="32"/>
          <w:lang w:eastAsia="zh-CN"/>
        </w:rPr>
        <w:t>省政府令第</w:t>
      </w:r>
      <w:r>
        <w:rPr>
          <w:rFonts w:hint="eastAsia" w:ascii="仿宋_GB2312" w:hAnsi="仿宋" w:cs="仿宋"/>
          <w:sz w:val="32"/>
          <w:szCs w:val="32"/>
          <w:lang w:val="en-US" w:eastAsia="zh-CN"/>
        </w:rPr>
        <w:t>372号</w:t>
      </w:r>
      <w:r>
        <w:rPr>
          <w:rFonts w:hint="eastAsia" w:ascii="仿宋_GB2312" w:hAnsi="仿宋" w:eastAsia="仿宋_GB2312" w:cs="仿宋"/>
          <w:sz w:val="32"/>
          <w:szCs w:val="32"/>
        </w:rPr>
        <w:t>）</w:t>
      </w:r>
      <w:r>
        <w:rPr>
          <w:rFonts w:hint="eastAsia"/>
          <w:szCs w:val="32"/>
        </w:rPr>
        <w:t>文件清理工作</w:t>
      </w:r>
      <w:r>
        <w:rPr>
          <w:szCs w:val="32"/>
        </w:rPr>
        <w:t>要求，我市对</w:t>
      </w:r>
      <w:r>
        <w:rPr>
          <w:rFonts w:hint="eastAsia"/>
          <w:szCs w:val="32"/>
          <w:lang w:eastAsia="zh-CN"/>
        </w:rPr>
        <w:t>截至</w:t>
      </w:r>
      <w:r>
        <w:rPr>
          <w:rFonts w:hint="default" w:ascii="Times New Roman" w:hAnsi="Times New Roman" w:cs="Times New Roman"/>
          <w:color w:val="auto"/>
          <w:szCs w:val="32"/>
          <w:lang w:val="en-US" w:eastAsia="zh-CN"/>
        </w:rPr>
        <w:t>202</w:t>
      </w:r>
      <w:r>
        <w:rPr>
          <w:rFonts w:hint="eastAsia" w:ascii="Times New Roman" w:hAnsi="Times New Roman" w:cs="Times New Roman"/>
          <w:color w:val="auto"/>
          <w:szCs w:val="32"/>
          <w:lang w:val="en-US" w:eastAsia="zh-CN"/>
        </w:rPr>
        <w:t>3</w:t>
      </w:r>
      <w:r>
        <w:rPr>
          <w:rFonts w:hint="default" w:ascii="Times New Roman" w:hAnsi="Times New Roman" w:cs="Times New Roman"/>
          <w:color w:val="auto"/>
          <w:szCs w:val="32"/>
          <w:lang w:val="en-US" w:eastAsia="zh-CN"/>
        </w:rPr>
        <w:t>年</w:t>
      </w:r>
      <w:r>
        <w:rPr>
          <w:rFonts w:hint="eastAsia" w:ascii="Times New Roman" w:hAnsi="Times New Roman" w:cs="Times New Roman"/>
          <w:color w:val="auto"/>
          <w:szCs w:val="32"/>
          <w:lang w:val="en-US" w:eastAsia="zh-CN"/>
        </w:rPr>
        <w:t>1</w:t>
      </w:r>
      <w:r>
        <w:rPr>
          <w:rFonts w:hint="default" w:ascii="Times New Roman" w:hAnsi="Times New Roman" w:cs="Times New Roman"/>
          <w:color w:val="auto"/>
          <w:szCs w:val="32"/>
          <w:lang w:val="en-US" w:eastAsia="zh-CN"/>
        </w:rPr>
        <w:t>月</w:t>
      </w:r>
      <w:r>
        <w:rPr>
          <w:rFonts w:hint="eastAsia" w:ascii="Times New Roman" w:hAnsi="Times New Roman" w:cs="Times New Roman"/>
          <w:color w:val="auto"/>
          <w:szCs w:val="32"/>
          <w:lang w:val="en-US" w:eastAsia="zh-CN"/>
        </w:rPr>
        <w:t>15</w:t>
      </w:r>
      <w:r>
        <w:rPr>
          <w:rFonts w:hint="eastAsia"/>
          <w:color w:val="auto"/>
          <w:szCs w:val="32"/>
          <w:lang w:val="en-US" w:eastAsia="zh-CN"/>
        </w:rPr>
        <w:t>日</w:t>
      </w:r>
      <w:r>
        <w:rPr>
          <w:color w:val="auto"/>
          <w:szCs w:val="32"/>
        </w:rPr>
        <w:t>现行有效的市政府及市政府办公室行政规范性文件进行了</w:t>
      </w:r>
      <w:r>
        <w:rPr>
          <w:rFonts w:hint="eastAsia"/>
          <w:color w:val="auto"/>
          <w:szCs w:val="32"/>
          <w:lang w:eastAsia="zh-CN"/>
        </w:rPr>
        <w:t>全面</w:t>
      </w:r>
      <w:r>
        <w:rPr>
          <w:color w:val="auto"/>
          <w:szCs w:val="32"/>
        </w:rPr>
        <w:t>清理。</w:t>
      </w:r>
      <w:r>
        <w:rPr>
          <w:rFonts w:hint="eastAsia"/>
          <w:color w:val="auto"/>
          <w:kern w:val="32"/>
          <w:szCs w:val="32"/>
          <w:lang w:val="en-US" w:eastAsia="zh-CN"/>
        </w:rPr>
        <w:t>同时，为继续理清“历史底账”，充分发挥政策性文件以文辅政作用，对截至</w:t>
      </w:r>
      <w:r>
        <w:rPr>
          <w:rFonts w:hint="eastAsia" w:ascii="Times New Roman" w:hAnsi="Times New Roman" w:cs="Times New Roman"/>
          <w:color w:val="auto"/>
          <w:szCs w:val="32"/>
          <w:lang w:val="en-US" w:eastAsia="zh-CN"/>
        </w:rPr>
        <w:t>2021年12月31</w:t>
      </w:r>
      <w:r>
        <w:rPr>
          <w:rFonts w:hint="eastAsia"/>
          <w:color w:val="auto"/>
          <w:kern w:val="32"/>
          <w:szCs w:val="32"/>
          <w:lang w:val="en-US" w:eastAsia="zh-CN"/>
        </w:rPr>
        <w:t>日现行有效的市政府及市政府办公室政策性文件进行了同步</w:t>
      </w:r>
      <w:r>
        <w:rPr>
          <w:rFonts w:hint="eastAsia"/>
          <w:color w:val="auto"/>
          <w:szCs w:val="32"/>
          <w:lang w:val="en-US" w:eastAsia="zh-CN"/>
        </w:rPr>
        <w:t>清理。</w:t>
      </w:r>
      <w:r>
        <w:rPr>
          <w:color w:val="auto"/>
          <w:szCs w:val="32"/>
        </w:rPr>
        <w:t>经审定并报市政府同意，</w:t>
      </w:r>
      <w:r>
        <w:rPr>
          <w:rFonts w:hint="eastAsia"/>
          <w:color w:val="auto"/>
          <w:szCs w:val="32"/>
          <w:lang w:eastAsia="zh-CN"/>
        </w:rPr>
        <w:t>继续有效的行政规范性文件</w:t>
      </w:r>
      <w:r>
        <w:rPr>
          <w:rFonts w:hint="eastAsia"/>
          <w:color w:val="auto"/>
          <w:szCs w:val="32"/>
          <w:lang w:val="en-US" w:eastAsia="zh-CN"/>
        </w:rPr>
        <w:t>276件，停止执行的行政规范性文件43件，决定修改的行政规范性文件3件</w:t>
      </w:r>
      <w:r>
        <w:rPr>
          <w:rFonts w:hint="eastAsia"/>
          <w:szCs w:val="32"/>
          <w:lang w:val="en-US" w:eastAsia="zh-CN"/>
        </w:rPr>
        <w:t>。</w:t>
      </w:r>
      <w:r>
        <w:rPr>
          <w:rFonts w:hint="eastAsia" w:ascii="Times New Roman" w:hAnsi="Times New Roman" w:cs="Times New Roman"/>
          <w:szCs w:val="32"/>
          <w:lang w:val="en-US" w:eastAsia="zh-CN"/>
        </w:rPr>
        <w:t>现将上述清理结果予以公布。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szCs w:val="32"/>
          <w:lang w:eastAsia="zh-CN"/>
        </w:rPr>
      </w:pPr>
      <w:r>
        <w:rPr>
          <w:rFonts w:hint="eastAsia"/>
          <w:szCs w:val="32"/>
          <w:lang w:eastAsia="zh-CN"/>
        </w:rPr>
        <w:t>本通知自公布之日起施行。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jc w:val="left"/>
        <w:textAlignment w:val="auto"/>
        <w:rPr>
          <w:rFonts w:hint="eastAsia" w:ascii="FangSong_GB2312" w:hAnsi="FangSong_GB2312" w:eastAsia="FangSong_GB2312"/>
          <w:sz w:val="32"/>
        </w:rPr>
      </w:pPr>
      <w:r>
        <w:rPr>
          <w:rFonts w:hint="eastAsia" w:ascii="FangSong_GB2312" w:hAnsi="FangSong_GB2312" w:eastAsia="FangSong_GB2312"/>
          <w:sz w:val="32"/>
        </w:rPr>
        <w:t>附件：</w:t>
      </w:r>
      <w:r>
        <w:rPr>
          <w:rFonts w:hint="eastAsia" w:ascii="FangSong_GB2312" w:hAnsi="FangSong_GB2312" w:eastAsia="FangSong_GB2312"/>
          <w:sz w:val="32"/>
          <w:lang w:val="en-US" w:eastAsia="zh-CN"/>
        </w:rPr>
        <w:t xml:space="preserve">1. </w:t>
      </w:r>
      <w:r>
        <w:rPr>
          <w:rFonts w:hint="eastAsia" w:ascii="FangSong_GB2312" w:hAnsi="FangSong_GB2312" w:eastAsia="FangSong_GB2312"/>
          <w:sz w:val="32"/>
        </w:rPr>
        <w:t>继续有效的行政规范性文件目录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FangSong_GB2312" w:hAnsi="FangSong_GB2312" w:eastAsia="FangSong_GB2312"/>
          <w:sz w:val="32"/>
        </w:rPr>
      </w:pPr>
      <w:r>
        <w:rPr>
          <w:rFonts w:hint="eastAsia" w:ascii="FangSong_GB2312" w:hAnsi="FangSong_GB2312" w:eastAsia="FangSong_GB2312"/>
          <w:sz w:val="32"/>
          <w:lang w:eastAsia="zh-CN"/>
        </w:rPr>
        <w:t>停止执行</w:t>
      </w:r>
      <w:r>
        <w:rPr>
          <w:rFonts w:hint="eastAsia" w:ascii="FangSong_GB2312" w:hAnsi="FangSong_GB2312" w:eastAsia="FangSong_GB2312"/>
          <w:sz w:val="32"/>
        </w:rPr>
        <w:t>的行政规范性文件目录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948" w:firstLineChars="300"/>
        <w:jc w:val="both"/>
        <w:textAlignment w:val="auto"/>
        <w:outlineLvl w:val="9"/>
        <w:rPr>
          <w:rFonts w:hint="eastAsia" w:ascii="FangSong_GB2312" w:hAnsi="FangSong_GB2312" w:eastAsia="FangSong_GB2312"/>
          <w:sz w:val="32"/>
          <w:lang w:eastAsia="zh-CN"/>
        </w:rPr>
      </w:pPr>
      <w:r>
        <w:rPr>
          <w:rFonts w:hint="eastAsia" w:ascii="FangSong_GB2312" w:hAnsi="FangSong_GB2312" w:eastAsia="FangSong_GB2312"/>
          <w:sz w:val="32"/>
          <w:lang w:eastAsia="zh-CN"/>
        </w:rPr>
        <w:t>决定修改的行政规范性文件目录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szCs w:val="32"/>
        </w:rPr>
      </w:pPr>
      <w:r>
        <w:rPr>
          <w:rFonts w:hint="eastAsia"/>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right"/>
        <w:textAlignment w:val="auto"/>
        <w:sectPr>
          <w:headerReference r:id="rId3" w:type="default"/>
          <w:footerReference r:id="rId4" w:type="default"/>
          <w:pgSz w:w="11906" w:h="16838"/>
          <w:pgMar w:top="2041" w:right="1474" w:bottom="1985" w:left="1588" w:header="851" w:footer="1531" w:gutter="0"/>
          <w:pgBorders>
            <w:top w:val="none" w:sz="0" w:space="0"/>
            <w:left w:val="none" w:sz="0" w:space="0"/>
            <w:bottom w:val="none" w:sz="0" w:space="0"/>
            <w:right w:val="none" w:sz="0" w:space="0"/>
          </w:pgBorders>
          <w:cols w:space="720" w:num="1"/>
          <w:docGrid w:type="linesAndChars" w:linePitch="582" w:charSpace="-849"/>
        </w:sectPr>
      </w:pPr>
      <w:r>
        <w:rPr>
          <w:rFonts w:hint="eastAsia"/>
          <w:color w:val="auto"/>
          <w:szCs w:val="32"/>
          <w:lang w:val="en-US" w:eastAsia="zh-CN"/>
        </w:rPr>
        <w:t xml:space="preserve"> </w:t>
      </w:r>
      <w:r>
        <w:rPr>
          <w:color w:val="auto"/>
          <w:szCs w:val="32"/>
        </w:rPr>
        <w:t>20</w:t>
      </w:r>
      <w:r>
        <w:rPr>
          <w:rFonts w:hint="eastAsia"/>
          <w:color w:val="auto"/>
          <w:szCs w:val="32"/>
          <w:lang w:val="en-US" w:eastAsia="zh-CN"/>
        </w:rPr>
        <w:t>23</w:t>
      </w:r>
      <w:r>
        <w:rPr>
          <w:color w:val="auto"/>
          <w:szCs w:val="32"/>
        </w:rPr>
        <w:t>年</w:t>
      </w:r>
      <w:r>
        <w:rPr>
          <w:rFonts w:hint="eastAsia"/>
          <w:color w:val="auto"/>
          <w:szCs w:val="32"/>
          <w:lang w:val="en-US" w:eastAsia="zh-CN"/>
        </w:rPr>
        <w:t xml:space="preserve">  </w:t>
      </w:r>
      <w:r>
        <w:rPr>
          <w:color w:val="auto"/>
          <w:szCs w:val="32"/>
        </w:rPr>
        <w:t>月</w:t>
      </w:r>
      <w:r>
        <w:rPr>
          <w:rFonts w:hint="eastAsia"/>
          <w:color w:val="auto"/>
          <w:szCs w:val="32"/>
          <w:lang w:val="en-US" w:eastAsia="zh-CN"/>
        </w:rPr>
        <w:t xml:space="preserve"> </w:t>
      </w:r>
      <w:r>
        <w:rPr>
          <w:rFonts w:hint="eastAsia"/>
          <w:szCs w:val="32"/>
          <w:lang w:val="en-US" w:eastAsia="zh-CN"/>
        </w:rPr>
        <w:t xml:space="preserve">   </w:t>
      </w:r>
      <w:r>
        <w:rPr>
          <w:szCs w:val="32"/>
        </w:rPr>
        <w:t>日</w:t>
      </w:r>
    </w:p>
    <w:p>
      <w:pPr>
        <w:spacing w:after="100" w:afterAutospacing="1"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继续有效</w:t>
      </w:r>
      <w:r>
        <w:rPr>
          <w:rFonts w:hint="eastAsia" w:ascii="方正小标宋简体" w:eastAsia="方正小标宋简体"/>
          <w:sz w:val="44"/>
          <w:szCs w:val="44"/>
        </w:rPr>
        <w:t>的行政规范性文件目录</w:t>
      </w:r>
    </w:p>
    <w:p>
      <w:pPr>
        <w:spacing w:line="600" w:lineRule="exact"/>
      </w:pPr>
    </w:p>
    <w:tbl>
      <w:tblPr>
        <w:tblStyle w:val="5"/>
        <w:tblW w:w="13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4"/>
        <w:gridCol w:w="8936"/>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序号</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标题</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绍兴市城市供水管理办法</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绍兴市区国有土地租赁暂行办法</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绍兴市燃气管理办法(试行)</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绍兴市镜湖国家城市湿地公园保护管理办法(试行)</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绍兴市企业国有资产监督管理暂行办法</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绍兴市曹娥江大闸闸上河道管理办法</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绍兴市军人抚恤优待若干规定</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绍兴市区土地储备办法</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绍兴市国有产权交易管理办法</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绍兴市医疗纠纷预防和调解处理办法</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绍兴市测绘管理办法</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绍兴市内部审计工作规定</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绍兴市政府投资项目管理办法（修订稿）</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绍兴市促进散装水泥发展和应用办法</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政府令第101号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转发市城建局、市文化局《关于要求公布 24 处市级文物保护单位的保护范围及建设控制地带的报告》的通知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绍市府发〔1987〕37号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关于停止执行部分规范性文件的通知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绍市府发〔1990〕63号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关于停止执行四个规范性文件和部分条款的通知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绍市府发〔1991〕6号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关于修改部分规范性文件条款的通知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绍市府发〔1992〕13号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关于停止执行部分文件的通知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绍市府发〔1993〕31号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关于印发《绍兴市区深化住房制度改革实施意见》和《绍兴市区出售公有住房实施细则》的通知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绍市府发〔1995〕49号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关于停止执行有关规范性文件及部分规范性文件条款的通知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绍市府发〔1996〕140号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绍兴市人民政府关于扩大禁止拖拉机行驶和禁鸣机动车喇叭管理区域的通告</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绍市府发〔1996〕149号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关于授权市水利水电局调处水事纠纷的批复</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绍市府发〔1997〕105号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关于印发绍兴市区房改房进入市场暂行办法的通知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绍市府发〔1998〕61号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关于停止执行部分规范性文件及有关文件条款的通知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绍市府发〔1999〕156号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绍兴市人民政府关于停止执行有关收容遣送管理规定的通知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绍政发〔2003〕75号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绍兴市人民政府关于切实做好城市生活无着的流浪乞讨人员救助管理工作的意见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绍政发〔2003〕103号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绍兴市人民政府关于停止执行部分文件的通知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绍政发〔2004〕50号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关于修改部分市政府文件的通知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绍政发〔2004〕64号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绍兴市人民政府关于印发绍兴市区被征地村留地安置若干规定的通知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绍政发〔2005〕17号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绍兴市人民政府关于公布范文澜故居等三十三处市级文物保护单位保护范围及建设控制地带的通知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绍政发〔2005〕90号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绍兴市人民政府关于印发绍兴市重大活动档案管理办法的通知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绍政发〔2007〕7号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绍兴市人民政府关于停止执行部分行政规范性文件的通知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绍政发〔2007〕93号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关于修改部分行政规范性文件的通知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绍政发〔2007〕94号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绍兴市人民政府关于印发绍兴市扶持民办博物馆办法（试行）的通知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绍兴市人民政府关于印发绍兴市城市管线管理办法的通知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绍政发〔2010〕35号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绍兴市人民政府关于印发绍兴市汤浦水库水源环境保护办法的通知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绍政发〔2010〕40号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绍兴市人民政府关于印发绍兴市传统工艺美术保护规定（试行） 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绍兴市人民政府关于印发绍兴市部门统计工作管理暂行规定的通知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绍政发〔2010〕48号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绍兴市人民政府关于修改部分政府文件的通知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绍政发〔2010〕55号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绍兴市人民政府关于停止执行部分政府文件的通知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绍政发〔2010〕56号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绍兴市人民政府关于印发绍兴市单位爱国卫生管理办法的通知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绍兴市人民政府关于停止执行有关规范性文件的通知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绍兴市人民政府关于停止执行有关规范性文件的通知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绍兴市人民政府关于进一步促进以创业带动就业的实施意见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绍兴市人民政府关于印发绍兴市社会保障基金审计监督办法的通知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绍兴市人民政府关于废止和修改有关规范性文件的通知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绍兴市人民政府关于进一步加强殡葬工作的意见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绍政发〔2012〕40号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绍兴市人民政府关于印发绍兴市行政审批服务管理办法的通知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绍政发〔2012〕55号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绍兴市人民政府关于进一步加强道路交通安全工作的实施意见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绍兴市人民政府关于公布绍兴市第五批非物质文化遗产名录的通知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绍兴市人民政府关于下放部分市级行政审批和管理事项的通知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绍政发〔2013〕19号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绍兴市人民政府关于停止执行部分行政规范性文件的通知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绍政发〔2013〕43号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绍兴市人民政府关于印发绍兴市地理空间数据交换和共享管理办法的通知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绍政发〔2013〕44号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绍兴市人民政府关于进一步推进节约集约用地的意见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绍政发〔2013〕47号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绍兴市人民政府关于印发绍兴市区公共场所禁止吸烟规定的通知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绍兴市人民政府关于印发绍兴市城乡规划管理技术规定的通知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绍政发〔2013〕64号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绍兴市人民政府关于加强绍兴市区活禽屠宰交易管理的通告</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绍政发〔2014〕29号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 绍兴军分区关于批转市人力社保局绍兴军分区政治部绍兴市军人随军家属就业安置实施细则的通知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绍政发〔2014〕42号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绍兴市人民政府关于进一步完善城乡居民基本养老保险制度的实施意见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绍兴市人民政府关于推进工业企业“零土地”技术改造项目审批方式改革的通知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绍兴市人民政府关于公布绍兴市第七批市级文物保护单位的通知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绍政发〔2015〕19号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绍兴市人民政府关于加快发展现代职业教育的实施意见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绍政发〔2015〕32号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绍兴市人民政府关于支持大众创业促进就业的实施意见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绍政发〔2015〕37号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绍兴市人民政府关于印发绍兴市重大行政决策程序规定的通知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绍政发〔2015〕42号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绍兴市人民政府关于印发绍兴市区城市节约用水管理办法的通知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绍政发〔2016〕14号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绍兴市人民政府关于加快推进残疾人全面小康进程的实施意见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绍兴市人民政府关于大力发展电子商务加快培育经济新动力的实施意见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绍政发〔2016〕28号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绍兴市人民政府关于积极稳妥推进户籍制度改革的实施意见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绍政发〔2016〕38号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绍兴市人民政府关于印发绍兴市行政奖励实施细则的通知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绍政发〔2016〕41号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绍兴市人民政府关于加强汤浦水库饮用水水源保护区生态环境保护的通告</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绍政发〔2016〕56号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绍兴市人民政府关于深化改革推进出租汽车行业健康发展的实施意见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绍政发〔2016〕57号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绍兴市人民政府关于加快发展体育产业促进体育消费的实施意见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绍政发〔2016〕59号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绍兴市人民政府关于进一步促进慈善事业发展的实施意见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绍政发〔2017〕27号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绍兴市人民政府关于建立全市统一生育保险制度的通知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绍政发〔2017〕30号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绍兴市人民政府关于在市场体系建设中建立公平竞争审查制度的通知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绍政发〔2017〕31号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绍兴市人民政府关于公布绍兴市区第一批历史建筑的通知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绍政发〔2017〕32号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绍兴市人民政府关于印发绍兴市地名管理实施办法的通知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绍政发〔2017〕33号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绍兴市人民政府关于印发绍兴市全域深化行政复议体制改革工作方案的通知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绍兴市人民政府关于深化“亩均论英雄”改革的实施意见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绍政发〔2018〕10号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绍兴市人民政府关于印发绍兴市基本医疗保险实施办法（试行）的通知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绍兴市人民政府关于印发绍兴市工程建设项目审批制度改革试点工作实施方案的通知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绍政发〔2018〕18号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绍兴市人民政府关于机构改革涉及市政府行政规范性文件规定的行政机关职责调整问题的决定 </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绍兴市人民政府关于市区禁止燃放烟花爆竹的通告</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绍政发〔2019〕4号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绍兴市人民政府关于进一步加强全市青少年体育工作的实施意见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绍政发〔2019〕7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绍兴市人民政府关于做好当前和今后一个时期促进就业工作的实施意见 </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绍政发〔2019〕9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绍兴市人民政府关于印发绍兴市区临时救助实施细则的通知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绍政发〔2019〕12号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绍兴市人民政府关于鼓励社会力量兴办教育促进民办教育健康发展的实施意见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绍政发〔2019〕14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绍兴市人民政府关于印发绍兴市养犬管理办法的通知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绍政发〔2019〕16号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绍兴市人民政府关于印发绍兴市扬尘污染防治管理办法的通知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绍兴市人民政府关于公布绍兴市区基准地价更新成果的通知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绍政发〔2019〕21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绍兴市人民政府关于在市场监管领域全面推行部门联合“双随机、一公开”监管的实施意见 </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绍政发〔2019〕22 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绍兴市人民政府关于促进5G基础建设和应用发展的若干意见（试行）</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绍兴市人民政府关于印发《绍兴市人民政府地方性法规案和规章制定办法》《绍兴市人民政府立法项目前评估规则》的通知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绍兴市人民政府关于划定绍兴市区禁止使用高排放非道路移动机械区域的通告</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绍政发〔2020〕10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绍兴市人民政府关于综合行政执法划转行政处罚事项的通告</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绍政发〔2020〕13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绍兴市人民政府关于印发绍兴市城镇生活垃圾分类管理办法和绍兴市餐厨垃圾管理办法的通知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绍兴市人民政府关于调整全市最低工资标准的通知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绍政发〔2021〕21号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绍兴市人民政府关于公布市级重要水域名录的通知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绍兴市人民政府关于印发绍兴市突发公共卫生事件应急办法的通知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绍兴市人民政府关于公布绍兴会稽山古香榧群保护范围及核心区界线的通告</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绍兴市人民政府关于公布绍兴市新增综合行政执法事项统一目录的通告</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绍兴市人民政府关于印发绍兴市新一轮制造业“腾笼换鸟、凤凰涅槃”攻坚行动方案的通知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绍兴市人民政府关于实施科技强农机械强农行动大力提升农业生产效率的实施意见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绍兴市人民政府关于公布绍兴市综合行政执法事项扩展目录的通告</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绍兴市人民政府关于动态调整全市城乡低保标准的通知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绍兴市人民政府关于公布《绍兴市新增综合行政执法事项统一目录（2022年）》和《绍兴市综合行政执法建设领域调整事项目录》的通告</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绍兴市人民政府关于公布绍兴市区集体建设用地基准地价、农用地基准地价和城镇标定地价成果的通知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绍兴市人民政府关于印发绍兴市“一老一小”整体解决方案的通知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绍兴市人民政府关于印发《绍兴市区国有土地上房屋征收与补偿实施办法（修订）》的通知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绍政发〔2022〕24号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绍兴市人民政府关于越城区部分行政区划调整的批复</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绍政函〔2017〕37号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绍兴市人民政府关于柯桥区部分行政区划调整的批复</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绍政函〔2017〕38号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绍兴市人民政府关于上虞区部分行政区划调整的批复</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绍政函〔2017〕39号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绍兴市人民政府关于越城区部分行政区划调整的批复</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绍政函〔2019〕66号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绍兴市人民政府关于柯桥区部分行政区划调整的批复</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绍政函〔2019〕67号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绍兴市人民政府关于上虞区部分行政区划调整的批复</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绍政函〔2019〕68号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绍兴市人民政府关于新昌县部分行政区划调整的批复</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绍政函〔2019〕89号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绍兴市人民政府关于同意撤销上虞区沥海街道设立越城区沥海街道的批复</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绍政函〔2021〕12号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119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关于对部分规范性文件进行修改的通知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绍市府办发〔1990〕76号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绍兴市人民政府办公室关于停止执行有关市政府及市政府办公室文件的通知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绍兴市人民政府办公室关于印发《绍兴市有序用电管理办法》的通知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绍政办发〔2003〕138号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绍兴市人民政府办公室关于完善市区改制企事业单位国有土地使用权处置问题的意见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绍政办发〔2003〕144号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绍兴市人民政府办公室印发关于市区房改房经济适用房及其它行政划拨土地的住宅转让交易时土地有偿使用规定的通知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绍政办发〔2004〕154号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绍兴市人民政府办公室关于加强绍兴市区地下空间土地使用权管理的意见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绍政办发〔2004〕194号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绍兴市人民政府办公室关于印发绍兴市劳动模范模范集体评选和管理暂行办法的通知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绍政办发〔2005〕71号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绍兴市人民政府办公室关于印发绍兴市区公共消火栓管理办法的通知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绍政办发〔2005〕97号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绍兴市人民政府办公室关于印发绍兴市区建筑垃圾管理规定的通知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绍政办发〔2005〕142号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绍兴市人民政府办公室关于印发绍兴市区城市绿线管理办法的通知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绍政办发〔2006〕134号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绍兴市人民政府办公室关于市区军转干部随军随调配偶安置工作的意见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绍政办发〔2007〕117号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绍兴市人民政府办公室关于进一步严格土地管理坚决遏制违法建设有关问题的意见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绍政办发〔2007〕204号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绍兴市人民政府办公室关于印发绍兴市区物业专项维修资金管理办法(试行)的通知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绍政办发〔2008〕63号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绍兴市人民政府关于停止执行有关规范性文件的通知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绍政发〔2008〕78号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绍兴市人民政府办公室关于印发绍兴市抚恤优待对象医疗保障实施办法的通知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绍政办发〔2009〕76号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绍兴市人民政府办公室关于印发绍兴市退役士兵职业技能教育培训工作实施办法（试行）的通知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绍兴市人民政府办公室转发市财政局关于绍兴市本级道路交通事故社会救助基金管理试行办法的通知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绍政办发〔2011〕151号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绍兴市人民政府办公室关于印发绍兴市区规范住改商和利用城市地下空间从事经营活动若干规定（试行）的通知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绍政办发〔2011〕168号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绍兴市人民政府办公室关于印发浙江（绍兴）外国专家工作站暂行办法的通知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绍政办发〔2011〕182号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绍兴市人民政府办公室关于印发绍兴市区排污权有偿使用和交易试点工作实施办法的通知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139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绍兴市人民政府办公室关于印发绍兴市区殡葬基本服务项目免费办法的通知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绍政办发〔2012〕78号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140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绍兴市人民政府办公室关于印发绍兴市病死动物和动物产品无害化处理管理办法的通知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绍政办发〔2012〕163号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141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绍兴市人民政府办公室关于建立价格调节基金的通知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绍政办发〔2013〕30号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142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绍兴市人民政府办公室关于调整劳动模范荣誉津贴的通知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绍政办发〔2013〕47号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143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绍兴市人民政府办公室关于进城务工人员随迁子女义务教育后在绍兴市区初中升高中工作的实施意见（试行）</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绍政办发〔2013〕66号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144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绍兴市人民政府办公室关于印发绍兴市规范行政机关合同管理工作实施办法的通知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绍政办发〔2013〕77号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145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绍兴市人民政府办公室关于个体工商户转企业及小微企业规范升级的意见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绍政办发〔2013〕91号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146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绍兴市人民政府办公室关于加强市区商业商务类项目管理的意见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绍政办发〔2013〕107号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147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绍兴市人民政府办公室转发市发改委等单位关于绍兴市重大产业项目审批代理暂行办法的通知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绍政办发〔2013〕121号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148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绍兴市人民政府办公室关于印发越城区行政区域住宅小区社区配套用房建设管理暂行办法的通知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绍政办发〔2013〕179号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149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绍兴市人民政府办公室关于停止执行有关规范性文件的通知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绍兴市人民政府办公室关于扩大柯桥区企业投资项目高效审批试点市级放权实施范围的通知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绍兴市人民政府办公室转发市卫生局、市人力社保局、市财政局、市编委办关于进一步加强非公立医疗机构卫生技术人员队伍建设和社会保障实施办法（试行）的通知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绍兴市人民政府办公室关于进一步加强老年体育工作的意见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绍兴市人民政府办公室关于印发加强市区广场舞管理实施意见（试行）的通知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绍兴市人民政府办公室转发市人力社保局等 4 部门关于加强企业技能人才队伍建设实施意见的通知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绍兴市人民政府办公室关于停止执行部分行政规范性文件的通知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绍兴市人民政府办公室关于印发进一步加强计量工作实施意见的通知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绍兴市人民政府办公室关于大力推进“浙江制造”品牌建设的实施意见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绍兴市人民政府办公室转发市体育局市教育局市财政局关于绍兴市中小学校体育场地设施向社会开放实施办法的通知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159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绍兴市人民政府办公室关于印发绍兴市放宽企业住所（经营场所）登记条件细则的通知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160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绍兴市人民政府办公室关于印发绍兴市档案资料征集办法的通知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绍政办发〔2014〕150号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161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绍兴市人民政府办公室关于推行政府向社会力量购买服务的实施意见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162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绍兴市人民政府办公室关于切实加强油气输送管道安全监管工作的意见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163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绍兴市人民政府办公室关于推广运用政府和社会资本合作模式的实施意见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164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绍兴市人民政府办公室关于推进全科医生签约服务工作的实施意见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165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绍兴市人民政府办公室关于进一步完善越城区行政区域经营性用地出让管理工作的意见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166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绍兴市人民政府办公室关于对涉违房产采取“四不予”措施的通知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167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绍兴市人民政府办公室关于印发市级行政事业单位公款竞争性存放管理暂行办法的通知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168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绍兴市人民政府办公室关于加强职业卫生监管工作的实施意见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169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绍兴市人民政府办公室关于全面治理货运车辆超限超载等违法运输行为的意见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170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绍兴市人民政府办公室关于印发绍兴市应对极端天气停课安排和误工处理实施意见（试行）的通知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171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绍兴市人民政府办公室关于支持特种设备制造业发展的实施意见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172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绍兴市人民政府办公室关于建立绍兴市疾病应急救助制度的实施意见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173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绍兴市人民政府办公室关于规范绍兴市农村产权交易管理工作的若干意见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174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绍兴市人民政府办公室关于印发绍兴市市级政府部门权力清单管理办法的通知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175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绍兴市人民政府办公室关于推进市县行政审批层级一体化改革创新审批方式提高审批效能的实施意见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绍政办发〔2015〕106号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176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绍兴市人民政府办公室关于进一步做好为农民工服务工作的实施意见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177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绍兴市人民政府办公室关于加强农村留守儿童关爱保护工作的实施意见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178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绍兴市人民政府办公室关于深化基层违法建设长效防控机制的指导意见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179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绍兴市人民政府办公室关于推进安全生产社会化服务工作的实施意见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180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绍兴市人民政府办公室关于印发绍兴市区货车禁行区域和危化品运输线路调整方案的通知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181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绍兴市人民政府办公室转发市发改委等四部门关于大力推进大众创业万众创新实施意见的通知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182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绍兴市人民政府办公室转发市教育局、市公安局、市交通运输局关于进一步提升中小学生交通安全保障水平实施意见的通知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183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绍兴市人民政府办公室关于全面加强和改进学校美育工作的实施意见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184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绍兴市人民政府办公室关于进一步加强安全生产监管执法工作的通知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185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绍兴市人民政府办公室关于印发绍兴市事业单位公开招聘工作实施细则（试行）的通知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186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绍兴市人民政府办公室关于开展建立各类事业单位统一登记管理制度试点促进民办公益事业发展的实施意见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187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绍兴市人民政府办公室关于公布市政府及市政府办公室行政规范性文件清理结果的通知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188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绍兴市人民政府办公室关于支持戏曲传承发展的实施意见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189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绍兴市人民政府办公室关于修改部分行政规范性文件的通知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绍兴市人民政府办公室关于贯彻落实“先照后证”改革加强事中事后监管的实施意见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绍兴市人民政府办公室关于贯彻浙江省流动人口居住登记条例的实施意见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绍兴市人民政府办公室关于印发绍兴市市属国有企业违规经营投资资产损失责任追究暂行办法的通知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绍政办发〔2016〕116号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绍兴市人民政府办公室关于废止绍兴市区卷烟零售点合理布局管理规定的决定</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绍兴市人民政府办公室关于印发绍兴市推进医疗卫生与养老服务相结合工作方案的通知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绍兴市人民政府办公室关于印发绍兴市居住房屋出租管理若干规定的通知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绍兴市人民政府办公室关于推进绍兴市家庭屋顶光伏工程建设的实施意见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绍兴市人民政府办公室转发市发改委关于完善困难群众基本生活价格补贴机制实施方案的通知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绍兴市人民政府办公室关于印发绍兴市“多证合一、一照一码”改革实施细则的通知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199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绍兴市人民政府办公室关于印发绍兴市“智慧电梯”建设实施方案的通知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200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绍兴市人民政府办公室关于进一步加强防雷安全工作的通知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201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绍兴市人民政府办公室关于公布市政府及市政府办公室行政规范性文件清理结果的通知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202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绍兴市人民政府办公室关于进一步推进“双下沉、两提升”工作的实施意见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203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绍兴市人民政府办公室关于印发市政府行政规范性文件征求意见工作规定的通知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204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绍兴市人民政府办公室关于推进海绵城市建设的实施意见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205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绍兴市人民政府办公室关于进一步加强“地沟油”治理工作的通知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绍政办发〔2017〕76号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206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绍兴市人民政府办公室关于鼓励和推动全市仿制药质量和疗效一致性评价工作的通知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207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绍兴市人民政府办公室关于印发绍兴市城乡生活垃圾分类实施方案的通知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208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绍兴市人民政府办公室关于停止执行部分行政规范性文件的通知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209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绍兴市人民政府办公室关于印发绍兴市农业水价综合改革实施方案的通知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绍兴市人民政府办公室关于加快推进“僵尸企业”处置的实施意见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绍兴市人民政府办公室关于开展企业投资项目“标准地”出让制度试点工作的意见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绍兴市人民政府办公室关于推行企业投资项目承诺制改革的实施意见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绍兴市人民政府办公室关于停止执行和修改有关行政规范性文件的通知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绍兴市人民政府办公室关于印发绍兴市气象灾害预警信号发布与传播管理实施办法的通知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绍兴市人民政府办公室关于加强个人诚信体系建设的通知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绍兴市人民政府办公室关于印发绍兴市推进城镇人口密集区危险化学品生产企业搬迁改造工作方案的通知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绍兴市人民政府办公室关于进一步促进小微企业创新发展的实施意见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绍兴市人民政府办公室关于公布市政府及市政府办公室行政规范性文件清理结果的通知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219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绍兴市人民政府办公室关于印发绍兴市清废行动实施方案的通知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绍兴市人民政府办公室关于印发绍兴市食盐储备管理暂行办法的通知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绍政办发〔2018〕85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绍兴市人民政府办公室关于大力发展粮食产业经济保障粮食安全的实施意见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绍政办发〔2019〕5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绍兴市人民政府办公室关于深化养老服务综合改革提升养老服务质量的实施意见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绍兴市人民政府办公室关于加强病残吸毒人员收治收戒工作的实施意见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绍兴市人民政府办公室关于加快推进5G网络规划建设的实施意见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绍政办发〔2019〕13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绍兴市人民政府办公室关于加快小微企业园高质量发展的实施意见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绍兴市人民政府办公室关于印发绍兴市区计划生育公益金管理办法的通知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绍兴市人民政府办公室关于既有住宅加装电梯工作的实施意见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绍兴市人民政府办公室关于深化“亩均论英雄”改革差别化配置要素资源的指导意见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229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绍兴市人民政府办公室关于印发绍兴市老旧小区综合改造提升工作实施方案的通知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绍政办发〔2019〕30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绍兴市人民政府办公室关于推进全市医疗保险和生育保险工作的意见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绍政办发〔2019〕32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绍兴市人民政府办公室关于公布市政府及市政府办公室行政规范性文件清理结果的通知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绍政办发〔2019〕34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绍兴市人民政府办公室关于进一步支持社会力量提供多层次多样化医疗服务的实施意见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绍政办发〔2019〕35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绍兴市人民政府办公室关于印发绍兴市城镇生活垃圾分类处理三年行动方案（2020—2022 年）的通知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绍政办发〔2019〕36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绍兴市人民政府办公室关于推进电子商务与快递物流协同发展的实施意见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绍政办发〔2019〕37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绍兴市人民政府办公室关于加快推进绍兴市未来社区建设的实施意见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绍政办发〔2019〕39号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绍兴市人民政府办公室关于印发绍兴市深化工程建设项目审批制度改革工作实施方案的通知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绍兴市人民政府办公室关于印发绍兴市工程渣土（泥浆）处置管理办法的通知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绍政办发〔2020〕11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绍兴市人民政府办公室关于印发绍兴市深化产教融合五年行动计划（2020—2024年）的通知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绍兴市人民政府办公室关于改革完善医疗卫生行业综合监管制度的实施意见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绍兴市人民政府办公室关于进一步做好稳就业工作的通知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绍政办发〔2020〕29号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绍兴市人民政府办公室关于促进全民健身和体育消费推动体育产业高质量发展的实施意见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绍政办发〔2020〕33号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绍兴市人民政府办公室关于公布市政府及市政府办公室行政规范性文件清理结果的通知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绍兴市人民政府办公室关于印发绍兴市全面做实基本医疗保险市级统筹试点方案（试行）的通知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绍兴市人民政府办公室关于加快推进新型研发机构建设的实施意见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绍政办发〔2020〕54号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绍兴市人民政府办公室关于印发《绍兴市加快学前教育优质普惠发展第四轮行动计划（2021—2023年）》的通知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绍兴市人民政府办公室关于加快推进绿色建筑和新型建筑工业化发展的实施意见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绍兴市人民政府办公室关于印发绍兴市加快推进集成电路产业发展若干政策（试行）的通知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绍兴市人民政府办公室关于印发绍兴市建设国家体育消费试点城市工作方案的通知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249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绍兴市人民政府办公室关于印发绍兴市科技企业“双倍增”行动计划（2021—2025年）的通知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绍兴市人民政府办公室关于印发坚决制止耕地“非农化”防止耕地“非粮化”稳定发展粮食生产实施方案的通知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绍兴市人民政府办公室关于印发绍兴市区户外广告和招牌设置管理规定的通知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绍兴市人民政府办公室关于印发绍兴市开发区（园区）工业全域治理行动方案的通知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绍兴市人民政府办公室关于印发绍兴市制造业企业“长高长壮”行动方案的通知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绍兴市人民政府办公室关于全面推进人防工程产权制度综合改革的实施意见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绍兴市人民政府办公室关于印发绍兴市生产安全事故报告和调查处理实施办法的通知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绍兴市人民政府办公室关于印发绍兴市网络预约出租汽车经营服务管理实施办法的通知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绍兴市人民政府办公室关于贯彻落实《浙江省人民政府办公厅关于加快农业保险高质量发展的实施意见》的通知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softHyphen/>
            </w:r>
            <w:r>
              <w:rPr>
                <w:rFonts w:hint="eastAsia" w:ascii="仿宋_GB2312" w:hAnsi="仿宋_GB2312" w:eastAsia="仿宋_GB2312" w:cs="仿宋_GB2312"/>
                <w:i w:val="0"/>
                <w:color w:val="000000"/>
                <w:kern w:val="0"/>
                <w:sz w:val="24"/>
                <w:szCs w:val="24"/>
                <w:u w:val="none"/>
                <w:lang w:val="en-US" w:eastAsia="zh-CN" w:bidi="ar"/>
              </w:rPr>
              <w:t>绍兴市人民政府办公室关于深化农村公路管理养护体制改革的实施意见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绍兴市人民政府办公室关于印发绍兴市个人诚信分管理办法（试行）的通知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260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绍兴市人民政府办公室关于印发绍兴市公共体育设施建设和管理办法的通知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261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绍兴市人民政府办公室关于停止执行部分市政府及市政府办公室文件的通知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262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绍兴市人民政府办公室关于印发绍兴市深化基层卫生健康综合改革实施方案的通知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263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绍兴市人民政府办公室关于进一步完善和落实劳动模范医疗补助待遇的通知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264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绍兴市人民政府办公室关于加快发展保障性租赁住房的实施意见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265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绍兴市人民政府办公室关于进一步加强行政规范性文件合法性审核和监督管理工作的通知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266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绍兴市人民政府办公室关于印发加快推进工业经济高质量发展若干政策等八个政策的通知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267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绍兴市人民政府办公室关于贯彻落实《绍兴市居家养老服务条例》的实施意见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268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绍兴市人民政府办公室关于推动绍兴建筑业改革创新高质量发展的实施意见</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269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绍兴市人民政府办公室关于印发《绍兴市推动外贸保稳提质若干政策》的通知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270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绍兴市人民政府办公室关于印发《绍兴市标准创新贡献奖管理办法》的通知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271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绍兴市人民政府办公室关于印发《绍兴市征收集体所有土地管理办法》的通知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272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绍兴市人民政府办公室关于实施绍兴市军人军属、退役军人和其他优抚对象基本优待目录清单的通知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绍政办发〔2022〕39号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273 </w:t>
            </w:r>
          </w:p>
        </w:tc>
        <w:tc>
          <w:tcPr>
            <w:tcW w:w="8936"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绍兴市人民政府办公室关于印发《绍兴市上市公司引领高质量发展实施方案》《绍兴市上市公司引领高质量发展政策》的通知</w:t>
            </w:r>
          </w:p>
        </w:tc>
        <w:tc>
          <w:tcPr>
            <w:tcW w:w="3379"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绍政办发〔2023〕1号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274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绍兴市人民政府办公室关于行政应诉专用章使用管理的通知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绍政办函〔2019〕10号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0" w:hRule="atLeast"/>
        </w:trPr>
        <w:tc>
          <w:tcPr>
            <w:tcW w:w="90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275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绍兴市人民政府办公室关于同意赋予区、县（市）专利行政部门专利执法权的复函</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绍政办函〔2019〕11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04"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276 </w:t>
            </w:r>
          </w:p>
        </w:tc>
        <w:tc>
          <w:tcPr>
            <w:tcW w:w="8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绍兴市人民政府办公室关于印发《绍兴市支持企业抢单拓市若干政策》的通知</w:t>
            </w:r>
          </w:p>
        </w:tc>
        <w:tc>
          <w:tcPr>
            <w:tcW w:w="33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绍政办函〔2023〕1号</w:t>
            </w:r>
          </w:p>
        </w:tc>
      </w:tr>
    </w:tbl>
    <w:p>
      <w:pPr>
        <w:spacing w:line="600" w:lineRule="exact"/>
        <w:sectPr>
          <w:pgSz w:w="16838" w:h="11906" w:orient="landscape"/>
          <w:pgMar w:top="1440" w:right="1800" w:bottom="1440" w:left="1800" w:header="851" w:footer="1531" w:gutter="0"/>
          <w:pgBorders>
            <w:top w:val="none" w:sz="0" w:space="0"/>
            <w:left w:val="none" w:sz="0" w:space="0"/>
            <w:bottom w:val="none" w:sz="0" w:space="0"/>
            <w:right w:val="none" w:sz="0" w:space="0"/>
          </w:pgBorders>
          <w:cols w:space="720" w:num="1"/>
          <w:rtlGutter w:val="0"/>
          <w:docGrid w:type="lines" w:linePitch="582" w:charSpace="0"/>
        </w:sectPr>
      </w:pPr>
    </w:p>
    <w:p>
      <w:pPr>
        <w:spacing w:before="100" w:beforeAutospacing="1" w:after="100" w:afterAutospacing="1"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停止执行的行政规范性文件目录</w:t>
      </w:r>
    </w:p>
    <w:p>
      <w:pPr>
        <w:spacing w:line="600" w:lineRule="exact"/>
      </w:pPr>
    </w:p>
    <w:tbl>
      <w:tblPr>
        <w:tblStyle w:val="5"/>
        <w:tblW w:w="13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8959"/>
        <w:gridCol w:w="3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95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标题</w:t>
            </w:r>
          </w:p>
        </w:tc>
        <w:tc>
          <w:tcPr>
            <w:tcW w:w="32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绍兴市村级档案管理暂行办法</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政府令第29号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绍兴市区土地使用权交易管理暂行规定</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政府令第56号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绍兴市工程建设项目招标投标管理办法</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政府令第84号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绍兴市农村公路养护与管理暂行办法</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政府令第90号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印发《绍兴市市区环境卫生有偿服务实施办法》的通知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绍市府发〔1993〕114号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关于绍兴市区禁止拖拉机行驶和局部区域禁鸣机动车喇叭的通告</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绍市府发〔1995〕100号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绍兴市人民政府关于招标拍卖挂牌出让国有土地使用权规定的实施意见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绍政发〔2002〕66号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绍兴市人民政府关于扩大市区货运汽车禁驶区域的通告</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绍政发〔2003〕74号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绍兴市人民政府关于贯彻实施浙江省失业保险条例有关问题的通知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绍政发〔2004〕35号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绍兴市人民政府关于进一步做好就业工作促进社会和谐的实施意见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绍政发〔2009〕19号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绍兴市人民政府关于印发绍兴市市级储备粮管理办法的通知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绍政发〔2009〕69号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绍兴市人民政府关于调整绍兴市城市管理相对集中行政处罚权管理体制和范围的实施意见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绍兴市人民政府关于印发绍兴市“三改一拆”行动实施方案的通知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绍政发〔2013〕30号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绍兴市人民政府关于印发绍兴市区被征地农民养老保障制度并轨实施意见的通知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绍政发〔2013〕42号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绍兴市人民政府关于进一步加快养老服务业发展的意见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绍政发〔2014〕41号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绍兴市人民政府关于加快特色小镇培育建设的指导意见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绍政发〔2015〕27号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绍兴市人民政府关于加强新时期爱国卫生工作的实施意见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绍兴市人民政府关于全面建立困难残疾人生活补贴和重度残疾人护理补贴制度的若干意见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绍政发〔2016〕18号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绍兴市人民政府关于印发绍兴市盐业体制改革实施方案的通知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绍政发〔2017〕21号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绍兴市人民政府办公室印发关于市区违法用地补办审批手续若干意见的通知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绍政办发〔2005〕82号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绍兴市人民政府办公室关于印发绍兴市城乡公交客运管理办法(试行)的通知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绍政办发〔2007〕22号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绍兴市人民政府办公室转发市国土局关于绍兴市区工业用地招标拍卖挂牌出让实施意见（试行）的通知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绍政办发〔2007〕68号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绍兴市人民政府办公室关于印发绍兴市征地补偿标准争议协调办法的通知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绍政办发〔2009〕6号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绍兴市人民政府办公室关于印发加快市区批而未供供而未用土地消化盘活工作实施方案的通知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绍政办发〔2013〕75号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绍兴市人民政府办公室关于印发绍兴市救助申请家庭经济状况核对办法的通知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绍政办发〔2013〕82号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绍兴市人民政府办公室关于进一步加强市区经营性用地出让管理的若干意见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绍政办发〔2014〕37号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绍兴市人民政府办公室关于印发绍兴市开展全国适度普惠型儿童福利制度建设试点工作方案的通知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绍政办发〔2014〕113号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绍兴市人民政府办公室关于鼓励和引导民间资本进入养老服务业的实施意见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绍政办发〔2014〕134号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89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绍兴市人民政府办公室关于加快推进全市不动产统一登记工作的通知</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绍政办发〔2015〕85号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绍兴市人民政府办公室关于加快推进中医药健康服务发展的实施意见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绍兴市人民政府办公室关于促进自主出口品牌发展的若干意见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绍政办发〔2016〕83号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绍兴市人民政府办公室关于强化保险服务功能支持经济社会发展的实施意见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绍政办发〔2016〕84号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89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绍兴市人民政府办公室关于绍兴市区城中村改造房屋征收货币补偿和市场化安置奖励的实施意见（试行）</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绍政办发〔2016〕100号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89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绍兴市人民政府办公室关于推进绿色建筑和建筑产业现代化发展的实施意见</w:t>
            </w:r>
          </w:p>
        </w:tc>
        <w:tc>
          <w:tcPr>
            <w:tcW w:w="32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绍政办发〔2016〕108号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绍兴市人民政府办公室关于明确市区人防结建政策的通知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绍政办发〔2017〕34号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绍兴市人民政府办公室关于进一步加强住户调查工作的通知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绍政办发〔2017〕59号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绍兴市人民政府办公室关于推进政策性融资担保体系建设的实施意见 </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绍政办发〔2017〕77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绍兴市人民政府办公室关于加快发展人力资源服务业的实施意见</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绍政办发〔2018〕21号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绍兴市人民政府办公室关于印发绍兴市住房公积金抵押贷款管理办法的通知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绍政办发〔2018〕87号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绍兴市人民政府办公室关于进一步促进生猪生产保障市场供应的通知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绍政办发〔2019〕29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绍兴市人民政府办公室关于印发绍兴市农村生活垃圾分类管理办法的通知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绍兴市人民政府办公室关于印发绍兴市推进全省全域“无废城市”建设工作方案的通知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绍政办发〔2020〕28号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 </w:t>
            </w:r>
          </w:p>
        </w:tc>
        <w:tc>
          <w:tcPr>
            <w:tcW w:w="895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绍兴市人民政府办公室关于印发绍兴市轨道交通1号线柯桥段运营管理暂行办法的通知</w:t>
            </w:r>
          </w:p>
        </w:tc>
        <w:tc>
          <w:tcPr>
            <w:tcW w:w="32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绍政办发〔2021〕14号</w:t>
            </w:r>
          </w:p>
        </w:tc>
      </w:tr>
    </w:tbl>
    <w:p>
      <w:pPr>
        <w:pStyle w:val="2"/>
        <w:sectPr>
          <w:pgSz w:w="16838" w:h="11906" w:orient="landscape"/>
          <w:pgMar w:top="1440" w:right="1800" w:bottom="1440" w:left="1800" w:header="851" w:footer="1531" w:gutter="0"/>
          <w:pgBorders>
            <w:top w:val="none" w:sz="0" w:space="0"/>
            <w:left w:val="none" w:sz="0" w:space="0"/>
            <w:bottom w:val="none" w:sz="0" w:space="0"/>
            <w:right w:val="none" w:sz="0" w:space="0"/>
          </w:pgBorders>
          <w:cols w:space="720" w:num="1"/>
          <w:rtlGutter w:val="0"/>
          <w:docGrid w:type="lines" w:linePitch="582" w:charSpace="0"/>
        </w:sectPr>
      </w:pPr>
    </w:p>
    <w:p>
      <w:pPr>
        <w:spacing w:after="100" w:afterAutospacing="1" w:line="600" w:lineRule="exact"/>
        <w:jc w:val="center"/>
        <w:rPr>
          <w:rFonts w:ascii="方正小标宋简体" w:eastAsia="方正小标宋简体"/>
          <w:sz w:val="44"/>
          <w:szCs w:val="44"/>
        </w:rPr>
      </w:pPr>
      <w:r>
        <w:rPr>
          <w:rFonts w:hint="eastAsia" w:ascii="方正小标宋简体" w:eastAsia="方正小标宋简体"/>
          <w:sz w:val="44"/>
          <w:szCs w:val="44"/>
        </w:rPr>
        <w:t>修改的行政规范性文件目录和修改内容</w:t>
      </w:r>
    </w:p>
    <w:tbl>
      <w:tblPr>
        <w:tblStyle w:val="5"/>
        <w:tblW w:w="12696" w:type="dxa"/>
        <w:jc w:val="center"/>
        <w:tblLayout w:type="fixed"/>
        <w:tblCellMar>
          <w:top w:w="0" w:type="dxa"/>
          <w:left w:w="108" w:type="dxa"/>
          <w:bottom w:w="0" w:type="dxa"/>
          <w:right w:w="108" w:type="dxa"/>
        </w:tblCellMar>
      </w:tblPr>
      <w:tblGrid>
        <w:gridCol w:w="783"/>
        <w:gridCol w:w="1494"/>
        <w:gridCol w:w="1806"/>
        <w:gridCol w:w="8613"/>
      </w:tblGrid>
      <w:tr>
        <w:tblPrEx>
          <w:tblCellMar>
            <w:top w:w="0" w:type="dxa"/>
            <w:left w:w="108" w:type="dxa"/>
            <w:bottom w:w="0" w:type="dxa"/>
            <w:right w:w="108" w:type="dxa"/>
          </w:tblCellMar>
        </w:tblPrEx>
        <w:trPr>
          <w:trHeight w:val="556"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黑体" w:eastAsia="黑体"/>
                <w:color w:val="000000"/>
                <w:kern w:val="0"/>
                <w:sz w:val="24"/>
                <w:szCs w:val="24"/>
              </w:rPr>
            </w:pPr>
            <w:r>
              <w:rPr>
                <w:rFonts w:hint="eastAsia" w:ascii="黑体" w:eastAsia="黑体"/>
                <w:color w:val="000000"/>
                <w:kern w:val="0"/>
                <w:sz w:val="24"/>
                <w:szCs w:val="24"/>
              </w:rPr>
              <w:t>序号</w:t>
            </w:r>
          </w:p>
        </w:tc>
        <w:tc>
          <w:tcPr>
            <w:tcW w:w="149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黑体" w:eastAsia="黑体"/>
                <w:color w:val="000000"/>
                <w:kern w:val="0"/>
                <w:sz w:val="24"/>
                <w:szCs w:val="24"/>
              </w:rPr>
            </w:pPr>
            <w:r>
              <w:rPr>
                <w:rFonts w:hint="eastAsia" w:ascii="黑体" w:eastAsia="黑体"/>
                <w:color w:val="000000"/>
                <w:kern w:val="0"/>
                <w:sz w:val="24"/>
                <w:szCs w:val="24"/>
              </w:rPr>
              <w:t>文件名称</w:t>
            </w:r>
          </w:p>
        </w:tc>
        <w:tc>
          <w:tcPr>
            <w:tcW w:w="180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黑体" w:eastAsia="黑体"/>
                <w:color w:val="000000"/>
                <w:kern w:val="0"/>
                <w:sz w:val="24"/>
                <w:szCs w:val="24"/>
              </w:rPr>
            </w:pPr>
            <w:r>
              <w:rPr>
                <w:rFonts w:hint="eastAsia" w:ascii="黑体" w:eastAsia="黑体"/>
                <w:color w:val="000000"/>
                <w:kern w:val="0"/>
                <w:sz w:val="24"/>
                <w:szCs w:val="24"/>
              </w:rPr>
              <w:t>文号</w:t>
            </w:r>
          </w:p>
        </w:tc>
        <w:tc>
          <w:tcPr>
            <w:tcW w:w="861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黑体" w:eastAsia="黑体"/>
                <w:color w:val="000000"/>
                <w:kern w:val="0"/>
                <w:sz w:val="24"/>
                <w:szCs w:val="24"/>
              </w:rPr>
            </w:pPr>
            <w:r>
              <w:rPr>
                <w:rFonts w:hint="eastAsia" w:ascii="黑体" w:eastAsia="黑体"/>
                <w:color w:val="000000"/>
                <w:kern w:val="0"/>
                <w:sz w:val="24"/>
                <w:szCs w:val="24"/>
              </w:rPr>
              <w:t>修改内容</w:t>
            </w:r>
          </w:p>
        </w:tc>
      </w:tr>
      <w:tr>
        <w:tblPrEx>
          <w:tblCellMar>
            <w:top w:w="0" w:type="dxa"/>
            <w:left w:w="108" w:type="dxa"/>
            <w:bottom w:w="0" w:type="dxa"/>
            <w:right w:w="108" w:type="dxa"/>
          </w:tblCellMar>
        </w:tblPrEx>
        <w:trPr>
          <w:trHeight w:val="705" w:hRule="atLeast"/>
          <w:jc w:val="center"/>
        </w:trPr>
        <w:tc>
          <w:tcPr>
            <w:tcW w:w="7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color w:val="000000"/>
                <w:kern w:val="0"/>
                <w:sz w:val="24"/>
                <w:szCs w:val="24"/>
              </w:rPr>
            </w:pPr>
            <w:r>
              <w:rPr>
                <w:color w:val="000000"/>
                <w:kern w:val="0"/>
                <w:sz w:val="24"/>
                <w:szCs w:val="24"/>
              </w:rPr>
              <w:t>1</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color w:val="000000"/>
                <w:kern w:val="0"/>
                <w:sz w:val="24"/>
                <w:szCs w:val="24"/>
              </w:rPr>
            </w:pPr>
            <w:r>
              <w:rPr>
                <w:rFonts w:hint="eastAsia"/>
                <w:color w:val="000000"/>
                <w:kern w:val="0"/>
                <w:sz w:val="24"/>
                <w:szCs w:val="24"/>
                <w:lang w:val="en-US" w:eastAsia="zh-CN"/>
              </w:rPr>
              <w:t>绍兴市曹娥江大闸闸上河道管理办法</w:t>
            </w:r>
          </w:p>
        </w:tc>
        <w:tc>
          <w:tcPr>
            <w:tcW w:w="180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color w:val="000000"/>
                <w:kern w:val="0"/>
                <w:sz w:val="24"/>
                <w:szCs w:val="24"/>
              </w:rPr>
            </w:pPr>
            <w:r>
              <w:rPr>
                <w:rFonts w:hint="eastAsia" w:ascii="仿宋_GB2312" w:hAnsi="宋体" w:eastAsia="仿宋_GB2312" w:cs="仿宋_GB2312"/>
                <w:i w:val="0"/>
                <w:color w:val="000000"/>
                <w:kern w:val="0"/>
                <w:sz w:val="24"/>
                <w:szCs w:val="24"/>
                <w:u w:val="none"/>
                <w:lang w:val="en-US" w:eastAsia="zh-CN" w:bidi="ar"/>
              </w:rPr>
              <w:t>政府令第88号</w:t>
            </w:r>
          </w:p>
        </w:tc>
        <w:tc>
          <w:tcPr>
            <w:tcW w:w="8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color w:val="000000"/>
                <w:kern w:val="0"/>
                <w:sz w:val="24"/>
                <w:szCs w:val="24"/>
              </w:rPr>
            </w:pPr>
            <w:r>
              <w:rPr>
                <w:rFonts w:hint="eastAsia"/>
                <w:color w:val="000000"/>
                <w:kern w:val="0"/>
                <w:sz w:val="24"/>
                <w:szCs w:val="24"/>
              </w:rPr>
              <w:t>第</w:t>
            </w:r>
            <w:r>
              <w:rPr>
                <w:rFonts w:hint="eastAsia"/>
                <w:color w:val="000000"/>
                <w:kern w:val="0"/>
                <w:sz w:val="24"/>
                <w:szCs w:val="24"/>
                <w:lang w:eastAsia="zh-CN"/>
              </w:rPr>
              <w:t>二</w:t>
            </w:r>
            <w:r>
              <w:rPr>
                <w:rFonts w:hint="eastAsia"/>
                <w:color w:val="000000"/>
                <w:kern w:val="0"/>
                <w:sz w:val="24"/>
                <w:szCs w:val="24"/>
              </w:rPr>
              <w:t>十五条第一款中的“缴纳水域</w:t>
            </w:r>
            <w:r>
              <w:rPr>
                <w:rFonts w:hint="eastAsia"/>
                <w:color w:val="000000"/>
                <w:kern w:val="0"/>
                <w:sz w:val="24"/>
                <w:szCs w:val="24"/>
                <w:lang w:eastAsia="zh-CN"/>
              </w:rPr>
              <w:t>占用有关费用</w:t>
            </w:r>
            <w:r>
              <w:rPr>
                <w:rFonts w:hint="eastAsia"/>
                <w:color w:val="000000"/>
                <w:kern w:val="0"/>
                <w:sz w:val="24"/>
                <w:szCs w:val="24"/>
              </w:rPr>
              <w:t>”修改为“采取功能补救措施或者建设等效替代水域工程”</w:t>
            </w:r>
            <w:r>
              <w:rPr>
                <w:rFonts w:hint="eastAsia"/>
                <w:color w:val="000000"/>
                <w:kern w:val="0"/>
                <w:sz w:val="24"/>
                <w:szCs w:val="24"/>
                <w:lang w:eastAsia="zh-CN"/>
              </w:rPr>
              <w:t>。</w:t>
            </w:r>
          </w:p>
        </w:tc>
      </w:tr>
      <w:tr>
        <w:tblPrEx>
          <w:tblCellMar>
            <w:top w:w="0" w:type="dxa"/>
            <w:left w:w="108" w:type="dxa"/>
            <w:bottom w:w="0" w:type="dxa"/>
            <w:right w:w="108" w:type="dxa"/>
          </w:tblCellMar>
        </w:tblPrEx>
        <w:trPr>
          <w:trHeight w:val="1207" w:hRule="atLeast"/>
          <w:jc w:val="center"/>
        </w:trPr>
        <w:tc>
          <w:tcPr>
            <w:tcW w:w="7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color w:val="000000"/>
                <w:kern w:val="0"/>
                <w:sz w:val="24"/>
                <w:szCs w:val="24"/>
              </w:rPr>
            </w:pPr>
            <w:r>
              <w:rPr>
                <w:color w:val="000000"/>
                <w:kern w:val="0"/>
                <w:sz w:val="24"/>
                <w:szCs w:val="24"/>
              </w:rPr>
              <w:t>2</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color w:val="000000"/>
                <w:kern w:val="0"/>
                <w:sz w:val="24"/>
                <w:szCs w:val="24"/>
              </w:rPr>
            </w:pPr>
            <w:r>
              <w:rPr>
                <w:rFonts w:hint="eastAsia" w:ascii="仿宋_GB2312" w:hAnsi="宋体" w:eastAsia="仿宋_GB2312" w:cs="仿宋_GB2312"/>
                <w:i w:val="0"/>
                <w:color w:val="000000"/>
                <w:kern w:val="0"/>
                <w:sz w:val="24"/>
                <w:szCs w:val="24"/>
                <w:u w:val="none"/>
                <w:lang w:val="en-US" w:eastAsia="zh-CN" w:bidi="ar"/>
              </w:rPr>
              <w:t>绍兴市人民政府关于扩大禁止拖拉机行驶和禁鸣机动车喇叭管理区域的通告</w:t>
            </w:r>
          </w:p>
        </w:tc>
        <w:tc>
          <w:tcPr>
            <w:tcW w:w="180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color w:val="000000"/>
                <w:kern w:val="0"/>
                <w:sz w:val="24"/>
                <w:szCs w:val="24"/>
              </w:rPr>
            </w:pPr>
            <w:r>
              <w:rPr>
                <w:rFonts w:hint="eastAsia" w:ascii="仿宋_GB2312" w:hAnsi="宋体" w:eastAsia="仿宋_GB2312" w:cs="仿宋_GB2312"/>
                <w:i w:val="0"/>
                <w:color w:val="000000"/>
                <w:kern w:val="0"/>
                <w:sz w:val="24"/>
                <w:szCs w:val="24"/>
                <w:u w:val="none"/>
                <w:lang w:val="en-US" w:eastAsia="zh-CN" w:bidi="ar"/>
              </w:rPr>
              <w:t>绍市府发〔1996〕149号</w:t>
            </w:r>
          </w:p>
        </w:tc>
        <w:tc>
          <w:tcPr>
            <w:tcW w:w="8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rFonts w:hint="eastAsia"/>
                <w:color w:val="000000"/>
                <w:kern w:val="0"/>
                <w:sz w:val="24"/>
                <w:szCs w:val="24"/>
              </w:rPr>
            </w:pPr>
            <w:r>
              <w:rPr>
                <w:rFonts w:hint="eastAsia"/>
                <w:color w:val="000000"/>
                <w:kern w:val="0"/>
                <w:sz w:val="24"/>
                <w:szCs w:val="24"/>
              </w:rPr>
              <w:t>1.</w:t>
            </w:r>
            <w:r>
              <w:rPr>
                <w:rFonts w:hint="eastAsia"/>
                <w:color w:val="000000"/>
                <w:kern w:val="0"/>
                <w:sz w:val="24"/>
                <w:szCs w:val="24"/>
                <w:lang w:eastAsia="zh-CN"/>
              </w:rPr>
              <w:t>文件首段中</w:t>
            </w:r>
            <w:r>
              <w:rPr>
                <w:rFonts w:hint="eastAsia"/>
                <w:color w:val="000000"/>
                <w:kern w:val="0"/>
                <w:sz w:val="24"/>
                <w:szCs w:val="24"/>
              </w:rPr>
              <w:t>“为维护绍兴市区和经济开发区的交通秩序”修改为“为维护绍兴市越城区的交通秩序”。</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rFonts w:hint="eastAsia"/>
                <w:color w:val="000000"/>
                <w:kern w:val="0"/>
                <w:sz w:val="24"/>
                <w:szCs w:val="24"/>
              </w:rPr>
            </w:pPr>
            <w:r>
              <w:rPr>
                <w:rFonts w:hint="eastAsia"/>
                <w:color w:val="000000"/>
                <w:kern w:val="0"/>
                <w:sz w:val="24"/>
                <w:szCs w:val="24"/>
              </w:rPr>
              <w:t>2.第</w:t>
            </w:r>
            <w:r>
              <w:rPr>
                <w:rFonts w:hint="eastAsia"/>
                <w:color w:val="000000"/>
                <w:kern w:val="0"/>
                <w:sz w:val="24"/>
                <w:szCs w:val="24"/>
                <w:lang w:eastAsia="zh-CN"/>
              </w:rPr>
              <w:t>一大点第</w:t>
            </w:r>
            <w:r>
              <w:rPr>
                <w:rFonts w:hint="eastAsia"/>
                <w:color w:val="000000"/>
                <w:kern w:val="0"/>
                <w:sz w:val="24"/>
                <w:szCs w:val="24"/>
                <w:lang w:val="en-US" w:eastAsia="zh-CN"/>
              </w:rPr>
              <w:t>1点“禁止拖拉机通行的范围”中区域内容修改为</w:t>
            </w:r>
            <w:r>
              <w:rPr>
                <w:rFonts w:hint="eastAsia"/>
                <w:color w:val="000000"/>
                <w:kern w:val="0"/>
                <w:sz w:val="24"/>
                <w:szCs w:val="24"/>
              </w:rPr>
              <w:t>“保持环城东路、环城南路、环城西路、环城北路以内区域（含环城线和胜利新村的胜利西路、马臻路），以及104国道、舜江路、天姥路以内区域（不含舜江路、天姥路）及车站路全天禁止拖拉机行驶。”</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rFonts w:hint="eastAsia"/>
                <w:color w:val="000000"/>
                <w:kern w:val="0"/>
                <w:sz w:val="24"/>
                <w:szCs w:val="24"/>
              </w:rPr>
            </w:pPr>
            <w:r>
              <w:rPr>
                <w:rFonts w:hint="eastAsia"/>
                <w:color w:val="000000"/>
                <w:kern w:val="0"/>
                <w:sz w:val="24"/>
                <w:szCs w:val="24"/>
                <w:lang w:val="en-US" w:eastAsia="zh-CN"/>
              </w:rPr>
              <w:t>3.第二大点修改为：</w:t>
            </w:r>
            <w:r>
              <w:rPr>
                <w:rFonts w:hint="eastAsia"/>
                <w:color w:val="000000"/>
                <w:kern w:val="0"/>
                <w:sz w:val="24"/>
                <w:szCs w:val="24"/>
              </w:rPr>
              <w:t>“</w:t>
            </w:r>
            <w:r>
              <w:rPr>
                <w:rFonts w:hint="eastAsia"/>
                <w:color w:val="000000"/>
                <w:kern w:val="0"/>
                <w:sz w:val="24"/>
                <w:szCs w:val="24"/>
                <w:lang w:eastAsia="zh-CN"/>
              </w:rPr>
              <w:t>执法机关</w:t>
            </w:r>
            <w:r>
              <w:rPr>
                <w:rFonts w:hint="eastAsia"/>
                <w:color w:val="000000"/>
                <w:kern w:val="0"/>
                <w:sz w:val="24"/>
                <w:szCs w:val="24"/>
              </w:rPr>
              <w:t>要在进一步巩固原有新</w:t>
            </w:r>
            <w:r>
              <w:rPr>
                <w:rFonts w:hint="eastAsia"/>
                <w:color w:val="000000"/>
                <w:kern w:val="0"/>
                <w:sz w:val="24"/>
                <w:szCs w:val="24"/>
                <w:lang w:eastAsia="zh-CN"/>
              </w:rPr>
              <w:t>‘</w:t>
            </w:r>
            <w:r>
              <w:rPr>
                <w:rFonts w:hint="eastAsia"/>
                <w:color w:val="000000"/>
                <w:kern w:val="0"/>
                <w:sz w:val="24"/>
                <w:szCs w:val="24"/>
              </w:rPr>
              <w:t>双禁</w:t>
            </w:r>
            <w:r>
              <w:rPr>
                <w:rFonts w:hint="eastAsia"/>
                <w:color w:val="000000"/>
                <w:kern w:val="0"/>
                <w:sz w:val="24"/>
                <w:szCs w:val="24"/>
                <w:lang w:eastAsia="zh-CN"/>
              </w:rPr>
              <w:t>’</w:t>
            </w:r>
            <w:r>
              <w:rPr>
                <w:rFonts w:hint="eastAsia"/>
                <w:color w:val="000000"/>
                <w:kern w:val="0"/>
                <w:sz w:val="24"/>
                <w:szCs w:val="24"/>
              </w:rPr>
              <w:t>成果的基础上，严格执法，加大管理力度，对违反《通告》规定的行为人，依据《中华人民共和国道路交通安全法》、《中华人民共和国道路交通安全法实施条例》和《中华人民共和国治安管理处罚法》等有关规定，予以处罚”。</w:t>
            </w:r>
          </w:p>
        </w:tc>
      </w:tr>
      <w:tr>
        <w:tblPrEx>
          <w:tblCellMar>
            <w:top w:w="0" w:type="dxa"/>
            <w:left w:w="108" w:type="dxa"/>
            <w:bottom w:w="0" w:type="dxa"/>
            <w:right w:w="108" w:type="dxa"/>
          </w:tblCellMar>
        </w:tblPrEx>
        <w:trPr>
          <w:trHeight w:val="1207" w:hRule="atLeast"/>
          <w:jc w:val="center"/>
        </w:trPr>
        <w:tc>
          <w:tcPr>
            <w:tcW w:w="7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eastAsia="仿宋_GB2312"/>
                <w:color w:val="000000"/>
                <w:kern w:val="0"/>
                <w:sz w:val="24"/>
                <w:szCs w:val="24"/>
                <w:lang w:val="en-US" w:eastAsia="zh-CN"/>
              </w:rPr>
            </w:pPr>
            <w:r>
              <w:rPr>
                <w:rFonts w:hint="eastAsia"/>
                <w:color w:val="000000"/>
                <w:kern w:val="0"/>
                <w:sz w:val="24"/>
                <w:szCs w:val="24"/>
                <w:lang w:val="en-US" w:eastAsia="zh-CN"/>
              </w:rPr>
              <w:t>3</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绍兴市人民政府办公室关于印发绍兴市网络预约出租汽车经营服务管理实施办法的通知</w:t>
            </w:r>
          </w:p>
        </w:tc>
        <w:tc>
          <w:tcPr>
            <w:tcW w:w="180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绍政办发〔2021〕30号</w:t>
            </w:r>
          </w:p>
        </w:tc>
        <w:tc>
          <w:tcPr>
            <w:tcW w:w="86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rFonts w:hint="eastAsia"/>
                <w:color w:val="000000"/>
                <w:kern w:val="0"/>
                <w:sz w:val="24"/>
                <w:szCs w:val="24"/>
                <w:lang w:val="en-US" w:eastAsia="zh-CN"/>
              </w:rPr>
            </w:pPr>
            <w:r>
              <w:rPr>
                <w:rFonts w:hint="eastAsia"/>
                <w:color w:val="000000"/>
                <w:kern w:val="0"/>
                <w:sz w:val="24"/>
                <w:szCs w:val="24"/>
                <w:lang w:val="en-US" w:eastAsia="zh-CN"/>
              </w:rPr>
              <w:t>1. 第二大点中的“县级交通运输主管部门负责在本行政区域内经营的网约车平台许可和管理工作”修改为“县级交通运输主管部门负责在本行政区域内经营的网约车平台、网约经营车辆许可和管理工作”。</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rFonts w:hint="eastAsia"/>
                <w:color w:val="000000"/>
                <w:kern w:val="0"/>
                <w:sz w:val="24"/>
                <w:szCs w:val="24"/>
                <w:lang w:val="en-US" w:eastAsia="zh-CN"/>
              </w:rPr>
            </w:pPr>
            <w:r>
              <w:rPr>
                <w:rFonts w:hint="eastAsia"/>
                <w:color w:val="000000"/>
                <w:kern w:val="0"/>
                <w:sz w:val="24"/>
                <w:szCs w:val="24"/>
                <w:lang w:val="en-US" w:eastAsia="zh-CN"/>
              </w:rPr>
              <w:t>2.第四大点“（二）审批程序”中“用于提供网约车经营服务的车辆所有人或网约车平台公司，应当向该车辆经营服务所在地交通运输主管部门申领网约车运输证”修改为“用于提供网约车经营服务的车辆所有人或网约车平台公司，应当向该车辆经营服务所在地县级交通运输主管部门申领网约车运输证”；段末增加“网约车运输证的有效期与车辆使用年限、行驶里程挂钩，自车辆行驶证载明的初次注册日期起，最长不超过8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rFonts w:hint="eastAsia"/>
                <w:color w:val="000000"/>
                <w:kern w:val="0"/>
                <w:sz w:val="24"/>
                <w:szCs w:val="24"/>
                <w:lang w:val="en-US" w:eastAsia="zh-CN"/>
              </w:rPr>
            </w:pPr>
            <w:r>
              <w:rPr>
                <w:rFonts w:hint="eastAsia"/>
                <w:color w:val="000000"/>
                <w:kern w:val="0"/>
                <w:sz w:val="24"/>
                <w:szCs w:val="24"/>
                <w:lang w:val="en-US" w:eastAsia="zh-CN"/>
              </w:rPr>
              <w:t>3. 第五大点“（一）从业条件”中删去“本市户籍，或非本市户籍在本市缴纳社会保险，或在本市取得浙江省居住证”。</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rFonts w:hint="eastAsia"/>
                <w:color w:val="000000"/>
                <w:kern w:val="0"/>
                <w:sz w:val="24"/>
                <w:szCs w:val="24"/>
                <w:lang w:val="en-US" w:eastAsia="zh-CN"/>
              </w:rPr>
            </w:pPr>
            <w:r>
              <w:rPr>
                <w:rFonts w:hint="eastAsia"/>
                <w:color w:val="000000"/>
                <w:kern w:val="0"/>
                <w:sz w:val="24"/>
                <w:szCs w:val="24"/>
                <w:lang w:val="en-US" w:eastAsia="zh-CN"/>
              </w:rPr>
              <w:t>4.第六大点“（一）强化平台公司责任”中“应当合理确定网约车运价，运价规则调整时，应当提前15日向社会公布，并向经营所在地价格主管部门、交通运输主管部门报备”修改为“制定和调整计价规则、收入分配规则时，应当公开征求网约出租车驾驶人员及工会组织、行业协会的意见；计价规则和收入分配规则应当通过公司网站、移动互联网应用程序等载体向社会公开，并在实施之日的7日前报设区的市交通运输主管部门”。</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rFonts w:hint="eastAsia"/>
                <w:color w:val="000000"/>
                <w:kern w:val="0"/>
                <w:sz w:val="24"/>
                <w:szCs w:val="24"/>
                <w:lang w:val="en-US" w:eastAsia="zh-CN"/>
              </w:rPr>
            </w:pPr>
            <w:r>
              <w:rPr>
                <w:rFonts w:hint="eastAsia"/>
                <w:color w:val="000000"/>
                <w:kern w:val="0"/>
                <w:sz w:val="24"/>
                <w:szCs w:val="24"/>
                <w:lang w:val="en-US" w:eastAsia="zh-CN"/>
              </w:rPr>
              <w:t>5.第六大点中增加一点，作为第（三）点：“（三）鼓励巡网融合发展。巡游出租车经营者通过网络预约方式揽客的,可以按照计价器显示金额收取运费,也可以按照网约车计价规则收取运费,但应当事先在平台以醒目方式告知乘客。巡游出租车经营者按照网约车计价规则收取运费的,应当事先加入网约出租车平台,按照网约出租车相关规定从事经营活动,平台经营者依法承担承运人责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rFonts w:hint="eastAsia"/>
                <w:color w:val="000000"/>
                <w:kern w:val="0"/>
                <w:sz w:val="24"/>
                <w:szCs w:val="24"/>
                <w:lang w:val="en-US" w:eastAsia="zh-CN"/>
              </w:rPr>
            </w:pPr>
            <w:r>
              <w:rPr>
                <w:rFonts w:hint="eastAsia"/>
                <w:color w:val="000000"/>
                <w:kern w:val="0"/>
                <w:sz w:val="24"/>
                <w:szCs w:val="24"/>
                <w:lang w:val="en-US" w:eastAsia="zh-CN"/>
              </w:rPr>
              <w:t>6. 附件第二大点“网约车车辆许可申请材料”中删去“营运车辆综合性能检测合格报告”。</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rFonts w:hint="eastAsia"/>
                <w:color w:val="000000"/>
                <w:kern w:val="0"/>
                <w:sz w:val="24"/>
                <w:szCs w:val="24"/>
                <w:lang w:val="en-US" w:eastAsia="zh-CN"/>
              </w:rPr>
            </w:pPr>
            <w:r>
              <w:rPr>
                <w:rFonts w:hint="eastAsia"/>
                <w:color w:val="000000"/>
                <w:kern w:val="0"/>
                <w:sz w:val="24"/>
                <w:szCs w:val="24"/>
                <w:lang w:val="en-US" w:eastAsia="zh-CN"/>
              </w:rPr>
              <w:t>7. 附件第三大点“网约车驾驶员许可材料”中删去“（四）户籍证明，或社保缴纳证明，或在本市申领的浙江省居住证”。</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outlineLvl w:val="9"/>
              <w:rPr>
                <w:rFonts w:hint="eastAsia"/>
                <w:color w:val="000000"/>
                <w:kern w:val="0"/>
                <w:sz w:val="24"/>
                <w:szCs w:val="24"/>
                <w:lang w:val="en-US" w:eastAsia="zh-CN"/>
              </w:rPr>
            </w:pPr>
            <w:r>
              <w:rPr>
                <w:rFonts w:hint="eastAsia" w:ascii="Calibri" w:hAnsi="Calibri" w:eastAsia="仿宋_GB2312" w:cs="Times New Roman"/>
                <w:color w:val="000000"/>
                <w:kern w:val="0"/>
                <w:sz w:val="24"/>
                <w:szCs w:val="24"/>
                <w:lang w:val="en-US" w:eastAsia="zh-CN" w:bidi="ar-SA"/>
              </w:rPr>
              <w:t>文件条文顺序作相应调整。</w:t>
            </w:r>
          </w:p>
        </w:tc>
      </w:tr>
    </w:tbl>
    <w:p>
      <w:pPr>
        <w:spacing w:after="100" w:afterAutospacing="1" w:line="600" w:lineRule="exact"/>
        <w:jc w:val="both"/>
        <w:rPr>
          <w:rFonts w:hint="eastAsia" w:ascii="方正小标宋简体" w:eastAsia="方正小标宋简体"/>
          <w:sz w:val="44"/>
          <w:szCs w:val="44"/>
          <w:lang w:eastAsia="zh-CN"/>
        </w:rPr>
      </w:pPr>
      <w:bookmarkStart w:id="0" w:name="_GoBack"/>
      <w:bookmarkEnd w:id="0"/>
    </w:p>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Fonts w:hint="eastAsia" w:ascii="仿宋_GB2312"/>
        <w:sz w:val="28"/>
      </w:rPr>
      <w:t xml:space="preserve">─  </w:t>
    </w:r>
    <w:r>
      <w:rPr>
        <w:rFonts w:hint="eastAsia" w:ascii="宋体"/>
        <w:sz w:val="28"/>
      </w:rPr>
      <w:fldChar w:fldCharType="begin"/>
    </w:r>
    <w:r>
      <w:rPr>
        <w:rStyle w:val="8"/>
        <w:rFonts w:hint="eastAsia" w:ascii="宋体"/>
        <w:sz w:val="28"/>
      </w:rPr>
      <w:instrText xml:space="preserve">PAGE  </w:instrText>
    </w:r>
    <w:r>
      <w:rPr>
        <w:rFonts w:ascii="宋体"/>
        <w:sz w:val="28"/>
      </w:rPr>
      <w:fldChar w:fldCharType="separate"/>
    </w:r>
    <w:r>
      <w:rPr>
        <w:rStyle w:val="8"/>
        <w:rFonts w:ascii="宋体"/>
        <w:sz w:val="28"/>
      </w:rPr>
      <w:t>6</w:t>
    </w:r>
    <w:r>
      <w:rPr>
        <w:rFonts w:hint="eastAsia" w:ascii="宋体"/>
        <w:sz w:val="28"/>
      </w:rPr>
      <w:fldChar w:fldCharType="end"/>
    </w:r>
    <w:r>
      <w:rPr>
        <w:rStyle w:val="8"/>
        <w:rFonts w:hint="eastAsia" w:ascii="宋体"/>
        <w:sz w:val="28"/>
      </w:rPr>
      <w:t xml:space="preserve">  </w:t>
    </w:r>
    <w:r>
      <w:rPr>
        <w:rStyle w:val="8"/>
        <w:rFonts w:hint="eastAsia" w:ascii="仿宋_GB2312"/>
        <w:sz w:val="28"/>
      </w:rPr>
      <w:t>─</w:t>
    </w:r>
  </w:p>
  <w:p>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3EE80"/>
    <w:multiLevelType w:val="singleLevel"/>
    <w:tmpl w:val="6333EE8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F33D7E"/>
    <w:rsid w:val="055F0A25"/>
    <w:rsid w:val="0D2D17C5"/>
    <w:rsid w:val="0D494ED2"/>
    <w:rsid w:val="0ED25703"/>
    <w:rsid w:val="105322CD"/>
    <w:rsid w:val="11986930"/>
    <w:rsid w:val="17D00193"/>
    <w:rsid w:val="1B0634FD"/>
    <w:rsid w:val="1B2F5B3A"/>
    <w:rsid w:val="1D3E6C1B"/>
    <w:rsid w:val="1FE435F4"/>
    <w:rsid w:val="2040267B"/>
    <w:rsid w:val="20961D56"/>
    <w:rsid w:val="21697366"/>
    <w:rsid w:val="23106F09"/>
    <w:rsid w:val="25011621"/>
    <w:rsid w:val="2BB853F9"/>
    <w:rsid w:val="2C157A26"/>
    <w:rsid w:val="30421C7D"/>
    <w:rsid w:val="30E844C2"/>
    <w:rsid w:val="39967F6D"/>
    <w:rsid w:val="3A5D57F5"/>
    <w:rsid w:val="40AD261F"/>
    <w:rsid w:val="41DB2DCE"/>
    <w:rsid w:val="480E21AF"/>
    <w:rsid w:val="4A9257DC"/>
    <w:rsid w:val="4B3E5517"/>
    <w:rsid w:val="5982663F"/>
    <w:rsid w:val="5C653EC5"/>
    <w:rsid w:val="5D896315"/>
    <w:rsid w:val="5EE33E33"/>
    <w:rsid w:val="6161047C"/>
    <w:rsid w:val="63FF19FA"/>
    <w:rsid w:val="65F53E66"/>
    <w:rsid w:val="70354CA2"/>
    <w:rsid w:val="705142AA"/>
    <w:rsid w:val="72381B08"/>
    <w:rsid w:val="728B2DFD"/>
    <w:rsid w:val="72F30CE8"/>
    <w:rsid w:val="74D619F1"/>
    <w:rsid w:val="76727845"/>
    <w:rsid w:val="76B64F38"/>
    <w:rsid w:val="77236ADB"/>
    <w:rsid w:val="773B59FF"/>
    <w:rsid w:val="7C813209"/>
    <w:rsid w:val="7D708695"/>
    <w:rsid w:val="7D965AB2"/>
    <w:rsid w:val="BD7C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kern w:val="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font71"/>
    <w:basedOn w:val="7"/>
    <w:qFormat/>
    <w:uiPriority w:val="0"/>
    <w:rPr>
      <w:rFonts w:hint="eastAsia" w:ascii="仿宋_GB2312" w:eastAsia="仿宋_GB2312" w:cs="仿宋_GB2312"/>
      <w:color w:val="000000"/>
      <w:sz w:val="24"/>
      <w:szCs w:val="24"/>
      <w:u w:val="none"/>
    </w:rPr>
  </w:style>
  <w:style w:type="character" w:customStyle="1" w:styleId="10">
    <w:name w:val="font81"/>
    <w:basedOn w:val="7"/>
    <w:qFormat/>
    <w:uiPriority w:val="0"/>
    <w:rPr>
      <w:rFonts w:hint="eastAsia" w:ascii="仿宋_GB2312" w:eastAsia="仿宋_GB2312" w:cs="仿宋_GB2312"/>
      <w:color w:val="000000"/>
      <w:sz w:val="24"/>
      <w:szCs w:val="24"/>
      <w:u w:val="none"/>
    </w:rPr>
  </w:style>
  <w:style w:type="character" w:customStyle="1" w:styleId="11">
    <w:name w:val="font31"/>
    <w:basedOn w:val="7"/>
    <w:qFormat/>
    <w:uiPriority w:val="0"/>
    <w:rPr>
      <w:rFonts w:hint="eastAsia" w:ascii="仿宋_GB2312" w:eastAsia="仿宋_GB2312" w:cs="仿宋_GB2312"/>
      <w:color w:val="000000"/>
      <w:sz w:val="24"/>
      <w:szCs w:val="24"/>
      <w:u w:val="none"/>
    </w:rPr>
  </w:style>
  <w:style w:type="character" w:customStyle="1" w:styleId="12">
    <w:name w:val="font21"/>
    <w:basedOn w:val="7"/>
    <w:qFormat/>
    <w:uiPriority w:val="0"/>
    <w:rPr>
      <w:rFonts w:hint="eastAsia" w:ascii="仿宋_GB2312" w:eastAsia="仿宋_GB2312" w:cs="仿宋_GB2312"/>
      <w:color w:val="000000"/>
      <w:sz w:val="24"/>
      <w:szCs w:val="24"/>
      <w:u w:val="none"/>
    </w:rPr>
  </w:style>
  <w:style w:type="character" w:customStyle="1" w:styleId="13">
    <w:name w:val="font01"/>
    <w:basedOn w:val="7"/>
    <w:qFormat/>
    <w:uiPriority w:val="0"/>
    <w:rPr>
      <w:rFonts w:ascii="Arial" w:hAnsi="Arial" w:cs="Arial"/>
      <w:color w:val="000000"/>
      <w:sz w:val="24"/>
      <w:szCs w:val="24"/>
      <w:u w:val="none"/>
    </w:rPr>
  </w:style>
  <w:style w:type="character" w:customStyle="1" w:styleId="14">
    <w:name w:val="font91"/>
    <w:basedOn w:val="7"/>
    <w:qFormat/>
    <w:uiPriority w:val="0"/>
    <w:rPr>
      <w:rFonts w:hint="default" w:ascii="Arial" w:hAnsi="Arial" w:cs="Arial"/>
      <w:color w:val="000000"/>
      <w:sz w:val="24"/>
      <w:szCs w:val="24"/>
      <w:u w:val="none"/>
    </w:rPr>
  </w:style>
  <w:style w:type="character" w:customStyle="1" w:styleId="15">
    <w:name w:val="font41"/>
    <w:basedOn w:val="7"/>
    <w:qFormat/>
    <w:uiPriority w:val="0"/>
    <w:rPr>
      <w:rFonts w:hint="eastAsia" w:ascii="宋体" w:hAnsi="宋体" w:eastAsia="宋体" w:cs="宋体"/>
      <w:color w:val="000000"/>
      <w:sz w:val="24"/>
      <w:szCs w:val="24"/>
      <w:u w:val="none"/>
    </w:rPr>
  </w:style>
  <w:style w:type="character" w:customStyle="1" w:styleId="16">
    <w:name w:val="font11"/>
    <w:basedOn w:val="7"/>
    <w:qFormat/>
    <w:uiPriority w:val="0"/>
    <w:rPr>
      <w:rFonts w:hint="eastAsia" w:ascii="仿宋_GB2312" w:eastAsia="仿宋_GB2312" w:cs="仿宋_GB2312"/>
      <w:color w:val="000000"/>
      <w:sz w:val="24"/>
      <w:szCs w:val="24"/>
      <w:u w:val="none"/>
    </w:rPr>
  </w:style>
  <w:style w:type="character" w:customStyle="1" w:styleId="17">
    <w:name w:val="font51"/>
    <w:basedOn w:val="7"/>
    <w:qFormat/>
    <w:uiPriority w:val="0"/>
    <w:rPr>
      <w:rFonts w:ascii="Arial" w:hAnsi="Arial" w:cs="Arial"/>
      <w:color w:val="000000"/>
      <w:sz w:val="24"/>
      <w:szCs w:val="24"/>
      <w:u w:val="none"/>
    </w:rPr>
  </w:style>
  <w:style w:type="character" w:customStyle="1" w:styleId="18">
    <w:name w:val="font101"/>
    <w:basedOn w:val="7"/>
    <w:qFormat/>
    <w:uiPriority w:val="0"/>
    <w:rPr>
      <w:rFonts w:hint="eastAsia" w:ascii="仿宋_GB2312" w:eastAsia="仿宋_GB2312" w:cs="仿宋_GB2312"/>
      <w:color w:val="000000"/>
      <w:sz w:val="24"/>
      <w:szCs w:val="24"/>
      <w:u w:val="none"/>
    </w:rPr>
  </w:style>
  <w:style w:type="character" w:customStyle="1" w:styleId="19">
    <w:name w:val="font111"/>
    <w:basedOn w:val="7"/>
    <w:qFormat/>
    <w:uiPriority w:val="0"/>
    <w:rPr>
      <w:rFonts w:hint="eastAsia" w:ascii="宋体" w:hAnsi="宋体" w:eastAsia="宋体" w:cs="宋体"/>
      <w:color w:val="000000"/>
      <w:sz w:val="24"/>
      <w:szCs w:val="24"/>
      <w:u w:val="none"/>
    </w:rPr>
  </w:style>
  <w:style w:type="character" w:customStyle="1" w:styleId="20">
    <w:name w:val="font6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2021-10-21T09:42:00Z</dcterms:created>
  <dc:creator>xsq</dc:creator>
  <cp:lastModifiedBy>thtf</cp:lastModifiedBy>
  <cp:lastPrinted>2022-10-21T10:20:00Z</cp:lastPrinted>
  <dcterms:modified xsi:type="dcterms:W3CDTF">2025-07-06T15:59:54Z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0A6B0974545B79A3D32C6A68654031B5</vt:lpwstr>
  </property>
</Properties>
</file>