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仙居县国有企业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不动产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出租管理办法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为进一步规范县属国有企业中国有独资、国有全资、国有控股企业（以下简称国有企业）的不动产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出租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行为，依据《中华人民共和国企业国有资产法》《企业国有资产交易监督管理办法》等相关规定，结合我县实际，制定本办法。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适用范围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办法所称国有企业不动产出租，是指国有企业将商业（生产）性用房、仓储性用房、场地、构筑物等（以下统称不动产）在一定时期内以有偿方式让渡给公民、法人或其他组织使用的行为。以下不动产的出租暂不适用本办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1.经产权单位认定，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为本单位职工（含离退休人员）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免费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提供基本住所、解决住房困难的房产；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县委、县政府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统一规划出租的廉租住房、居住性用房、人才公寓；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3.县经济开发区产业园国有厂房及配套附属用房租赁。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已列入动迁或拆除计划的不动产原则上不再对外出租，确需对外出租的，应在确保不影响动迁或拆除计划实施的前提下对外临时出租。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出租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除明确可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非公开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出租的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产外，按照公开、公平、公正的原则委托相关机构公开出租，确定承租人。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国有企业不动产公开出租行为应遵循下述基本程序：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内部决策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需依据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内部资产管理制度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不动产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出租的市场调研，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出租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产的实际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状况，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制定出租方案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按照内部决策程序进行审议，并以会议纪要的形式书面决议。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除法律法规另有规定及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发展确有规划外，不得对承租方资格设置不合理的限制性条件。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价值评估：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国有企业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出租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不动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产应委托具有相应资质的资产评估机构，确定出租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不动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产的租赁底价。单次出租面积在60平方米以下的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不动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产可根据市场参考价或参照上轮招租成交价，合理确定租赁底价。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其他居住性用房最长每三年评估一次，适时调整租赁价格。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报送备案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对出租材料的完整性、真实性、合法性进行审核后，报县国资工作中心备案。未备案的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产一律不得出租。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FF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发布公告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：招租公告应在县级或以上的媒体上对外公开发布，公告发布的期限不得少于 10 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（二）租赁期限规定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根据行业和不动产性质的不同合理确定租赁期限，一般不动产招租不得超过 5 年，租赁期内租金应合理上涨。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于出租面积较大、每平方租金较高、一次性装修投入较多、承租人短期内难以收回成本等情况特殊的不动产出租，经国有企业内部决策后可适当放宽租赁年限，其中一般办公用途不得超过6年，生产经营、商业经营用途不得超过9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不动产出租到期后，需进行公开招租的应公开招租。在招租文件中标明可续租的不动产，原租户要求续租的，续租期限不超过原期限，续租期内租金不低于续租日评估价且逐年合理上涨。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（三）租赁底价规则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u w:val="none"/>
          <w:lang w:val="en-US" w:eastAsia="zh-CN" w:bidi="ar"/>
        </w:rPr>
        <w:t>不动产首次公开招租的租赁底价，不得低于评估价。如在规定的信息公告期内未征得承租人的，重新招租的底价不得低于上一轮招租价格的 90%。两次公开招租未成功的，应重新</w:t>
      </w:r>
      <w:r>
        <w:rPr>
          <w:rFonts w:hint="default" w:ascii="方正仿宋_GB2312" w:hAnsi="方正仿宋_GB2312" w:eastAsia="方正仿宋_GB2312" w:cs="方正仿宋_GB2312"/>
          <w:color w:val="auto"/>
          <w:kern w:val="0"/>
          <w:sz w:val="32"/>
          <w:szCs w:val="32"/>
          <w:u w:val="none"/>
          <w:lang w:eastAsia="zh-CN" w:bidi="ar"/>
        </w:rPr>
        <w:t>论证。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  <w:t>备案材料要求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企业报送国资工作中心备案的国有企业不动产出租材料，应当包括：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1.招租方案：方案需涵盖出租不动产的基本情况、权属证明、租赁底价、租赁期限、经营范围要求、公开竞价方式以及其它特别约定条款等内容。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2.《仙居县国有企业不动产公开出租申报表》（见附件 1）；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价值评估凭证；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4.其它需要提供的资料。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招租公告内容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公开发布的招租公告中应包含以下内容：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1.房产的位置、面积、功能和用途等基本信息；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2.出租企业名称、联系人和联系电话；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3.拟招租的期限、对象和必要的条件；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4.拟招租不动产的底价；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5.招租的形式；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6.公示的起讫日期和报名的截止日期；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7.报名地点和方式；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8.接受投诉的单位和联系电话；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9.其他信息。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非公开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出租管理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纳入非公开出租适用范围的不动产，可按要求通过协定价格的方式出租。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非公开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出租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适用范围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国有企业不动产对外非公开出租的适用范围包括：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1.涉及国计民生、公益性、文物保护和基础设施建设等特殊要求，或可能危及公共安全、影响公共卫生和社会秩序等，造成重大社会影响的租赁；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2.党政机关、事业单位或其他特定单位承租并实际使用；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3.租赁期限不超过6个月的短期租赁；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4.集团与其各级子企业或同一集团各级子企业之间的租赁；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5.因招商引资需要，在商业综合体导入优质品牌商家，或在产业园区导入优质实体企业涉及的租赁；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6.法律法规规定或不适于公开招租的其他情形。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非公开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出租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非公开出租前需业主单位履行内部决策流程后，如实填写《仙居县国有企业不动产非公开出租申报表》（见附件 2），明确出租企业与租用主体间的安全、消防责任和协定租金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报县国资工作中心备案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非公开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出租适用范围第3、4条出租的，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由集团内部决策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非公开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出租适用范围第1、2、5、6条出租的，除上述程序外，协定租金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能覆盖企业财务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成本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国资分管县领导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牵头的协调会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决策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不能覆盖的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需经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县长办公会议决策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加强监督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1.公开招租的不动产出租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采用先缴租金后交付使用的形式，国有企业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严格按合同约定时间向承租方收取租金，及时入账并按照财务制度规定进行核算。租赁期满后，国有企业不得认购、退回或折价收购承租人的固定资产或装修费用。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2.国有企业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建立健全不动产管理制度，针对租赁即将到期的不动产及时规划合理的出租方案，配备专人负责出租不动产的实物管理工作。依托不动产管理系统进行资产信息化动态管理，当租赁情况发生变化时，需在 7 日内完成不动产管理系统中出租信息的更新。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国有企业不动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产出租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工作开展情况列入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国有企业负责人经营业绩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考核，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县国资监管机构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适时抽查，并视情予以通报。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（一）本办法由县国资工作中心负责解释。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本办法自发布之日起施行。原有关规定与本办法不一致的，以本办法为准。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仙居国有企业不动产公开出租申报表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仙居国有企业不动产非公开出租申报表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国标黑体" w:hAnsi="国标黑体" w:eastAsia="国标黑体" w:cs="国标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after="100" w:afterAutospacing="1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仙居国有企业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不动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出租申报表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59"/>
        <w:gridCol w:w="595"/>
        <w:gridCol w:w="1697"/>
        <w:gridCol w:w="1149"/>
        <w:gridCol w:w="2201"/>
        <w:gridCol w:w="92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54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申请出租国有资产情况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>（m²）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权证情况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出租期限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999" w:type="dxa"/>
            <w:gridSpan w:val="7"/>
            <w:noWrap w:val="0"/>
            <w:vAlign w:val="top"/>
          </w:tcPr>
          <w:p>
            <w:pPr>
              <w:ind w:left="6160" w:hanging="6160" w:hangingChars="2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9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780" w:firstLineChars="135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盖章：         签字：</w:t>
            </w: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9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盖章：        签字：</w:t>
            </w: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说明：权证情况填列权证号；未取得权证的填列可证明权清晰无争议的文件号，无书面文件的需附其他证明材料。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经办人：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国标黑体" w:hAnsi="国标黑体" w:eastAsia="国标黑体" w:cs="国标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after="100" w:afterAutospacing="1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仙居国有企业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不动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非公开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59"/>
        <w:gridCol w:w="595"/>
        <w:gridCol w:w="2083"/>
        <w:gridCol w:w="1560"/>
        <w:gridCol w:w="1404"/>
        <w:gridCol w:w="92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54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用单位</w:t>
            </w:r>
          </w:p>
        </w:tc>
        <w:tc>
          <w:tcPr>
            <w:tcW w:w="486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协定租金</w:t>
            </w:r>
          </w:p>
        </w:tc>
        <w:tc>
          <w:tcPr>
            <w:tcW w:w="486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国有资产情况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>（m²）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权证情况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期限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7999" w:type="dxa"/>
            <w:gridSpan w:val="7"/>
            <w:noWrap w:val="0"/>
            <w:vAlign w:val="top"/>
          </w:tcPr>
          <w:p>
            <w:pPr>
              <w:ind w:left="6160" w:hanging="6160" w:hangingChars="2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9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盖章：                </w:t>
            </w:r>
          </w:p>
          <w:p>
            <w:pPr>
              <w:ind w:firstLine="5880" w:firstLineChars="210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9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盖章：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9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盖章：            </w:t>
            </w:r>
          </w:p>
          <w:p>
            <w:pPr>
              <w:ind w:firstLine="5880" w:firstLineChars="210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说明：权证情况填列具体权证号；未取得权证的填列可证明权清晰无争议的文件号，无书面文件的需附其他证明材料。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经办人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C954B"/>
    <w:multiLevelType w:val="singleLevel"/>
    <w:tmpl w:val="B30C95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9097C8"/>
    <w:multiLevelType w:val="singleLevel"/>
    <w:tmpl w:val="DB9097C8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4CA02CC9"/>
    <w:multiLevelType w:val="singleLevel"/>
    <w:tmpl w:val="4CA02CC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zE4MTcyZjlmOTA1YTU4OGVmNmM0Nzc0MDNjMmUifQ=="/>
  </w:docVars>
  <w:rsids>
    <w:rsidRoot w:val="01B660D6"/>
    <w:rsid w:val="01B660D6"/>
    <w:rsid w:val="14942005"/>
    <w:rsid w:val="17862F27"/>
    <w:rsid w:val="17EF36B0"/>
    <w:rsid w:val="1ACF6D67"/>
    <w:rsid w:val="1FBF5108"/>
    <w:rsid w:val="27FD14CA"/>
    <w:rsid w:val="357339A5"/>
    <w:rsid w:val="3BD71087"/>
    <w:rsid w:val="3F7B65A2"/>
    <w:rsid w:val="44045CAB"/>
    <w:rsid w:val="45FDC95A"/>
    <w:rsid w:val="52724308"/>
    <w:rsid w:val="56D52874"/>
    <w:rsid w:val="589FD82F"/>
    <w:rsid w:val="5A184B0F"/>
    <w:rsid w:val="5BFA4C06"/>
    <w:rsid w:val="5DF179D9"/>
    <w:rsid w:val="5F47A483"/>
    <w:rsid w:val="5F8A397A"/>
    <w:rsid w:val="5FB77B26"/>
    <w:rsid w:val="5FC8687B"/>
    <w:rsid w:val="63C5131D"/>
    <w:rsid w:val="642E6902"/>
    <w:rsid w:val="677E909D"/>
    <w:rsid w:val="6DDF9478"/>
    <w:rsid w:val="6DE71DDB"/>
    <w:rsid w:val="6FFACF8F"/>
    <w:rsid w:val="6FFF0AE1"/>
    <w:rsid w:val="6FFF728D"/>
    <w:rsid w:val="708143D4"/>
    <w:rsid w:val="76FB82F3"/>
    <w:rsid w:val="77D31B80"/>
    <w:rsid w:val="77E73523"/>
    <w:rsid w:val="7AF5B25E"/>
    <w:rsid w:val="7BCF5962"/>
    <w:rsid w:val="7BFF3381"/>
    <w:rsid w:val="7CFE20B9"/>
    <w:rsid w:val="7D798522"/>
    <w:rsid w:val="7F5A27BE"/>
    <w:rsid w:val="7F71E3B0"/>
    <w:rsid w:val="7FAFA990"/>
    <w:rsid w:val="87DBB511"/>
    <w:rsid w:val="91FF3BAD"/>
    <w:rsid w:val="9B7B3339"/>
    <w:rsid w:val="ABDF3C3F"/>
    <w:rsid w:val="B23CB144"/>
    <w:rsid w:val="B2F43D70"/>
    <w:rsid w:val="B4FB3D7F"/>
    <w:rsid w:val="BBDDEC1E"/>
    <w:rsid w:val="BBFFE209"/>
    <w:rsid w:val="BF6F7A50"/>
    <w:rsid w:val="BFE5469A"/>
    <w:rsid w:val="CECF44BF"/>
    <w:rsid w:val="D5776CB3"/>
    <w:rsid w:val="D6DF41CC"/>
    <w:rsid w:val="DEEE85C1"/>
    <w:rsid w:val="DFDBF11F"/>
    <w:rsid w:val="E3FDF64E"/>
    <w:rsid w:val="EEDDDAA9"/>
    <w:rsid w:val="EFFFBCA9"/>
    <w:rsid w:val="F5FF67E3"/>
    <w:rsid w:val="F8FBF622"/>
    <w:rsid w:val="FCEFCE47"/>
    <w:rsid w:val="FCF7A7B0"/>
    <w:rsid w:val="FDDA7853"/>
    <w:rsid w:val="FDFF9F9B"/>
    <w:rsid w:val="FEDF31DA"/>
    <w:rsid w:val="FFA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1413</Words>
  <Characters>1433</Characters>
  <Lines>1</Lines>
  <Paragraphs>1</Paragraphs>
  <TotalTime>0</TotalTime>
  <ScaleCrop>false</ScaleCrop>
  <LinksUpToDate>false</LinksUpToDate>
  <CharactersWithSpaces>1450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2025-04-18T06:41:00Z</dcterms:created>
  <dc:creator>应媚媚</dc:creator>
  <cp:lastModifiedBy>ZLQ</cp:lastModifiedBy>
  <cp:lastPrinted>2025-04-21T16:45:00Z</cp:lastPrinted>
  <dcterms:modified xsi:type="dcterms:W3CDTF">2025-05-09T13:06:56Z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8DA5CF0DDA7A410D84C75BFC9C1993E8_11</vt:lpwstr>
  </property>
  <property fmtid="{D5CDD505-2E9C-101B-9397-08002B2CF9AE}" pid="4" name="KSOTemplateDocerSaveRecord">
    <vt:lpwstr>eyJoZGlkIjoiYzFhMTE4Y2NkMmNkYWMzNzk4MTJmNDMxNDdmYWZiNzgifQ==</vt:lpwstr>
  </property>
</Properties>
</file>