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spacing w:before="0" w:after="0" w:line="560" w:lineRule="exact"/>
        <w:outlineLvl w:val="9"/>
        <w:rPr>
          <w:rFonts w:ascii="Times New Roman" w:hAnsi="Times New Roman" w:eastAsia="仿宋_GB2312"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hint="eastAsia" w:ascii="方正仿宋_GBK" w:hAnsi="方正仿宋_GBK" w:eastAsia="方正仿宋_GBK" w:cs="方正仿宋_GBK"/>
          <w:sz w:val="44"/>
          <w:szCs w:val="44"/>
        </w:rPr>
      </w:pPr>
      <w:r>
        <w:rPr>
          <w:rFonts w:hint="eastAsia" w:ascii="方正仿宋_GBK" w:hAnsi="方正仿宋_GBK" w:eastAsia="方正仿宋_GBK" w:cs="方正仿宋_GBK"/>
          <w:sz w:val="44"/>
          <w:szCs w:val="44"/>
        </w:rPr>
        <w:t>德清县新能源充电基础设施建设</w:t>
      </w:r>
    </w:p>
    <w:p>
      <w:pPr>
        <w:jc w:val="center"/>
        <w:rPr>
          <w:rFonts w:hint="eastAsia" w:ascii="方正仿宋_GBK" w:hAnsi="方正仿宋_GBK" w:eastAsia="方正仿宋_GBK" w:cs="方正仿宋_GBK"/>
          <w:sz w:val="44"/>
          <w:szCs w:val="44"/>
        </w:rPr>
      </w:pPr>
      <w:r>
        <w:rPr>
          <w:rFonts w:hint="eastAsia" w:ascii="方正仿宋_GBK" w:hAnsi="方正仿宋_GBK" w:eastAsia="方正仿宋_GBK" w:cs="方正仿宋_GBK"/>
          <w:sz w:val="44"/>
          <w:szCs w:val="44"/>
          <w:lang w:val="en-US" w:eastAsia="zh-CN"/>
        </w:rPr>
        <w:t>布局</w:t>
      </w:r>
      <w:r>
        <w:rPr>
          <w:rFonts w:hint="eastAsia" w:ascii="方正仿宋_GBK" w:hAnsi="方正仿宋_GBK" w:eastAsia="方正仿宋_GBK" w:cs="方正仿宋_GBK"/>
          <w:sz w:val="44"/>
          <w:szCs w:val="44"/>
        </w:rPr>
        <w:t>规划（202</w:t>
      </w:r>
      <w:r>
        <w:rPr>
          <w:rFonts w:hint="eastAsia" w:ascii="方正仿宋_GBK" w:hAnsi="方正仿宋_GBK" w:eastAsia="方正仿宋_GBK" w:cs="方正仿宋_GBK"/>
          <w:sz w:val="44"/>
          <w:szCs w:val="44"/>
          <w:lang w:val="en-US" w:eastAsia="zh-CN"/>
        </w:rPr>
        <w:t>3</w:t>
      </w:r>
      <w:r>
        <w:rPr>
          <w:rFonts w:hint="eastAsia" w:ascii="方正仿宋_GBK" w:hAnsi="方正仿宋_GBK" w:eastAsia="方正仿宋_GBK" w:cs="方正仿宋_GBK"/>
          <w:sz w:val="44"/>
          <w:szCs w:val="44"/>
        </w:rPr>
        <w:t>-20</w:t>
      </w:r>
      <w:r>
        <w:rPr>
          <w:rFonts w:hint="eastAsia" w:ascii="方正仿宋_GBK" w:hAnsi="方正仿宋_GBK" w:eastAsia="方正仿宋_GBK" w:cs="方正仿宋_GBK"/>
          <w:sz w:val="44"/>
          <w:szCs w:val="44"/>
          <w:lang w:val="en-US" w:eastAsia="zh-CN"/>
        </w:rPr>
        <w:t>25</w:t>
      </w:r>
      <w:r>
        <w:rPr>
          <w:rFonts w:hint="eastAsia" w:ascii="方正仿宋_GBK" w:hAnsi="方正仿宋_GBK" w:eastAsia="方正仿宋_GBK" w:cs="方正仿宋_GBK"/>
          <w:sz w:val="44"/>
          <w:szCs w:val="44"/>
        </w:rPr>
        <w:t>年）</w:t>
      </w: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rPr>
          <w:rFonts w:ascii="Times New Roman" w:hAnsi="Times New Roman" w:eastAsia="楷体_GB2312" w:cs="Times New Roman"/>
        </w:rPr>
      </w:pPr>
    </w:p>
    <w:p>
      <w:pPr>
        <w:jc w:val="center"/>
      </w:pPr>
    </w:p>
    <w:p>
      <w:pPr>
        <w:jc w:val="center"/>
      </w:pPr>
    </w:p>
    <w:p>
      <w:pPr>
        <w:jc w:val="center"/>
      </w:pPr>
    </w:p>
    <w:p/>
    <w:p/>
    <w:p/>
    <w:p>
      <w:pPr>
        <w:spacing w:before="408" w:beforeLines="100" w:after="408" w:afterLines="100" w:line="360" w:lineRule="auto"/>
        <w:jc w:val="center"/>
        <w:rPr>
          <w:rFonts w:hint="eastAsia" w:ascii="仿宋_GB2312" w:eastAsia="仿宋_GB2312"/>
          <w:b/>
          <w:sz w:val="32"/>
          <w:szCs w:val="32"/>
          <w:lang w:val="en-US" w:eastAsia="zh-CN"/>
        </w:rPr>
      </w:pPr>
      <w:r>
        <w:rPr>
          <w:rFonts w:hint="eastAsia" w:ascii="仿宋_GB2312" w:eastAsia="仿宋_GB2312"/>
          <w:b/>
          <w:sz w:val="32"/>
          <w:szCs w:val="32"/>
          <w:lang w:val="en-US" w:eastAsia="zh-CN"/>
        </w:rPr>
        <w:t>德清县发展和改革局</w:t>
      </w:r>
    </w:p>
    <w:p>
      <w:pPr>
        <w:spacing w:before="408" w:beforeLines="100" w:after="408" w:afterLines="100" w:line="360" w:lineRule="auto"/>
        <w:jc w:val="center"/>
        <w:rPr>
          <w:rFonts w:hint="eastAsia" w:ascii="仿宋_GB2312" w:eastAsia="仿宋_GB2312"/>
          <w:b/>
          <w:sz w:val="32"/>
          <w:szCs w:val="32"/>
          <w:lang w:val="en-US" w:eastAsia="zh-CN"/>
        </w:rPr>
      </w:pPr>
      <w:r>
        <w:rPr>
          <w:rFonts w:hint="eastAsia" w:ascii="仿宋_GB2312" w:eastAsia="仿宋_GB2312"/>
          <w:b/>
          <w:sz w:val="32"/>
          <w:szCs w:val="32"/>
          <w:lang w:val="en-US" w:eastAsia="zh-CN"/>
        </w:rPr>
        <w:t>上海见路企业管理咨询有限公司</w:t>
      </w:r>
    </w:p>
    <w:p>
      <w:pPr>
        <w:spacing w:before="408" w:beforeLines="100" w:after="408" w:afterLines="100" w:line="360" w:lineRule="auto"/>
        <w:jc w:val="center"/>
        <w:rPr>
          <w:rFonts w:hint="eastAsia" w:ascii="仿宋_GB2312" w:eastAsia="仿宋_GB2312"/>
          <w:b/>
          <w:sz w:val="32"/>
          <w:szCs w:val="32"/>
          <w:lang w:val="en-US" w:eastAsia="zh-CN"/>
        </w:rPr>
      </w:pPr>
      <w:r>
        <w:rPr>
          <w:rFonts w:hint="eastAsia" w:ascii="仿宋_GB2312" w:eastAsia="仿宋_GB2312"/>
          <w:b/>
          <w:sz w:val="32"/>
          <w:szCs w:val="32"/>
          <w:lang w:val="en-US" w:eastAsia="zh-CN"/>
        </w:rPr>
        <w:t>2023年8月</w:t>
      </w:r>
    </w:p>
    <w:p>
      <w:pPr>
        <w:spacing w:before="408" w:beforeLines="100" w:after="408" w:afterLines="100" w:line="360" w:lineRule="auto"/>
        <w:jc w:val="center"/>
        <w:rPr>
          <w:rFonts w:ascii="仿宋_GB2312" w:eastAsia="仿宋_GB2312"/>
          <w:b/>
          <w:sz w:val="32"/>
          <w:szCs w:val="32"/>
        </w:rPr>
        <w:sectPr>
          <w:headerReference r:id="rId3" w:type="default"/>
          <w:pgSz w:w="11906" w:h="16838"/>
          <w:pgMar w:top="1440" w:right="1800" w:bottom="1440" w:left="1800" w:header="851" w:footer="992" w:gutter="0"/>
          <w:pgNumType w:start="1"/>
          <w:cols w:space="425" w:num="1"/>
          <w:docGrid w:type="lines" w:linePitch="408" w:charSpace="0"/>
        </w:sectPr>
      </w:pPr>
    </w:p>
    <w:p>
      <w:pPr>
        <w:spacing w:before="240" w:beforeLines="100" w:after="240" w:afterLines="100"/>
        <w:jc w:val="center"/>
        <w:rPr>
          <w:rFonts w:ascii="仿宋_GB2312" w:hAnsi="仿宋_GB2312" w:eastAsia="仿宋_GB2312" w:cs="仿宋_GB2312"/>
          <w:b/>
        </w:rPr>
      </w:pPr>
      <w:r>
        <w:rPr>
          <w:rFonts w:hint="eastAsia" w:ascii="仿宋_GB2312" w:hAnsi="仿宋_GB2312" w:eastAsia="仿宋_GB2312" w:cs="仿宋_GB2312"/>
          <w:b/>
        </w:rPr>
        <w:t>目  录</w:t>
      </w:r>
    </w:p>
    <w:sdt>
      <w:sdtPr>
        <w:rPr>
          <w:rFonts w:ascii="宋体" w:hAnsi="宋体" w:eastAsia="宋体"/>
          <w:sz w:val="21"/>
        </w:rPr>
        <w:id w:val="147459191"/>
        <w:docPartObj>
          <w:docPartGallery w:val="Table of Contents"/>
          <w:docPartUnique/>
        </w:docPartObj>
      </w:sdtPr>
      <w:sdtEndPr>
        <w:rPr>
          <w:rFonts w:ascii="宋体" w:hAnsi="宋体" w:eastAsia="宋体"/>
          <w:sz w:val="28"/>
          <w:szCs w:val="28"/>
        </w:rPr>
      </w:sdtEndPr>
      <w:sdtContent>
        <w:p>
          <w:pPr>
            <w:jc w:val="center"/>
          </w:pPr>
        </w:p>
        <w:p>
          <w:pPr>
            <w:pStyle w:val="17"/>
            <w:tabs>
              <w:tab w:val="right" w:leader="dot" w:pos="8309"/>
            </w:tabs>
          </w:pPr>
          <w:r>
            <w:rPr>
              <w:sz w:val="24"/>
              <w:szCs w:val="24"/>
            </w:rPr>
            <w:fldChar w:fldCharType="begin"/>
          </w:r>
          <w:r>
            <w:rPr>
              <w:sz w:val="24"/>
              <w:szCs w:val="24"/>
            </w:rPr>
            <w:instrText xml:space="preserve">TOC \o "1-2" \h \u </w:instrText>
          </w:r>
          <w:r>
            <w:rPr>
              <w:sz w:val="24"/>
              <w:szCs w:val="24"/>
            </w:rPr>
            <w:fldChar w:fldCharType="separate"/>
          </w:r>
          <w:r>
            <w:rPr>
              <w:szCs w:val="24"/>
            </w:rPr>
            <w:fldChar w:fldCharType="begin"/>
          </w:r>
          <w:r>
            <w:rPr>
              <w:szCs w:val="24"/>
            </w:rPr>
            <w:instrText xml:space="preserve"> HYPERLINK \l _Toc30008 </w:instrText>
          </w:r>
          <w:r>
            <w:rPr>
              <w:szCs w:val="24"/>
            </w:rPr>
            <w:fldChar w:fldCharType="separate"/>
          </w:r>
          <w:r>
            <w:rPr>
              <w:rFonts w:hint="eastAsia" w:ascii="方正黑体_GBK" w:hAnsi="方正黑体_GBK" w:eastAsia="方正黑体_GBK" w:cs="方正黑体_GBK"/>
              <w:bCs/>
              <w:szCs w:val="32"/>
            </w:rPr>
            <w:t>一、规划背景</w:t>
          </w:r>
          <w:r>
            <w:tab/>
          </w:r>
          <w:r>
            <w:fldChar w:fldCharType="begin"/>
          </w:r>
          <w:r>
            <w:instrText xml:space="preserve"> PAGEREF _Toc30008 \h </w:instrText>
          </w:r>
          <w:r>
            <w:fldChar w:fldCharType="separate"/>
          </w:r>
          <w:r>
            <w:t>1</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_Toc2851 </w:instrText>
          </w:r>
          <w:r>
            <w:rPr>
              <w:szCs w:val="24"/>
            </w:rPr>
            <w:fldChar w:fldCharType="separate"/>
          </w:r>
          <w:r>
            <w:rPr>
              <w:rFonts w:hint="eastAsia" w:ascii="方正楷体_GBK" w:hAnsi="方正楷体_GBK" w:eastAsia="方正楷体_GBK" w:cs="方正楷体_GBK"/>
              <w:bCs/>
              <w:szCs w:val="32"/>
            </w:rPr>
            <w:t>（一）规划背景</w:t>
          </w:r>
          <w:r>
            <w:tab/>
          </w:r>
          <w:r>
            <w:fldChar w:fldCharType="begin"/>
          </w:r>
          <w:r>
            <w:instrText xml:space="preserve"> PAGEREF _Toc2851 \h </w:instrText>
          </w:r>
          <w:r>
            <w:fldChar w:fldCharType="separate"/>
          </w:r>
          <w:r>
            <w:t>1</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_Toc13818 </w:instrText>
          </w:r>
          <w:r>
            <w:rPr>
              <w:szCs w:val="24"/>
            </w:rPr>
            <w:fldChar w:fldCharType="separate"/>
          </w:r>
          <w:r>
            <w:rPr>
              <w:rFonts w:hint="eastAsia" w:ascii="方正楷体_GBK" w:hAnsi="方正楷体_GBK" w:eastAsia="方正楷体_GBK" w:cs="方正楷体_GBK"/>
              <w:bCs/>
              <w:szCs w:val="32"/>
            </w:rPr>
            <w:t>（二）规划范围</w:t>
          </w:r>
          <w:r>
            <w:tab/>
          </w:r>
          <w:r>
            <w:fldChar w:fldCharType="begin"/>
          </w:r>
          <w:r>
            <w:instrText xml:space="preserve"> PAGEREF _Toc13818 \h </w:instrText>
          </w:r>
          <w:r>
            <w:fldChar w:fldCharType="separate"/>
          </w:r>
          <w:r>
            <w:t>1</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_Toc30431 </w:instrText>
          </w:r>
          <w:r>
            <w:rPr>
              <w:szCs w:val="24"/>
            </w:rPr>
            <w:fldChar w:fldCharType="separate"/>
          </w:r>
          <w:r>
            <w:rPr>
              <w:rFonts w:hint="eastAsia" w:ascii="方正楷体_GBK" w:hAnsi="方正楷体_GBK" w:eastAsia="方正楷体_GBK" w:cs="方正楷体_GBK"/>
              <w:bCs/>
              <w:szCs w:val="32"/>
            </w:rPr>
            <w:t>（三）规划期限</w:t>
          </w:r>
          <w:r>
            <w:tab/>
          </w:r>
          <w:r>
            <w:fldChar w:fldCharType="begin"/>
          </w:r>
          <w:r>
            <w:instrText xml:space="preserve"> PAGEREF _Toc30431 \h </w:instrText>
          </w:r>
          <w:r>
            <w:fldChar w:fldCharType="separate"/>
          </w:r>
          <w:r>
            <w:t>2</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_Toc6759 </w:instrText>
          </w:r>
          <w:r>
            <w:rPr>
              <w:szCs w:val="24"/>
            </w:rPr>
            <w:fldChar w:fldCharType="separate"/>
          </w:r>
          <w:r>
            <w:rPr>
              <w:rFonts w:hint="eastAsia" w:ascii="方正楷体_GBK" w:hAnsi="方正楷体_GBK" w:eastAsia="方正楷体_GBK" w:cs="方正楷体_GBK"/>
              <w:bCs/>
              <w:szCs w:val="32"/>
            </w:rPr>
            <w:t>（四）规划依据</w:t>
          </w:r>
          <w:r>
            <w:tab/>
          </w:r>
          <w:r>
            <w:fldChar w:fldCharType="begin"/>
          </w:r>
          <w:r>
            <w:instrText xml:space="preserve"> PAGEREF _Toc6759 \h </w:instrText>
          </w:r>
          <w:r>
            <w:fldChar w:fldCharType="separate"/>
          </w:r>
          <w:r>
            <w:t>2</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_Toc15830 </w:instrText>
          </w:r>
          <w:r>
            <w:rPr>
              <w:szCs w:val="24"/>
            </w:rPr>
            <w:fldChar w:fldCharType="separate"/>
          </w:r>
          <w:r>
            <w:rPr>
              <w:rFonts w:hint="eastAsia" w:ascii="方正楷体_GBK" w:hAnsi="方正楷体_GBK" w:eastAsia="方正楷体_GBK" w:cs="方正楷体_GBK"/>
              <w:bCs/>
              <w:szCs w:val="32"/>
            </w:rPr>
            <w:t>（五）规划原则</w:t>
          </w:r>
          <w:r>
            <w:tab/>
          </w:r>
          <w:r>
            <w:fldChar w:fldCharType="begin"/>
          </w:r>
          <w:r>
            <w:instrText xml:space="preserve"> PAGEREF _Toc15830 \h </w:instrText>
          </w:r>
          <w:r>
            <w:fldChar w:fldCharType="separate"/>
          </w:r>
          <w:r>
            <w:t>3</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_Toc10085 </w:instrText>
          </w:r>
          <w:r>
            <w:rPr>
              <w:szCs w:val="24"/>
            </w:rPr>
            <w:fldChar w:fldCharType="separate"/>
          </w:r>
          <w:r>
            <w:rPr>
              <w:rFonts w:hint="eastAsia" w:ascii="方正黑体_GBK" w:hAnsi="方正黑体_GBK" w:eastAsia="方正黑体_GBK" w:cs="方正黑体_GBK"/>
              <w:bCs/>
              <w:szCs w:val="32"/>
            </w:rPr>
            <w:t>二、城市发展概况</w:t>
          </w:r>
          <w:r>
            <w:tab/>
          </w:r>
          <w:r>
            <w:fldChar w:fldCharType="begin"/>
          </w:r>
          <w:r>
            <w:instrText xml:space="preserve"> PAGEREF _Toc10085 \h </w:instrText>
          </w:r>
          <w:r>
            <w:fldChar w:fldCharType="separate"/>
          </w:r>
          <w:r>
            <w:t>5</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_Toc13652 </w:instrText>
          </w:r>
          <w:r>
            <w:rPr>
              <w:szCs w:val="24"/>
            </w:rPr>
            <w:fldChar w:fldCharType="separate"/>
          </w:r>
          <w:r>
            <w:rPr>
              <w:rFonts w:hint="eastAsia" w:ascii="方正楷体_GBK" w:hAnsi="方正楷体_GBK" w:eastAsia="方正楷体_GBK" w:cs="方正楷体_GBK"/>
              <w:bCs/>
              <w:szCs w:val="32"/>
            </w:rPr>
            <w:t>（一）经济社会发展</w:t>
          </w:r>
          <w:r>
            <w:tab/>
          </w:r>
          <w:r>
            <w:fldChar w:fldCharType="begin"/>
          </w:r>
          <w:r>
            <w:instrText xml:space="preserve"> PAGEREF _Toc13652 \h </w:instrText>
          </w:r>
          <w:r>
            <w:fldChar w:fldCharType="separate"/>
          </w:r>
          <w:r>
            <w:t>5</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_Toc6435 </w:instrText>
          </w:r>
          <w:r>
            <w:rPr>
              <w:szCs w:val="24"/>
            </w:rPr>
            <w:fldChar w:fldCharType="separate"/>
          </w:r>
          <w:r>
            <w:rPr>
              <w:rFonts w:hint="eastAsia" w:ascii="方正楷体_GBK" w:hAnsi="方正楷体_GBK" w:eastAsia="方正楷体_GBK" w:cs="方正楷体_GBK"/>
              <w:bCs/>
              <w:szCs w:val="32"/>
            </w:rPr>
            <w:t>（二）电力需求发展</w:t>
          </w:r>
          <w:r>
            <w:tab/>
          </w:r>
          <w:r>
            <w:fldChar w:fldCharType="begin"/>
          </w:r>
          <w:r>
            <w:instrText xml:space="preserve"> PAGEREF _Toc6435 \h </w:instrText>
          </w:r>
          <w:r>
            <w:fldChar w:fldCharType="separate"/>
          </w:r>
          <w:r>
            <w:t>6</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_Toc15511 </w:instrText>
          </w:r>
          <w:r>
            <w:rPr>
              <w:szCs w:val="24"/>
            </w:rPr>
            <w:fldChar w:fldCharType="separate"/>
          </w:r>
          <w:r>
            <w:rPr>
              <w:rFonts w:hint="eastAsia" w:ascii="方正楷体_GBK" w:hAnsi="方正楷体_GBK" w:eastAsia="方正楷体_GBK" w:cs="方正楷体_GBK"/>
              <w:bCs/>
              <w:szCs w:val="32"/>
            </w:rPr>
            <w:t>（三）电动汽车充电需求发展</w:t>
          </w:r>
          <w:r>
            <w:tab/>
          </w:r>
          <w:r>
            <w:fldChar w:fldCharType="begin"/>
          </w:r>
          <w:r>
            <w:instrText xml:space="preserve"> PAGEREF _Toc15511 \h </w:instrText>
          </w:r>
          <w:r>
            <w:fldChar w:fldCharType="separate"/>
          </w:r>
          <w:r>
            <w:t>7</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_Toc16005 </w:instrText>
          </w:r>
          <w:r>
            <w:rPr>
              <w:szCs w:val="24"/>
            </w:rPr>
            <w:fldChar w:fldCharType="separate"/>
          </w:r>
          <w:r>
            <w:rPr>
              <w:rFonts w:hint="eastAsia" w:ascii="方正黑体_GBK" w:hAnsi="方正黑体_GBK" w:eastAsia="方正黑体_GBK" w:cs="方正黑体_GBK"/>
              <w:bCs/>
              <w:szCs w:val="32"/>
            </w:rPr>
            <w:t>三、电动汽车及充电设施发展现状</w:t>
          </w:r>
          <w:r>
            <w:tab/>
          </w:r>
          <w:r>
            <w:fldChar w:fldCharType="begin"/>
          </w:r>
          <w:r>
            <w:instrText xml:space="preserve"> PAGEREF _Toc16005 \h </w:instrText>
          </w:r>
          <w:r>
            <w:fldChar w:fldCharType="separate"/>
          </w:r>
          <w:r>
            <w:t>8</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_Toc10505 </w:instrText>
          </w:r>
          <w:r>
            <w:rPr>
              <w:szCs w:val="24"/>
            </w:rPr>
            <w:fldChar w:fldCharType="separate"/>
          </w:r>
          <w:r>
            <w:rPr>
              <w:rFonts w:hint="eastAsia" w:ascii="方正楷体_GBK" w:hAnsi="方正楷体_GBK" w:eastAsia="方正楷体_GBK" w:cs="方正楷体_GBK"/>
              <w:bCs/>
              <w:szCs w:val="32"/>
            </w:rPr>
            <w:t>（一）电动汽车推广应用现状</w:t>
          </w:r>
          <w:r>
            <w:tab/>
          </w:r>
          <w:r>
            <w:fldChar w:fldCharType="begin"/>
          </w:r>
          <w:r>
            <w:instrText xml:space="preserve"> PAGEREF _Toc10505 \h </w:instrText>
          </w:r>
          <w:r>
            <w:fldChar w:fldCharType="separate"/>
          </w:r>
          <w:r>
            <w:t>8</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_Toc14596 </w:instrText>
          </w:r>
          <w:r>
            <w:rPr>
              <w:szCs w:val="24"/>
            </w:rPr>
            <w:fldChar w:fldCharType="separate"/>
          </w:r>
          <w:r>
            <w:rPr>
              <w:rFonts w:hint="eastAsia" w:ascii="方正楷体_GBK" w:hAnsi="方正楷体_GBK" w:eastAsia="方正楷体_GBK" w:cs="方正楷体_GBK"/>
              <w:bCs/>
              <w:szCs w:val="32"/>
            </w:rPr>
            <w:t>（二）充电设施建设现状</w:t>
          </w:r>
          <w:r>
            <w:tab/>
          </w:r>
          <w:r>
            <w:fldChar w:fldCharType="begin"/>
          </w:r>
          <w:r>
            <w:instrText xml:space="preserve"> PAGEREF _Toc14596 \h </w:instrText>
          </w:r>
          <w:r>
            <w:fldChar w:fldCharType="separate"/>
          </w:r>
          <w:r>
            <w:t>9</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_Toc31021 </w:instrText>
          </w:r>
          <w:r>
            <w:rPr>
              <w:szCs w:val="24"/>
            </w:rPr>
            <w:fldChar w:fldCharType="separate"/>
          </w:r>
          <w:r>
            <w:rPr>
              <w:rFonts w:hint="eastAsia" w:ascii="方正楷体_GBK" w:hAnsi="方正楷体_GBK" w:eastAsia="方正楷体_GBK" w:cs="方正楷体_GBK"/>
              <w:bCs/>
              <w:szCs w:val="32"/>
            </w:rPr>
            <w:t>（三）问题与挑战</w:t>
          </w:r>
          <w:r>
            <w:tab/>
          </w:r>
          <w:r>
            <w:fldChar w:fldCharType="begin"/>
          </w:r>
          <w:r>
            <w:instrText xml:space="preserve"> PAGEREF _Toc31021 \h </w:instrText>
          </w:r>
          <w:r>
            <w:fldChar w:fldCharType="separate"/>
          </w:r>
          <w:r>
            <w:t>11</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_Toc3160 </w:instrText>
          </w:r>
          <w:r>
            <w:rPr>
              <w:szCs w:val="24"/>
            </w:rPr>
            <w:fldChar w:fldCharType="separate"/>
          </w:r>
          <w:r>
            <w:rPr>
              <w:rFonts w:hint="eastAsia" w:ascii="方正黑体_GBK" w:hAnsi="方正黑体_GBK" w:eastAsia="方正黑体_GBK" w:cs="方正黑体_GBK"/>
              <w:bCs/>
              <w:szCs w:val="32"/>
            </w:rPr>
            <w:t>四、充电基础设施发展需求预测</w:t>
          </w:r>
          <w:r>
            <w:tab/>
          </w:r>
          <w:r>
            <w:fldChar w:fldCharType="begin"/>
          </w:r>
          <w:r>
            <w:instrText xml:space="preserve"> PAGEREF _Toc3160 \h </w:instrText>
          </w:r>
          <w:r>
            <w:fldChar w:fldCharType="separate"/>
          </w:r>
          <w:r>
            <w:t>13</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_Toc1194 </w:instrText>
          </w:r>
          <w:r>
            <w:rPr>
              <w:szCs w:val="24"/>
            </w:rPr>
            <w:fldChar w:fldCharType="separate"/>
          </w:r>
          <w:r>
            <w:rPr>
              <w:rFonts w:hint="eastAsia" w:ascii="方正楷体_GBK" w:hAnsi="方正楷体_GBK" w:eastAsia="方正楷体_GBK" w:cs="方正楷体_GBK"/>
              <w:bCs/>
              <w:szCs w:val="32"/>
            </w:rPr>
            <w:t>（一）电动汽车推广应用预测</w:t>
          </w:r>
          <w:r>
            <w:tab/>
          </w:r>
          <w:r>
            <w:fldChar w:fldCharType="begin"/>
          </w:r>
          <w:r>
            <w:instrText xml:space="preserve"> PAGEREF _Toc1194 \h </w:instrText>
          </w:r>
          <w:r>
            <w:fldChar w:fldCharType="separate"/>
          </w:r>
          <w:r>
            <w:t>13</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_Toc18759 </w:instrText>
          </w:r>
          <w:r>
            <w:rPr>
              <w:szCs w:val="24"/>
            </w:rPr>
            <w:fldChar w:fldCharType="separate"/>
          </w:r>
          <w:r>
            <w:rPr>
              <w:rFonts w:hint="eastAsia" w:ascii="方正楷体_GBK" w:hAnsi="方正楷体_GBK" w:eastAsia="方正楷体_GBK" w:cs="方正楷体_GBK"/>
              <w:bCs/>
              <w:szCs w:val="32"/>
            </w:rPr>
            <w:t>（二）智能充电服务网络规划原则</w:t>
          </w:r>
          <w:r>
            <w:tab/>
          </w:r>
          <w:r>
            <w:fldChar w:fldCharType="begin"/>
          </w:r>
          <w:r>
            <w:instrText xml:space="preserve"> PAGEREF _Toc18759 \h </w:instrText>
          </w:r>
          <w:r>
            <w:fldChar w:fldCharType="separate"/>
          </w:r>
          <w:r>
            <w:t>18</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_Toc28449 </w:instrText>
          </w:r>
          <w:r>
            <w:rPr>
              <w:szCs w:val="24"/>
            </w:rPr>
            <w:fldChar w:fldCharType="separate"/>
          </w:r>
          <w:r>
            <w:rPr>
              <w:rFonts w:hint="eastAsia" w:ascii="方正楷体_GBK" w:hAnsi="方正楷体_GBK" w:eastAsia="方正楷体_GBK" w:cs="方正楷体_GBK"/>
              <w:bCs/>
              <w:szCs w:val="32"/>
            </w:rPr>
            <w:t>（三）</w:t>
          </w:r>
          <w:r>
            <w:rPr>
              <w:rFonts w:hint="eastAsia" w:ascii="方正仿宋_GBK" w:hAnsi="方正仿宋_GBK" w:eastAsia="方正仿宋_GBK" w:cs="方正仿宋_GBK"/>
              <w:szCs w:val="32"/>
            </w:rPr>
            <w:t>智能充电服务网络</w:t>
          </w:r>
          <w:r>
            <w:rPr>
              <w:rFonts w:hint="eastAsia" w:ascii="方正楷体_GBK" w:hAnsi="方正楷体_GBK" w:eastAsia="方正楷体_GBK" w:cs="方正楷体_GBK"/>
              <w:bCs/>
              <w:szCs w:val="32"/>
            </w:rPr>
            <w:t>需求预测</w:t>
          </w:r>
          <w:r>
            <w:tab/>
          </w:r>
          <w:r>
            <w:fldChar w:fldCharType="begin"/>
          </w:r>
          <w:r>
            <w:instrText xml:space="preserve"> PAGEREF _Toc28449 \h </w:instrText>
          </w:r>
          <w:r>
            <w:fldChar w:fldCharType="separate"/>
          </w:r>
          <w:r>
            <w:t>20</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_Toc17844 </w:instrText>
          </w:r>
          <w:r>
            <w:rPr>
              <w:szCs w:val="24"/>
            </w:rPr>
            <w:fldChar w:fldCharType="separate"/>
          </w:r>
          <w:r>
            <w:rPr>
              <w:rFonts w:hint="eastAsia" w:ascii="方正黑体_GBK" w:hAnsi="方正黑体_GBK" w:eastAsia="方正黑体_GBK" w:cs="方正黑体_GBK"/>
              <w:bCs/>
              <w:szCs w:val="32"/>
            </w:rPr>
            <w:t>五、电动汽车充电基础设施发展目标</w:t>
          </w:r>
          <w:r>
            <w:tab/>
          </w:r>
          <w:r>
            <w:fldChar w:fldCharType="begin"/>
          </w:r>
          <w:r>
            <w:instrText xml:space="preserve"> PAGEREF _Toc17844 \h </w:instrText>
          </w:r>
          <w:r>
            <w:fldChar w:fldCharType="separate"/>
          </w:r>
          <w:r>
            <w:t>25</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_Toc16386 </w:instrText>
          </w:r>
          <w:r>
            <w:rPr>
              <w:szCs w:val="24"/>
            </w:rPr>
            <w:fldChar w:fldCharType="separate"/>
          </w:r>
          <w:r>
            <w:rPr>
              <w:rFonts w:hint="eastAsia" w:ascii="方正楷体_GBK" w:hAnsi="方正楷体_GBK" w:eastAsia="方正楷体_GBK" w:cs="方正楷体_GBK"/>
              <w:bCs/>
              <w:szCs w:val="32"/>
            </w:rPr>
            <w:t>（一）总体目标</w:t>
          </w:r>
          <w:r>
            <w:tab/>
          </w:r>
          <w:r>
            <w:fldChar w:fldCharType="begin"/>
          </w:r>
          <w:r>
            <w:instrText xml:space="preserve"> PAGEREF _Toc16386 \h </w:instrText>
          </w:r>
          <w:r>
            <w:fldChar w:fldCharType="separate"/>
          </w:r>
          <w:r>
            <w:t>25</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_Toc5042 </w:instrText>
          </w:r>
          <w:r>
            <w:rPr>
              <w:szCs w:val="24"/>
            </w:rPr>
            <w:fldChar w:fldCharType="separate"/>
          </w:r>
          <w:r>
            <w:rPr>
              <w:rFonts w:hint="eastAsia" w:ascii="方正楷体_GBK" w:hAnsi="方正楷体_GBK" w:eastAsia="方正楷体_GBK" w:cs="方正楷体_GBK"/>
              <w:bCs/>
              <w:szCs w:val="32"/>
            </w:rPr>
            <w:t>（二）分区域目标</w:t>
          </w:r>
          <w:r>
            <w:tab/>
          </w:r>
          <w:r>
            <w:fldChar w:fldCharType="begin"/>
          </w:r>
          <w:r>
            <w:instrText xml:space="preserve"> PAGEREF _Toc5042 \h </w:instrText>
          </w:r>
          <w:r>
            <w:fldChar w:fldCharType="separate"/>
          </w:r>
          <w:r>
            <w:t>27</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_Toc23238 </w:instrText>
          </w:r>
          <w:r>
            <w:rPr>
              <w:szCs w:val="24"/>
            </w:rPr>
            <w:fldChar w:fldCharType="separate"/>
          </w:r>
          <w:r>
            <w:rPr>
              <w:rFonts w:hint="eastAsia" w:ascii="方正黑体_GBK" w:hAnsi="方正黑体_GBK" w:eastAsia="方正黑体_GBK" w:cs="方正黑体_GBK"/>
              <w:bCs/>
              <w:szCs w:val="32"/>
            </w:rPr>
            <w:t>六、电动汽车充电基础设施布局</w:t>
          </w:r>
          <w:r>
            <w:tab/>
          </w:r>
          <w:r>
            <w:fldChar w:fldCharType="begin"/>
          </w:r>
          <w:r>
            <w:instrText xml:space="preserve"> PAGEREF _Toc23238 \h </w:instrText>
          </w:r>
          <w:r>
            <w:fldChar w:fldCharType="separate"/>
          </w:r>
          <w:r>
            <w:t>29</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_Toc24914 </w:instrText>
          </w:r>
          <w:r>
            <w:rPr>
              <w:szCs w:val="24"/>
            </w:rPr>
            <w:fldChar w:fldCharType="separate"/>
          </w:r>
          <w:r>
            <w:rPr>
              <w:rFonts w:hint="eastAsia" w:ascii="方正楷体_GBK" w:hAnsi="方正楷体_GBK" w:eastAsia="方正楷体_GBK" w:cs="方正楷体_GBK"/>
              <w:bCs/>
              <w:szCs w:val="32"/>
            </w:rPr>
            <w:t>（一）布局重点</w:t>
          </w:r>
          <w:r>
            <w:tab/>
          </w:r>
          <w:r>
            <w:fldChar w:fldCharType="begin"/>
          </w:r>
          <w:r>
            <w:instrText xml:space="preserve"> PAGEREF _Toc24914 \h </w:instrText>
          </w:r>
          <w:r>
            <w:fldChar w:fldCharType="separate"/>
          </w:r>
          <w:r>
            <w:t>29</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_Toc5062 </w:instrText>
          </w:r>
          <w:r>
            <w:rPr>
              <w:szCs w:val="24"/>
            </w:rPr>
            <w:fldChar w:fldCharType="separate"/>
          </w:r>
          <w:r>
            <w:rPr>
              <w:rFonts w:hint="eastAsia" w:ascii="方正楷体_GBK" w:hAnsi="方正楷体_GBK" w:eastAsia="方正楷体_GBK" w:cs="方正楷体_GBK"/>
              <w:bCs/>
              <w:szCs w:val="32"/>
            </w:rPr>
            <w:t>（二）区域划分</w:t>
          </w:r>
          <w:r>
            <w:tab/>
          </w:r>
          <w:r>
            <w:fldChar w:fldCharType="begin"/>
          </w:r>
          <w:r>
            <w:instrText xml:space="preserve"> PAGEREF _Toc5062 \h </w:instrText>
          </w:r>
          <w:r>
            <w:fldChar w:fldCharType="separate"/>
          </w:r>
          <w:r>
            <w:t>30</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_Toc24015 </w:instrText>
          </w:r>
          <w:r>
            <w:rPr>
              <w:szCs w:val="24"/>
            </w:rPr>
            <w:fldChar w:fldCharType="separate"/>
          </w:r>
          <w:r>
            <w:rPr>
              <w:rFonts w:hint="eastAsia" w:ascii="方正楷体_GBK" w:hAnsi="方正楷体_GBK" w:eastAsia="方正楷体_GBK" w:cs="方正楷体_GBK"/>
              <w:bCs/>
              <w:szCs w:val="32"/>
            </w:rPr>
            <w:t>（三）站点要求</w:t>
          </w:r>
          <w:r>
            <w:tab/>
          </w:r>
          <w:r>
            <w:fldChar w:fldCharType="begin"/>
          </w:r>
          <w:r>
            <w:instrText xml:space="preserve"> PAGEREF _Toc24015 \h </w:instrText>
          </w:r>
          <w:r>
            <w:fldChar w:fldCharType="separate"/>
          </w:r>
          <w:r>
            <w:t>30</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_Toc118 </w:instrText>
          </w:r>
          <w:r>
            <w:rPr>
              <w:szCs w:val="24"/>
            </w:rPr>
            <w:fldChar w:fldCharType="separate"/>
          </w:r>
          <w:r>
            <w:rPr>
              <w:rFonts w:hint="eastAsia" w:ascii="方正楷体_GBK" w:hAnsi="方正楷体_GBK" w:eastAsia="方正楷体_GBK" w:cs="方正楷体_GBK"/>
              <w:bCs/>
              <w:szCs w:val="32"/>
            </w:rPr>
            <w:t>（四）服务公共设施规划布点</w:t>
          </w:r>
          <w:r>
            <w:tab/>
          </w:r>
          <w:r>
            <w:fldChar w:fldCharType="begin"/>
          </w:r>
          <w:r>
            <w:instrText xml:space="preserve"> PAGEREF _Toc118 \h </w:instrText>
          </w:r>
          <w:r>
            <w:fldChar w:fldCharType="separate"/>
          </w:r>
          <w:r>
            <w:t>30</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_Toc26475 </w:instrText>
          </w:r>
          <w:r>
            <w:rPr>
              <w:szCs w:val="24"/>
            </w:rPr>
            <w:fldChar w:fldCharType="separate"/>
          </w:r>
          <w:r>
            <w:rPr>
              <w:rFonts w:hint="eastAsia" w:ascii="方正楷体_GBK" w:hAnsi="方正楷体_GBK" w:eastAsia="方正楷体_GBK" w:cs="方正楷体_GBK"/>
              <w:bCs/>
              <w:szCs w:val="32"/>
            </w:rPr>
            <w:t>（五）服务产业发展规划布点</w:t>
          </w:r>
          <w:r>
            <w:tab/>
          </w:r>
          <w:r>
            <w:fldChar w:fldCharType="begin"/>
          </w:r>
          <w:r>
            <w:instrText xml:space="preserve"> PAGEREF _Toc26475 \h </w:instrText>
          </w:r>
          <w:r>
            <w:fldChar w:fldCharType="separate"/>
          </w:r>
          <w:r>
            <w:t>32</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_Toc4675 </w:instrText>
          </w:r>
          <w:r>
            <w:rPr>
              <w:szCs w:val="24"/>
            </w:rPr>
            <w:fldChar w:fldCharType="separate"/>
          </w:r>
          <w:r>
            <w:rPr>
              <w:rFonts w:hint="eastAsia" w:ascii="方正楷体_GBK" w:hAnsi="方正楷体_GBK" w:eastAsia="方正楷体_GBK" w:cs="方正楷体_GBK"/>
              <w:bCs/>
              <w:szCs w:val="32"/>
            </w:rPr>
            <w:t>（六）服务</w:t>
          </w:r>
          <w:r>
            <w:rPr>
              <w:rFonts w:hint="eastAsia" w:ascii="方正楷体_GBK" w:hAnsi="方正楷体_GBK" w:eastAsia="方正楷体_GBK" w:cs="方正楷体_GBK"/>
              <w:bCs/>
              <w:szCs w:val="32"/>
              <w:lang w:val="en-US" w:eastAsia="zh-CN"/>
            </w:rPr>
            <w:t>景点民宿</w:t>
          </w:r>
          <w:r>
            <w:rPr>
              <w:rFonts w:hint="eastAsia" w:ascii="方正楷体_GBK" w:hAnsi="方正楷体_GBK" w:eastAsia="方正楷体_GBK" w:cs="方正楷体_GBK"/>
              <w:bCs/>
              <w:szCs w:val="32"/>
            </w:rPr>
            <w:t>规划布点</w:t>
          </w:r>
          <w:r>
            <w:tab/>
          </w:r>
          <w:r>
            <w:fldChar w:fldCharType="begin"/>
          </w:r>
          <w:r>
            <w:instrText xml:space="preserve"> PAGEREF _Toc4675 \h </w:instrText>
          </w:r>
          <w:r>
            <w:fldChar w:fldCharType="separate"/>
          </w:r>
          <w:r>
            <w:t>33</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_Toc19781 </w:instrText>
          </w:r>
          <w:r>
            <w:rPr>
              <w:szCs w:val="24"/>
            </w:rPr>
            <w:fldChar w:fldCharType="separate"/>
          </w:r>
          <w:r>
            <w:rPr>
              <w:rFonts w:hint="eastAsia" w:ascii="方正楷体_GBK" w:hAnsi="方正楷体_GBK" w:eastAsia="方正楷体_GBK" w:cs="方正楷体_GBK"/>
              <w:bCs/>
              <w:szCs w:val="32"/>
            </w:rPr>
            <w:t>（七）服务</w:t>
          </w:r>
          <w:r>
            <w:rPr>
              <w:rFonts w:hint="eastAsia" w:ascii="方正楷体_GBK" w:hAnsi="方正楷体_GBK" w:eastAsia="方正楷体_GBK" w:cs="方正楷体_GBK"/>
              <w:bCs/>
              <w:szCs w:val="32"/>
              <w:lang w:val="en-US" w:eastAsia="zh-CN"/>
            </w:rPr>
            <w:t>美丽</w:t>
          </w:r>
          <w:r>
            <w:rPr>
              <w:rFonts w:hint="eastAsia" w:ascii="方正楷体_GBK" w:hAnsi="方正楷体_GBK" w:eastAsia="方正楷体_GBK" w:cs="方正楷体_GBK"/>
              <w:bCs/>
              <w:szCs w:val="32"/>
            </w:rPr>
            <w:t>农村规划布点</w:t>
          </w:r>
          <w:r>
            <w:tab/>
          </w:r>
          <w:r>
            <w:fldChar w:fldCharType="begin"/>
          </w:r>
          <w:r>
            <w:instrText xml:space="preserve"> PAGEREF _Toc19781 \h </w:instrText>
          </w:r>
          <w:r>
            <w:fldChar w:fldCharType="separate"/>
          </w:r>
          <w:r>
            <w:t>34</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_Toc6542 </w:instrText>
          </w:r>
          <w:r>
            <w:rPr>
              <w:szCs w:val="24"/>
            </w:rPr>
            <w:fldChar w:fldCharType="separate"/>
          </w:r>
          <w:r>
            <w:rPr>
              <w:rFonts w:hint="eastAsia" w:ascii="方正楷体_GBK" w:hAnsi="方正楷体_GBK" w:eastAsia="方正楷体_GBK" w:cs="方正楷体_GBK"/>
              <w:bCs/>
              <w:szCs w:val="32"/>
            </w:rPr>
            <w:t>（八）服务老旧小区规划布点</w:t>
          </w:r>
          <w:r>
            <w:tab/>
          </w:r>
          <w:r>
            <w:fldChar w:fldCharType="begin"/>
          </w:r>
          <w:r>
            <w:instrText xml:space="preserve"> PAGEREF _Toc6542 \h </w:instrText>
          </w:r>
          <w:r>
            <w:fldChar w:fldCharType="separate"/>
          </w:r>
          <w:r>
            <w:t>36</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_Toc27894 </w:instrText>
          </w:r>
          <w:r>
            <w:rPr>
              <w:szCs w:val="24"/>
            </w:rPr>
            <w:fldChar w:fldCharType="separate"/>
          </w:r>
          <w:r>
            <w:rPr>
              <w:rFonts w:hint="eastAsia" w:ascii="方正楷体_GBK" w:hAnsi="方正楷体_GBK" w:eastAsia="方正楷体_GBK" w:cs="方正楷体_GBK"/>
              <w:bCs/>
              <w:szCs w:val="32"/>
            </w:rPr>
            <w:t>（九）服务公交车规划布点</w:t>
          </w:r>
          <w:r>
            <w:tab/>
          </w:r>
          <w:r>
            <w:fldChar w:fldCharType="begin"/>
          </w:r>
          <w:r>
            <w:instrText xml:space="preserve"> PAGEREF _Toc27894 \h </w:instrText>
          </w:r>
          <w:r>
            <w:fldChar w:fldCharType="separate"/>
          </w:r>
          <w:r>
            <w:t>37</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_Toc31071 </w:instrText>
          </w:r>
          <w:r>
            <w:rPr>
              <w:szCs w:val="24"/>
            </w:rPr>
            <w:fldChar w:fldCharType="separate"/>
          </w:r>
          <w:r>
            <w:rPr>
              <w:rFonts w:hint="eastAsia" w:ascii="方正楷体_GBK" w:hAnsi="方正楷体_GBK" w:eastAsia="方正楷体_GBK" w:cs="方正楷体_GBK"/>
              <w:bCs/>
              <w:szCs w:val="32"/>
              <w:lang w:eastAsia="zh-CN"/>
            </w:rPr>
            <w:t>（</w:t>
          </w:r>
          <w:r>
            <w:rPr>
              <w:rFonts w:hint="eastAsia" w:ascii="方正楷体_GBK" w:hAnsi="方正楷体_GBK" w:eastAsia="方正楷体_GBK" w:cs="方正楷体_GBK"/>
              <w:bCs/>
              <w:szCs w:val="32"/>
              <w:lang w:val="en-US" w:eastAsia="zh-CN"/>
            </w:rPr>
            <w:t>十）服务公路沿线规划布点</w:t>
          </w:r>
          <w:r>
            <w:tab/>
          </w:r>
          <w:r>
            <w:fldChar w:fldCharType="begin"/>
          </w:r>
          <w:r>
            <w:instrText xml:space="preserve"> PAGEREF _Toc31071 \h </w:instrText>
          </w:r>
          <w:r>
            <w:fldChar w:fldCharType="separate"/>
          </w:r>
          <w:r>
            <w:t>38</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_Toc29171 </w:instrText>
          </w:r>
          <w:r>
            <w:rPr>
              <w:szCs w:val="24"/>
            </w:rPr>
            <w:fldChar w:fldCharType="separate"/>
          </w:r>
          <w:r>
            <w:rPr>
              <w:rFonts w:hint="eastAsia" w:ascii="方正黑体_GBK" w:hAnsi="方正黑体_GBK" w:eastAsia="方正黑体_GBK" w:cs="方正黑体_GBK"/>
              <w:bCs/>
              <w:szCs w:val="32"/>
            </w:rPr>
            <w:t>七、规划实施保障措施</w:t>
          </w:r>
          <w:r>
            <w:tab/>
          </w:r>
          <w:r>
            <w:fldChar w:fldCharType="begin"/>
          </w:r>
          <w:r>
            <w:instrText xml:space="preserve"> PAGEREF _Toc29171 \h </w:instrText>
          </w:r>
          <w:r>
            <w:fldChar w:fldCharType="separate"/>
          </w:r>
          <w:r>
            <w:t>38</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_Toc22974 </w:instrText>
          </w:r>
          <w:r>
            <w:rPr>
              <w:szCs w:val="24"/>
            </w:rPr>
            <w:fldChar w:fldCharType="separate"/>
          </w:r>
          <w:r>
            <w:rPr>
              <w:rFonts w:hint="eastAsia" w:ascii="方正楷体_GBK" w:hAnsi="方正楷体_GBK" w:eastAsia="方正楷体_GBK" w:cs="方正楷体_GBK"/>
              <w:bCs/>
              <w:szCs w:val="32"/>
            </w:rPr>
            <w:t>（一）加强组织领导</w:t>
          </w:r>
          <w:r>
            <w:tab/>
          </w:r>
          <w:r>
            <w:fldChar w:fldCharType="begin"/>
          </w:r>
          <w:r>
            <w:instrText xml:space="preserve"> PAGEREF _Toc22974 \h </w:instrText>
          </w:r>
          <w:r>
            <w:fldChar w:fldCharType="separate"/>
          </w:r>
          <w:r>
            <w:t>39</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_Toc27899 </w:instrText>
          </w:r>
          <w:r>
            <w:rPr>
              <w:szCs w:val="24"/>
            </w:rPr>
            <w:fldChar w:fldCharType="separate"/>
          </w:r>
          <w:r>
            <w:rPr>
              <w:rFonts w:hint="eastAsia" w:ascii="方正楷体_GBK" w:hAnsi="方正楷体_GBK" w:eastAsia="方正楷体_GBK" w:cs="方正楷体_GBK"/>
              <w:bCs/>
              <w:szCs w:val="32"/>
            </w:rPr>
            <w:t>（二）加大政策扶持</w:t>
          </w:r>
          <w:r>
            <w:tab/>
          </w:r>
          <w:r>
            <w:fldChar w:fldCharType="begin"/>
          </w:r>
          <w:r>
            <w:instrText xml:space="preserve"> PAGEREF _Toc27899 \h </w:instrText>
          </w:r>
          <w:r>
            <w:fldChar w:fldCharType="separate"/>
          </w:r>
          <w:r>
            <w:t>39</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_Toc21978 </w:instrText>
          </w:r>
          <w:r>
            <w:rPr>
              <w:szCs w:val="24"/>
            </w:rPr>
            <w:fldChar w:fldCharType="separate"/>
          </w:r>
          <w:r>
            <w:rPr>
              <w:rFonts w:hint="eastAsia" w:ascii="方正楷体_GBK" w:hAnsi="方正楷体_GBK" w:eastAsia="方正楷体_GBK" w:cs="方正楷体_GBK"/>
              <w:bCs/>
              <w:szCs w:val="32"/>
            </w:rPr>
            <w:t>（三）加强电力配套</w:t>
          </w:r>
          <w:r>
            <w:tab/>
          </w:r>
          <w:r>
            <w:fldChar w:fldCharType="begin"/>
          </w:r>
          <w:r>
            <w:instrText xml:space="preserve"> PAGEREF _Toc21978 \h </w:instrText>
          </w:r>
          <w:r>
            <w:fldChar w:fldCharType="separate"/>
          </w:r>
          <w:r>
            <w:t>39</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_Toc27689 </w:instrText>
          </w:r>
          <w:r>
            <w:rPr>
              <w:szCs w:val="24"/>
            </w:rPr>
            <w:fldChar w:fldCharType="separate"/>
          </w:r>
          <w:r>
            <w:rPr>
              <w:rFonts w:hint="eastAsia" w:ascii="方正楷体_GBK" w:hAnsi="方正楷体_GBK" w:eastAsia="方正楷体_GBK" w:cs="方正楷体_GBK"/>
              <w:bCs/>
              <w:szCs w:val="32"/>
            </w:rPr>
            <w:t>（四）加强宣传引导</w:t>
          </w:r>
          <w:r>
            <w:tab/>
          </w:r>
          <w:r>
            <w:fldChar w:fldCharType="begin"/>
          </w:r>
          <w:r>
            <w:instrText xml:space="preserve"> PAGEREF _Toc27689 \h </w:instrText>
          </w:r>
          <w:r>
            <w:fldChar w:fldCharType="separate"/>
          </w:r>
          <w:r>
            <w:t>40</w:t>
          </w:r>
          <w:r>
            <w:fldChar w:fldCharType="end"/>
          </w:r>
          <w:r>
            <w:rPr>
              <w:szCs w:val="24"/>
            </w:rPr>
            <w:fldChar w:fldCharType="end"/>
          </w:r>
        </w:p>
        <w:p>
          <w:pPr>
            <w:pStyle w:val="21"/>
            <w:tabs>
              <w:tab w:val="right" w:leader="dot" w:pos="8309"/>
            </w:tabs>
          </w:pPr>
          <w:r>
            <w:rPr>
              <w:szCs w:val="24"/>
            </w:rPr>
            <w:fldChar w:fldCharType="begin"/>
          </w:r>
          <w:r>
            <w:rPr>
              <w:szCs w:val="24"/>
            </w:rPr>
            <w:instrText xml:space="preserve"> HYPERLINK \l _Toc19560 </w:instrText>
          </w:r>
          <w:r>
            <w:rPr>
              <w:szCs w:val="24"/>
            </w:rPr>
            <w:fldChar w:fldCharType="separate"/>
          </w:r>
          <w:r>
            <w:rPr>
              <w:rFonts w:hint="eastAsia" w:ascii="方正楷体_GBK" w:hAnsi="方正楷体_GBK" w:eastAsia="方正楷体_GBK" w:cs="方正楷体_GBK"/>
              <w:bCs/>
              <w:szCs w:val="32"/>
            </w:rPr>
            <w:t>（五）加强安全管理</w:t>
          </w:r>
          <w:r>
            <w:tab/>
          </w:r>
          <w:r>
            <w:fldChar w:fldCharType="begin"/>
          </w:r>
          <w:r>
            <w:instrText xml:space="preserve"> PAGEREF _Toc19560 \h </w:instrText>
          </w:r>
          <w:r>
            <w:fldChar w:fldCharType="separate"/>
          </w:r>
          <w:r>
            <w:t>40</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_Toc16477 </w:instrText>
          </w:r>
          <w:r>
            <w:rPr>
              <w:szCs w:val="24"/>
            </w:rPr>
            <w:fldChar w:fldCharType="separate"/>
          </w:r>
          <w:r>
            <w:rPr>
              <w:rFonts w:hint="eastAsia" w:ascii="方正仿宋_GBK" w:hAnsi="方正仿宋_GBK" w:eastAsia="方正仿宋_GBK" w:cs="方正仿宋_GBK"/>
              <w:bCs/>
              <w:szCs w:val="32"/>
            </w:rPr>
            <w:t>附录1德清县现状充电站汇总表</w:t>
          </w:r>
          <w:r>
            <w:tab/>
          </w:r>
          <w:r>
            <w:fldChar w:fldCharType="begin"/>
          </w:r>
          <w:r>
            <w:instrText xml:space="preserve"> PAGEREF _Toc16477 \h </w:instrText>
          </w:r>
          <w:r>
            <w:fldChar w:fldCharType="separate"/>
          </w:r>
          <w:r>
            <w:t>41</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_Toc27604 </w:instrText>
          </w:r>
          <w:r>
            <w:rPr>
              <w:szCs w:val="24"/>
            </w:rPr>
            <w:fldChar w:fldCharType="separate"/>
          </w:r>
          <w:r>
            <w:rPr>
              <w:rFonts w:hint="eastAsia" w:ascii="方正仿宋_GBK" w:hAnsi="方正仿宋_GBK" w:eastAsia="方正仿宋_GBK" w:cs="方正仿宋_GBK"/>
              <w:bCs/>
              <w:szCs w:val="32"/>
            </w:rPr>
            <w:t>附录2德清县规划充电站汇总表（按服务功能排序）</w:t>
          </w:r>
          <w:r>
            <w:tab/>
          </w:r>
          <w:r>
            <w:fldChar w:fldCharType="begin"/>
          </w:r>
          <w:r>
            <w:instrText xml:space="preserve"> PAGEREF _Toc27604 \h </w:instrText>
          </w:r>
          <w:r>
            <w:fldChar w:fldCharType="separate"/>
          </w:r>
          <w:r>
            <w:t>43</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_Toc17175 </w:instrText>
          </w:r>
          <w:r>
            <w:rPr>
              <w:szCs w:val="24"/>
            </w:rPr>
            <w:fldChar w:fldCharType="separate"/>
          </w:r>
          <w:r>
            <w:rPr>
              <w:rFonts w:hint="eastAsia" w:ascii="方正仿宋_GBK" w:hAnsi="方正仿宋_GBK" w:eastAsia="方正仿宋_GBK" w:cs="方正仿宋_GBK"/>
              <w:bCs/>
              <w:szCs w:val="32"/>
            </w:rPr>
            <w:t>附录3德清县规划充电站汇总表（按乡村排序）</w:t>
          </w:r>
          <w:r>
            <w:tab/>
          </w:r>
          <w:r>
            <w:fldChar w:fldCharType="begin"/>
          </w:r>
          <w:r>
            <w:instrText xml:space="preserve"> PAGEREF _Toc17175 \h </w:instrText>
          </w:r>
          <w:r>
            <w:fldChar w:fldCharType="separate"/>
          </w:r>
          <w:r>
            <w:t>48</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_Toc18424 </w:instrText>
          </w:r>
          <w:r>
            <w:rPr>
              <w:szCs w:val="24"/>
            </w:rPr>
            <w:fldChar w:fldCharType="separate"/>
          </w:r>
          <w:r>
            <w:rPr>
              <w:rFonts w:hint="eastAsia" w:ascii="方正仿宋_GBK" w:hAnsi="方正仿宋_GBK" w:eastAsia="方正仿宋_GBK" w:cs="方正仿宋_GBK"/>
              <w:bCs/>
              <w:szCs w:val="32"/>
            </w:rPr>
            <w:t>附录4德清县城区现状充电站布点</w:t>
          </w:r>
          <w:r>
            <w:tab/>
          </w:r>
          <w:r>
            <w:fldChar w:fldCharType="begin"/>
          </w:r>
          <w:r>
            <w:instrText xml:space="preserve"> PAGEREF _Toc18424 \h </w:instrText>
          </w:r>
          <w:r>
            <w:fldChar w:fldCharType="separate"/>
          </w:r>
          <w:r>
            <w:t>53</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_Toc2192 </w:instrText>
          </w:r>
          <w:r>
            <w:rPr>
              <w:szCs w:val="24"/>
            </w:rPr>
            <w:fldChar w:fldCharType="separate"/>
          </w:r>
          <w:r>
            <w:rPr>
              <w:rFonts w:hint="eastAsia" w:ascii="方正仿宋_GBK" w:hAnsi="方正仿宋_GBK" w:eastAsia="方正仿宋_GBK" w:cs="方正仿宋_GBK"/>
              <w:kern w:val="2"/>
              <w:szCs w:val="32"/>
            </w:rPr>
            <w:t>附录5德清县乡村现状充电站布点</w:t>
          </w:r>
          <w:r>
            <w:tab/>
          </w:r>
          <w:r>
            <w:fldChar w:fldCharType="begin"/>
          </w:r>
          <w:r>
            <w:instrText xml:space="preserve"> PAGEREF _Toc2192 \h </w:instrText>
          </w:r>
          <w:r>
            <w:fldChar w:fldCharType="separate"/>
          </w:r>
          <w:r>
            <w:t>54</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_Toc32645 </w:instrText>
          </w:r>
          <w:r>
            <w:rPr>
              <w:szCs w:val="24"/>
            </w:rPr>
            <w:fldChar w:fldCharType="separate"/>
          </w:r>
          <w:r>
            <w:rPr>
              <w:rFonts w:hint="eastAsia" w:ascii="方正仿宋_GBK" w:hAnsi="方正仿宋_GBK" w:eastAsia="方正仿宋_GBK" w:cs="方正仿宋_GBK"/>
              <w:bCs/>
              <w:szCs w:val="32"/>
            </w:rPr>
            <w:t>附录6德清县主城区规划充电站布点</w:t>
          </w:r>
          <w:r>
            <w:tab/>
          </w:r>
          <w:r>
            <w:fldChar w:fldCharType="begin"/>
          </w:r>
          <w:r>
            <w:instrText xml:space="preserve"> PAGEREF _Toc32645 \h </w:instrText>
          </w:r>
          <w:r>
            <w:fldChar w:fldCharType="separate"/>
          </w:r>
          <w:r>
            <w:t>55</w:t>
          </w:r>
          <w:r>
            <w:fldChar w:fldCharType="end"/>
          </w:r>
          <w:r>
            <w:rPr>
              <w:szCs w:val="24"/>
            </w:rPr>
            <w:fldChar w:fldCharType="end"/>
          </w:r>
        </w:p>
        <w:p>
          <w:pPr>
            <w:pStyle w:val="17"/>
            <w:tabs>
              <w:tab w:val="right" w:leader="dot" w:pos="8309"/>
            </w:tabs>
          </w:pPr>
          <w:r>
            <w:rPr>
              <w:szCs w:val="24"/>
            </w:rPr>
            <w:fldChar w:fldCharType="begin"/>
          </w:r>
          <w:r>
            <w:rPr>
              <w:szCs w:val="24"/>
            </w:rPr>
            <w:instrText xml:space="preserve"> HYPERLINK \l _Toc31979 </w:instrText>
          </w:r>
          <w:r>
            <w:rPr>
              <w:szCs w:val="24"/>
            </w:rPr>
            <w:fldChar w:fldCharType="separate"/>
          </w:r>
          <w:r>
            <w:rPr>
              <w:rFonts w:hint="eastAsia" w:ascii="方正仿宋_GBK" w:hAnsi="方正仿宋_GBK" w:eastAsia="方正仿宋_GBK" w:cs="方正仿宋_GBK"/>
              <w:kern w:val="2"/>
              <w:szCs w:val="32"/>
            </w:rPr>
            <w:t>附录7德清县乡村规划充电站布点</w:t>
          </w:r>
          <w:r>
            <w:tab/>
          </w:r>
          <w:r>
            <w:fldChar w:fldCharType="begin"/>
          </w:r>
          <w:r>
            <w:instrText xml:space="preserve"> PAGEREF _Toc31979 \h </w:instrText>
          </w:r>
          <w:r>
            <w:fldChar w:fldCharType="separate"/>
          </w:r>
          <w:r>
            <w:t>56</w:t>
          </w:r>
          <w:r>
            <w:fldChar w:fldCharType="end"/>
          </w:r>
          <w:r>
            <w:rPr>
              <w:szCs w:val="24"/>
            </w:rPr>
            <w:fldChar w:fldCharType="end"/>
          </w:r>
        </w:p>
        <w:p>
          <w:pPr>
            <w:rPr>
              <w:sz w:val="28"/>
              <w:szCs w:val="28"/>
            </w:rPr>
          </w:pPr>
          <w:r>
            <w:rPr>
              <w:szCs w:val="24"/>
            </w:rPr>
            <w:fldChar w:fldCharType="end"/>
          </w:r>
        </w:p>
      </w:sdtContent>
    </w:sdt>
    <w:p>
      <w:pPr>
        <w:jc w:val="center"/>
        <w:rPr>
          <w:rFonts w:ascii="方正黑体_GBK" w:hAnsi="方正黑体_GBK" w:eastAsia="方正黑体_GBK" w:cs="方正黑体_GBK"/>
          <w:b/>
          <w:bCs/>
          <w:sz w:val="28"/>
          <w:szCs w:val="28"/>
        </w:rPr>
        <w:sectPr>
          <w:footerReference r:id="rId4" w:type="default"/>
          <w:pgSz w:w="11909" w:h="16834"/>
          <w:pgMar w:top="1440" w:right="1800" w:bottom="1440" w:left="1800" w:header="850" w:footer="994" w:gutter="0"/>
          <w:pgNumType w:start="1"/>
          <w:cols w:space="425" w:num="1"/>
          <w:docGrid w:linePitch="408" w:charSpace="0"/>
        </w:sectPr>
      </w:pPr>
      <w:bookmarkStart w:id="0" w:name="_Toc27115"/>
      <w:bookmarkStart w:id="1" w:name="_Toc23905"/>
      <w:bookmarkStart w:id="2" w:name="_Toc16664"/>
    </w:p>
    <w:p>
      <w:pPr>
        <w:spacing w:line="560" w:lineRule="exact"/>
        <w:ind w:firstLine="640" w:firstLineChars="200"/>
        <w:outlineLvl w:val="0"/>
        <w:rPr>
          <w:rFonts w:ascii="方正黑体_GBK" w:hAnsi="方正黑体_GBK" w:eastAsia="方正黑体_GBK" w:cs="方正黑体_GBK"/>
          <w:b/>
          <w:bCs/>
          <w:sz w:val="32"/>
          <w:szCs w:val="32"/>
        </w:rPr>
      </w:pPr>
      <w:bookmarkStart w:id="3" w:name="_Toc30008"/>
      <w:bookmarkStart w:id="4" w:name="_Toc29254"/>
      <w:bookmarkStart w:id="5" w:name="_Toc2640"/>
      <w:r>
        <w:rPr>
          <w:rFonts w:hint="eastAsia" w:ascii="方正黑体_GBK" w:hAnsi="方正黑体_GBK" w:eastAsia="方正黑体_GBK" w:cs="方正黑体_GBK"/>
          <w:b/>
          <w:bCs/>
          <w:sz w:val="32"/>
          <w:szCs w:val="32"/>
        </w:rPr>
        <w:t>一、规划背景</w:t>
      </w:r>
      <w:bookmarkEnd w:id="0"/>
      <w:bookmarkEnd w:id="1"/>
      <w:bookmarkEnd w:id="2"/>
      <w:bookmarkEnd w:id="3"/>
      <w:bookmarkEnd w:id="4"/>
      <w:bookmarkEnd w:id="5"/>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6" w:name="_Toc23897"/>
      <w:bookmarkStart w:id="7" w:name="_Toc17094"/>
      <w:bookmarkStart w:id="8" w:name="_Toc10768"/>
      <w:bookmarkStart w:id="9" w:name="_Toc2851"/>
      <w:bookmarkStart w:id="10" w:name="_Toc11280"/>
      <w:bookmarkStart w:id="11" w:name="_Toc25268"/>
      <w:bookmarkStart w:id="12" w:name="_Toc30743"/>
      <w:bookmarkStart w:id="13" w:name="_Toc14193"/>
      <w:r>
        <w:rPr>
          <w:rFonts w:hint="eastAsia" w:ascii="方正楷体_GBK" w:hAnsi="方正楷体_GBK" w:eastAsia="方正楷体_GBK" w:cs="方正楷体_GBK"/>
          <w:b/>
          <w:bCs/>
          <w:sz w:val="32"/>
          <w:szCs w:val="32"/>
        </w:rPr>
        <w:t>（一）规划背景</w:t>
      </w:r>
      <w:bookmarkEnd w:id="6"/>
      <w:bookmarkEnd w:id="7"/>
      <w:bookmarkEnd w:id="8"/>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楷体_GBK" w:hAnsi="方正楷体_GBK" w:eastAsia="方正楷体_GBK" w:cs="方正楷体_GBK"/>
          <w:b w:val="0"/>
          <w:bCs w:val="0"/>
          <w:sz w:val="32"/>
          <w:szCs w:val="32"/>
          <w:lang w:val="en-US" w:eastAsia="zh-CN"/>
        </w:rPr>
      </w:pPr>
      <w:bookmarkStart w:id="14" w:name="_Toc24503"/>
      <w:bookmarkStart w:id="15" w:name="_Toc31091"/>
      <w:bookmarkStart w:id="16" w:name="_Toc12075"/>
      <w:bookmarkStart w:id="17" w:name="_Toc19313"/>
      <w:bookmarkStart w:id="18" w:name="_Toc31752"/>
      <w:bookmarkStart w:id="19" w:name="_Toc29400"/>
      <w:bookmarkStart w:id="20" w:name="_Toc13656"/>
      <w:r>
        <w:rPr>
          <w:rFonts w:hint="eastAsia" w:ascii="方正楷体_GBK" w:hAnsi="方正楷体_GBK" w:eastAsia="方正楷体_GBK" w:cs="方正楷体_GBK"/>
          <w:b w:val="0"/>
          <w:bCs w:val="0"/>
          <w:sz w:val="32"/>
          <w:szCs w:val="32"/>
        </w:rPr>
        <w:t>为贯彻落实《国务院办公厅关于进一步构建高质量充电基础设施体系的指导意见》（国办发〔</w:t>
      </w:r>
      <w:r>
        <w:rPr>
          <w:rFonts w:hint="eastAsia" w:ascii="方正楷体_GBK" w:hAnsi="方正楷体_GBK" w:eastAsia="方正楷体_GBK" w:cs="方正楷体_GBK"/>
          <w:b w:val="0"/>
          <w:bCs w:val="0"/>
          <w:sz w:val="32"/>
          <w:szCs w:val="32"/>
          <w:lang w:val="en-US" w:eastAsia="zh-CN"/>
        </w:rPr>
        <w:t>2023</w:t>
      </w:r>
      <w:r>
        <w:rPr>
          <w:rFonts w:hint="eastAsia" w:ascii="方正楷体_GBK" w:hAnsi="方正楷体_GBK" w:eastAsia="方正楷体_GBK" w:cs="方正楷体_GBK"/>
          <w:b w:val="0"/>
          <w:bCs w:val="0"/>
          <w:sz w:val="32"/>
          <w:szCs w:val="32"/>
        </w:rPr>
        <w:t>〕</w:t>
      </w:r>
      <w:r>
        <w:rPr>
          <w:rFonts w:hint="eastAsia" w:ascii="方正楷体_GBK" w:hAnsi="方正楷体_GBK" w:eastAsia="方正楷体_GBK" w:cs="方正楷体_GBK"/>
          <w:b w:val="0"/>
          <w:bCs w:val="0"/>
          <w:sz w:val="32"/>
          <w:szCs w:val="32"/>
          <w:lang w:val="en-US" w:eastAsia="zh-CN"/>
        </w:rPr>
        <w:t>19</w:t>
      </w:r>
      <w:r>
        <w:rPr>
          <w:rFonts w:hint="eastAsia" w:ascii="方正楷体_GBK" w:hAnsi="方正楷体_GBK" w:eastAsia="方正楷体_GBK" w:cs="方正楷体_GBK"/>
          <w:b w:val="0"/>
          <w:bCs w:val="0"/>
          <w:sz w:val="32"/>
          <w:szCs w:val="32"/>
        </w:rPr>
        <w:t xml:space="preserve"> 号）等文件精神，完善高质量充电基础设施网络体系，推动新能源汽车下乡，扩大新能源汽车消费，促进乡村全面振兴</w:t>
      </w: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lang w:val="en-US" w:eastAsia="zh-CN"/>
        </w:rPr>
        <w:t>特制定本规划。</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楷体_GBK" w:hAnsi="方正楷体_GBK" w:eastAsia="方正楷体_GBK" w:cs="方正楷体_GBK"/>
          <w:b w:val="0"/>
          <w:bCs w:val="0"/>
          <w:sz w:val="32"/>
          <w:szCs w:val="32"/>
          <w:lang w:val="en-US" w:eastAsia="zh-CN"/>
        </w:rPr>
      </w:pPr>
      <w:r>
        <w:rPr>
          <w:rFonts w:hint="eastAsia" w:ascii="方正楷体_GBK" w:hAnsi="方正楷体_GBK" w:eastAsia="方正楷体_GBK" w:cs="方正楷体_GBK"/>
          <w:b w:val="0"/>
          <w:bCs w:val="0"/>
          <w:sz w:val="32"/>
          <w:szCs w:val="32"/>
          <w:lang w:val="en-US" w:eastAsia="zh-CN"/>
        </w:rPr>
        <w:t>充电基础设施是新能源汽车等交通运输工具普及的基础和保障，也是助力实现碳达峰碳中和的重要支撑，是实现碳达峰碳中和的重要“新基建”，为加快湖州市电动汽车充电基础设施建设，解决新能源汽车充电难题，营造良好的新能源汽车应用环境，根据国务院办公厅《新能源汽车产业发展规划（2021-2035年）》《浙江省充电基础设施发展"十四五"规划》《浙江省公共充电基础设施网点规划指南（试行）》《湖州市城市总体规划》《湖州市综合交通规划》和《湖州市区公共交通综合规划》，加大新能源汽车推广应用工作力度，承担好充电基础设施发展的重大任务，助推建设高品质城乡一体的国际化现代山水田园城市，特编制本规划。省委、省政府高度重视，全力推动我省在全国率先出台首个以省政府名义印发的《浙江省完善高质量充电基础设施网络体系促进新能源汽车下乡行动方案（2023-2025年）》。</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21" w:name="_Toc13818"/>
      <w:r>
        <w:rPr>
          <w:rFonts w:hint="eastAsia" w:ascii="方正楷体_GBK" w:hAnsi="方正楷体_GBK" w:eastAsia="方正楷体_GBK" w:cs="方正楷体_GBK"/>
          <w:b/>
          <w:bCs/>
          <w:sz w:val="32"/>
          <w:szCs w:val="32"/>
        </w:rPr>
        <w:t>（二）规划范围</w:t>
      </w:r>
      <w:bookmarkEnd w:id="14"/>
      <w:bookmarkEnd w:id="15"/>
      <w:bookmarkEnd w:id="16"/>
      <w:bookmarkEnd w:id="17"/>
      <w:bookmarkEnd w:id="18"/>
      <w:bookmarkEnd w:id="19"/>
      <w:bookmarkEnd w:id="20"/>
      <w:bookmarkEnd w:id="21"/>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本次规划范围为湖州市德清县，下辖</w:t>
      </w:r>
      <w:r>
        <w:rPr>
          <w:rFonts w:ascii="方正仿宋_GBK" w:hAnsi="方正仿宋_GBK" w:eastAsia="方正仿宋_GBK" w:cs="方正仿宋_GBK"/>
          <w:sz w:val="32"/>
          <w:szCs w:val="32"/>
        </w:rPr>
        <w:t>5</w:t>
      </w:r>
      <w:r>
        <w:rPr>
          <w:rFonts w:hint="eastAsia" w:ascii="方正仿宋_GBK" w:hAnsi="方正仿宋_GBK" w:eastAsia="方正仿宋_GBK" w:cs="方正仿宋_GBK"/>
          <w:sz w:val="32"/>
          <w:szCs w:val="32"/>
        </w:rPr>
        <w:t>个街道、8个镇。</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本次规划对象为充电站和充电桩，城区公共充电站要求集中布置6个及以上充电桩、乡镇公共充电站要求集中建设3个及以上充电桩，并以快充桩为主，依托停车场建设，一般不单独占用建筑面积指标。</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22" w:name="_Toc22809"/>
      <w:bookmarkStart w:id="23" w:name="_Toc30985"/>
      <w:bookmarkStart w:id="24" w:name="_Toc10004"/>
      <w:bookmarkStart w:id="25" w:name="_Toc10433"/>
      <w:bookmarkStart w:id="26" w:name="_Toc29196"/>
      <w:bookmarkStart w:id="27" w:name="_Toc30431"/>
      <w:bookmarkStart w:id="28" w:name="_Toc16987"/>
      <w:bookmarkStart w:id="29" w:name="_Toc3136"/>
      <w:r>
        <w:rPr>
          <w:rFonts w:hint="eastAsia" w:ascii="方正楷体_GBK" w:hAnsi="方正楷体_GBK" w:eastAsia="方正楷体_GBK" w:cs="方正楷体_GBK"/>
          <w:b/>
          <w:bCs/>
          <w:sz w:val="32"/>
          <w:szCs w:val="32"/>
        </w:rPr>
        <w:t>（三）规划期限</w:t>
      </w:r>
      <w:bookmarkEnd w:id="22"/>
      <w:bookmarkEnd w:id="23"/>
      <w:bookmarkEnd w:id="24"/>
      <w:bookmarkEnd w:id="25"/>
      <w:bookmarkEnd w:id="26"/>
      <w:bookmarkEnd w:id="27"/>
      <w:bookmarkEnd w:id="28"/>
      <w:bookmarkEnd w:id="29"/>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本规划年限为202</w:t>
      </w:r>
      <w:r>
        <w:rPr>
          <w:rFonts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t>年～2025年。规划基准年为20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30" w:name="_Toc22471"/>
      <w:bookmarkStart w:id="31" w:name="_Toc6759"/>
      <w:bookmarkStart w:id="32" w:name="_Toc15673"/>
      <w:bookmarkStart w:id="33" w:name="_Toc11086"/>
      <w:bookmarkStart w:id="34" w:name="_Toc20439"/>
      <w:bookmarkStart w:id="35" w:name="_Toc7536"/>
      <w:bookmarkStart w:id="36" w:name="_Toc21114"/>
      <w:bookmarkStart w:id="37" w:name="_Toc1985"/>
      <w:r>
        <w:rPr>
          <w:rFonts w:hint="eastAsia" w:ascii="方正楷体_GBK" w:hAnsi="方正楷体_GBK" w:eastAsia="方正楷体_GBK" w:cs="方正楷体_GBK"/>
          <w:b/>
          <w:bCs/>
          <w:sz w:val="32"/>
          <w:szCs w:val="32"/>
        </w:rPr>
        <w:t>（四）规划依据</w:t>
      </w:r>
      <w:bookmarkEnd w:id="30"/>
      <w:bookmarkEnd w:id="31"/>
      <w:bookmarkEnd w:id="32"/>
      <w:bookmarkEnd w:id="33"/>
      <w:bookmarkEnd w:id="34"/>
      <w:bookmarkEnd w:id="35"/>
      <w:bookmarkEnd w:id="36"/>
      <w:bookmarkEnd w:id="37"/>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（1）《新能源汽车产业发展规划（2021-2035年）》</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（2）《浙江省充电基础设施发展"十四五"规划》（2021）</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bookmarkStart w:id="38" w:name="_Toc12857"/>
      <w:r>
        <w:rPr>
          <w:rFonts w:hint="eastAsia" w:ascii="方正仿宋_GBK" w:hAnsi="方正仿宋_GBK" w:eastAsia="方正仿宋_GBK" w:cs="方正仿宋_GBK"/>
          <w:sz w:val="32"/>
          <w:szCs w:val="32"/>
        </w:rPr>
        <w:t>（3）《湖州市城市总体规划（2017-2035年）》</w:t>
      </w:r>
    </w:p>
    <w:bookmarkEnd w:id="38"/>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（4）《湖州市综合交通运输发展“十四五”规划》（2021）</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（5）《湖州市区公共交通综合规划》（2013-2030）</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bookmarkStart w:id="39" w:name="_Toc14621"/>
      <w:r>
        <w:rPr>
          <w:rFonts w:hint="eastAsia" w:ascii="方正仿宋_GBK" w:hAnsi="方正仿宋_GBK" w:eastAsia="方正仿宋_GBK" w:cs="方正仿宋_GBK"/>
          <w:sz w:val="32"/>
          <w:szCs w:val="32"/>
        </w:rPr>
        <w:t>（6）《湖州市轨道交通线网规划（2017-2035）》</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（7）《湖州市旅游业发展"十四五"规划》（湖发改规划〔2021〕149号）</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（8）《湖州统计年鉴》（202</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w:t>
      </w:r>
      <w:bookmarkEnd w:id="39"/>
      <w:bookmarkStart w:id="40" w:name="_Toc32735"/>
      <w:bookmarkStart w:id="41" w:name="_Toc10199"/>
      <w:bookmarkStart w:id="42" w:name="_Toc22831"/>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（9）《关于进一步完善新能源汽车推广应用财政补贴政策的通知》（湖财建〔2019〕138号）</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（10）《关于支持新能源公交车推广应用的通知》（湖财建〔2019〕213号）</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（11）《关于完善新能源汽车推广应用财政补贴政策的通知》（湖财建〔2020〕86号）</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（12）《德清县德清县土地利用总体规划》（2006-2020年）</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（13）《湖州市本级新能源汽车推广应用地方补助实施办法》（湖政办发〔2020〕31号）</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（14）《德清县城市总体规划》</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（15）《德清县综合交通运输“十四五”规划》</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（16）《德清县新型城镇化建设“十四五”规划》</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（17）《德清县新能源汽车推广应用地方补助实施办法》（德政办发〔2021〕37号）</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43" w:name="_Toc15830"/>
      <w:bookmarkStart w:id="44" w:name="_Toc12052"/>
      <w:bookmarkStart w:id="45" w:name="_Toc7611"/>
      <w:r>
        <w:rPr>
          <w:rFonts w:hint="eastAsia" w:ascii="方正楷体_GBK" w:hAnsi="方正楷体_GBK" w:eastAsia="方正楷体_GBK" w:cs="方正楷体_GBK"/>
          <w:b/>
          <w:bCs/>
          <w:sz w:val="32"/>
          <w:szCs w:val="32"/>
        </w:rPr>
        <w:t>（五）规划原则</w:t>
      </w:r>
      <w:bookmarkEnd w:id="40"/>
      <w:bookmarkEnd w:id="43"/>
      <w:bookmarkEnd w:id="44"/>
      <w:bookmarkEnd w:id="45"/>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一是统筹规划、适度超前、有序推进。</w:t>
      </w:r>
      <w:r>
        <w:rPr>
          <w:rFonts w:hint="eastAsia" w:ascii="方正仿宋_GBK" w:hAnsi="方正仿宋_GBK" w:eastAsia="方正仿宋_GBK" w:cs="方正仿宋_GBK"/>
          <w:sz w:val="32"/>
          <w:szCs w:val="32"/>
        </w:rPr>
        <w:t>认真做好充电设施发展规划，认准新能源汽车充电设施“新基建”的重要位置，从战略布局的高度进行统筹规划；按照“桩站先行”的原则，充电设施建设适度超前电动汽车发展，超前布局；加强部门协同，建立政府有关部门与相关企业各司其职、各尽所能、群策群力、合作共赢的推进机制，推进充电基础设施科学发展。</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二是因地制宜、分类实施、经济合理。</w:t>
      </w:r>
      <w:r>
        <w:rPr>
          <w:rFonts w:hint="eastAsia" w:ascii="方正仿宋_GBK" w:hAnsi="方正仿宋_GBK" w:eastAsia="方正仿宋_GBK" w:cs="方正仿宋_GBK"/>
          <w:sz w:val="32"/>
          <w:szCs w:val="32"/>
        </w:rPr>
        <w:t>根据湖州德清县经济发展和电动汽车应用特点，紧密结合不同领域、不同层次的充电需求，遵循“市场主导、快慢结合”的技术导向，科学把握发展节奏，综合考虑城市出行路线图和人口密集区域的分布，在大型商超、公共停车场、机关单位等多个区域建设公共充电基础设施。积极鼓励企事业自建充电桩并对外开放，提高资源利用率。</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三是统一标准、规范建设、通用开放。</w:t>
      </w:r>
      <w:r>
        <w:rPr>
          <w:rFonts w:hint="eastAsia" w:ascii="方正仿宋_GBK" w:hAnsi="方正仿宋_GBK" w:eastAsia="方正仿宋_GBK" w:cs="方正仿宋_GBK"/>
          <w:sz w:val="32"/>
          <w:szCs w:val="32"/>
        </w:rPr>
        <w:t>坚持按照国家标准建设充电基础设施，规范充电基础设施建设运营，理顺管理流程，健全管理机制。实现充电服务平台之间的互联互通，提高充电服务的通用性和开放性，为“车行天下”提供有力保障。</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四是创新思路、市场主导、示范引领。</w:t>
      </w:r>
      <w:r>
        <w:rPr>
          <w:rFonts w:hint="eastAsia" w:ascii="方正仿宋_GBK" w:hAnsi="方正仿宋_GBK" w:eastAsia="方正仿宋_GBK" w:cs="方正仿宋_GBK"/>
          <w:sz w:val="32"/>
          <w:szCs w:val="32"/>
        </w:rPr>
        <w:t>发挥创新主体作用，持续开展充电基础设施建设与运营模式创新研究。推动加快政府优化政策环境，刺激电动汽车消费，激发市场活力。开展示范项目推广，为充电基础设施发展探索新途径，积累有益经验。</w:t>
      </w:r>
    </w:p>
    <w:p>
      <w:pPr>
        <w:rPr>
          <w:rFonts w:ascii="方正黑体_GBK" w:hAnsi="方正黑体_GBK" w:eastAsia="方正黑体_GBK" w:cs="方正黑体_GBK"/>
          <w:b/>
          <w:bCs/>
          <w:sz w:val="32"/>
          <w:szCs w:val="32"/>
        </w:rPr>
      </w:pPr>
      <w:bookmarkStart w:id="46" w:name="_Toc15424"/>
      <w:r>
        <w:rPr>
          <w:rFonts w:hint="eastAsia" w:ascii="方正黑体_GBK" w:hAnsi="方正黑体_GBK" w:eastAsia="方正黑体_GBK" w:cs="方正黑体_GBK"/>
          <w:b/>
          <w:bCs/>
          <w:sz w:val="32"/>
          <w:szCs w:val="32"/>
        </w:rPr>
        <w:br w:type="page"/>
      </w:r>
    </w:p>
    <w:p>
      <w:pPr>
        <w:spacing w:line="560" w:lineRule="exact"/>
        <w:ind w:firstLine="640" w:firstLineChars="200"/>
        <w:outlineLvl w:val="0"/>
        <w:rPr>
          <w:rFonts w:ascii="方正黑体_GBK" w:hAnsi="方正黑体_GBK" w:eastAsia="方正黑体_GBK" w:cs="方正黑体_GBK"/>
          <w:b/>
          <w:bCs/>
          <w:sz w:val="32"/>
          <w:szCs w:val="32"/>
        </w:rPr>
      </w:pPr>
      <w:bookmarkStart w:id="47" w:name="_Toc13622"/>
      <w:bookmarkStart w:id="48" w:name="_Toc12351"/>
      <w:bookmarkStart w:id="49" w:name="_Toc10085"/>
      <w:r>
        <w:rPr>
          <w:rFonts w:hint="eastAsia" w:ascii="方正黑体_GBK" w:hAnsi="方正黑体_GBK" w:eastAsia="方正黑体_GBK" w:cs="方正黑体_GBK"/>
          <w:b/>
          <w:bCs/>
          <w:sz w:val="32"/>
          <w:szCs w:val="32"/>
        </w:rPr>
        <w:t>二、城市发展概况</w:t>
      </w:r>
      <w:bookmarkEnd w:id="41"/>
      <w:bookmarkEnd w:id="42"/>
      <w:bookmarkEnd w:id="46"/>
      <w:bookmarkEnd w:id="47"/>
      <w:bookmarkEnd w:id="48"/>
      <w:bookmarkEnd w:id="49"/>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50" w:name="_Toc15096"/>
      <w:bookmarkStart w:id="51" w:name="_Toc18916"/>
      <w:bookmarkStart w:id="52" w:name="_Toc8036"/>
      <w:bookmarkStart w:id="53" w:name="_Toc24544"/>
      <w:bookmarkStart w:id="54" w:name="_Toc13652"/>
      <w:bookmarkStart w:id="55" w:name="_Toc3552"/>
      <w:r>
        <w:rPr>
          <w:rFonts w:hint="eastAsia" w:ascii="方正楷体_GBK" w:hAnsi="方正楷体_GBK" w:eastAsia="方正楷体_GBK" w:cs="方正楷体_GBK"/>
          <w:b/>
          <w:bCs/>
          <w:sz w:val="32"/>
          <w:szCs w:val="32"/>
        </w:rPr>
        <w:t>（一）经济社会发展</w:t>
      </w:r>
      <w:bookmarkEnd w:id="50"/>
      <w:bookmarkEnd w:id="51"/>
      <w:bookmarkEnd w:id="52"/>
      <w:bookmarkEnd w:id="53"/>
      <w:bookmarkEnd w:id="54"/>
      <w:bookmarkEnd w:id="55"/>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德清县取名于“人有德行、如水至清”，它位于长三角腹地，东望上海、南接杭州、北连太湖、西枕天目山麓。县</w:t>
      </w:r>
      <w:r>
        <w:rPr>
          <w:rFonts w:ascii="方正仿宋_GBK" w:hAnsi="方正仿宋_GBK" w:eastAsia="方正仿宋_GBK" w:cs="方正仿宋_GBK"/>
          <w:sz w:val="32"/>
          <w:szCs w:val="32"/>
        </w:rPr>
        <w:t>区域面积937.92平方公里</w:t>
      </w:r>
      <w:r>
        <w:rPr>
          <w:rFonts w:hint="eastAsia" w:ascii="方正仿宋_GBK" w:hAnsi="方正仿宋_GBK" w:eastAsia="方正仿宋_GBK" w:cs="方正仿宋_GBK"/>
          <w:sz w:val="32"/>
          <w:szCs w:val="32"/>
        </w:rPr>
        <w:t>，户籍人口</w:t>
      </w:r>
      <w:r>
        <w:rPr>
          <w:rFonts w:ascii="方正仿宋_GBK" w:hAnsi="方正仿宋_GBK" w:eastAsia="方正仿宋_GBK" w:cs="方正仿宋_GBK"/>
          <w:sz w:val="32"/>
          <w:szCs w:val="32"/>
        </w:rPr>
        <w:t>44.30</w:t>
      </w:r>
      <w:r>
        <w:rPr>
          <w:rFonts w:hint="eastAsia" w:ascii="方正仿宋_GBK" w:hAnsi="方正仿宋_GBK" w:eastAsia="方正仿宋_GBK" w:cs="方正仿宋_GBK"/>
          <w:sz w:val="32"/>
          <w:szCs w:val="32"/>
        </w:rPr>
        <w:t>万人。</w:t>
      </w:r>
    </w:p>
    <w:p>
      <w:pPr>
        <w:adjustRightInd w:val="0"/>
        <w:snapToGrid w:val="0"/>
        <w:spacing w:line="360" w:lineRule="auto"/>
        <w:jc w:val="center"/>
      </w:pPr>
      <w:r>
        <w:drawing>
          <wp:inline distT="0" distB="0" distL="0" distR="0">
            <wp:extent cx="5276215" cy="371856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6215" cy="3718560"/>
                    </a:xfrm>
                    <a:prstGeom prst="rect">
                      <a:avLst/>
                    </a:prstGeom>
                    <a:noFill/>
                    <a:ln>
                      <a:noFill/>
                    </a:ln>
                  </pic:spPr>
                </pic:pic>
              </a:graphicData>
            </a:graphic>
          </wp:inline>
        </w:drawing>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图2-1  德清县区位图</w:t>
      </w:r>
    </w:p>
    <w:p>
      <w:pPr>
        <w:adjustRightInd w:val="0"/>
        <w:snapToGrid w:val="0"/>
        <w:spacing w:line="560" w:lineRule="exact"/>
        <w:ind w:firstLine="640" w:firstLineChars="200"/>
        <w:rPr>
          <w:rFonts w:ascii="方正仿宋_GBK" w:hAnsi="方正仿宋_GBK" w:eastAsia="方正仿宋_GBK" w:cs="方正仿宋_GBK"/>
          <w:sz w:val="32"/>
          <w:szCs w:val="32"/>
        </w:rPr>
      </w:pPr>
      <w:bookmarkStart w:id="56" w:name="_Toc16023"/>
      <w:bookmarkStart w:id="57" w:name="_Toc27843"/>
      <w:r>
        <w:rPr>
          <w:rFonts w:hint="eastAsia" w:ascii="方正仿宋_GBK" w:hAnsi="方正仿宋_GBK" w:eastAsia="方正仿宋_GBK" w:cs="方正仿宋_GBK"/>
          <w:sz w:val="32"/>
          <w:szCs w:val="32"/>
        </w:rPr>
        <w:t>截至20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年底，德清县总人口</w:t>
      </w:r>
      <w:r>
        <w:rPr>
          <w:rFonts w:ascii="方正仿宋_GBK" w:hAnsi="方正仿宋_GBK" w:eastAsia="方正仿宋_GBK" w:cs="方正仿宋_GBK"/>
          <w:sz w:val="32"/>
          <w:szCs w:val="32"/>
        </w:rPr>
        <w:t>44.30</w:t>
      </w:r>
      <w:r>
        <w:rPr>
          <w:rFonts w:hint="eastAsia" w:ascii="方正仿宋_GBK" w:hAnsi="方正仿宋_GBK" w:eastAsia="方正仿宋_GBK" w:cs="方正仿宋_GBK"/>
          <w:sz w:val="32"/>
          <w:szCs w:val="32"/>
        </w:rPr>
        <w:t>万人，GDP总值</w:t>
      </w:r>
      <w:r>
        <w:rPr>
          <w:rFonts w:ascii="方正仿宋_GBK" w:hAnsi="方正仿宋_GBK" w:eastAsia="方正仿宋_GBK" w:cs="方正仿宋_GBK"/>
          <w:sz w:val="32"/>
          <w:szCs w:val="32"/>
        </w:rPr>
        <w:t>658.20</w:t>
      </w:r>
      <w:r>
        <w:rPr>
          <w:rFonts w:hint="eastAsia" w:ascii="方正仿宋_GBK" w:hAnsi="方正仿宋_GBK" w:eastAsia="方正仿宋_GBK" w:cs="方正仿宋_GBK"/>
          <w:sz w:val="32"/>
          <w:szCs w:val="32"/>
        </w:rPr>
        <w:t xml:space="preserve">亿元，人均GDP </w:t>
      </w:r>
      <w:r>
        <w:rPr>
          <w:rFonts w:ascii="方正仿宋_GBK" w:hAnsi="方正仿宋_GBK" w:eastAsia="方正仿宋_GBK" w:cs="方正仿宋_GBK"/>
          <w:sz w:val="32"/>
          <w:szCs w:val="32"/>
        </w:rPr>
        <w:t>14.86</w:t>
      </w:r>
      <w:r>
        <w:rPr>
          <w:rFonts w:hint="eastAsia" w:ascii="方正仿宋_GBK" w:hAnsi="方正仿宋_GBK" w:eastAsia="方正仿宋_GBK" w:cs="方正仿宋_GBK"/>
          <w:sz w:val="32"/>
          <w:szCs w:val="32"/>
        </w:rPr>
        <w:t>万元。</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表2.1  德清县经济社会情况</w:t>
      </w:r>
    </w:p>
    <w:tbl>
      <w:tblPr>
        <w:tblStyle w:val="26"/>
        <w:tblW w:w="4997" w:type="pct"/>
        <w:tblInd w:w="0" w:type="dxa"/>
        <w:tblLayout w:type="autofit"/>
        <w:tblCellMar>
          <w:top w:w="0" w:type="dxa"/>
          <w:left w:w="108" w:type="dxa"/>
          <w:bottom w:w="0" w:type="dxa"/>
          <w:right w:w="108" w:type="dxa"/>
        </w:tblCellMar>
      </w:tblPr>
      <w:tblGrid>
        <w:gridCol w:w="2652"/>
        <w:gridCol w:w="1173"/>
        <w:gridCol w:w="1173"/>
        <w:gridCol w:w="1174"/>
        <w:gridCol w:w="1174"/>
        <w:gridCol w:w="1174"/>
      </w:tblGrid>
      <w:tr>
        <w:tblPrEx>
          <w:tblCellMar>
            <w:top w:w="0" w:type="dxa"/>
            <w:left w:w="108" w:type="dxa"/>
            <w:bottom w:w="0" w:type="dxa"/>
            <w:right w:w="108" w:type="dxa"/>
          </w:tblCellMar>
        </w:tblPrEx>
        <w:trPr>
          <w:trHeight w:val="482" w:hRule="atLeast"/>
        </w:trPr>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年份</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2018</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2019</w:t>
            </w:r>
          </w:p>
        </w:tc>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2020</w:t>
            </w:r>
          </w:p>
        </w:tc>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2021</w:t>
            </w:r>
          </w:p>
        </w:tc>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w:t>
            </w:r>
          </w:p>
        </w:tc>
      </w:tr>
      <w:tr>
        <w:tblPrEx>
          <w:tblCellMar>
            <w:top w:w="0" w:type="dxa"/>
            <w:left w:w="108" w:type="dxa"/>
            <w:bottom w:w="0" w:type="dxa"/>
            <w:right w:w="108" w:type="dxa"/>
          </w:tblCellMar>
        </w:tblPrEx>
        <w:trPr>
          <w:trHeight w:val="315" w:hRule="atLeast"/>
        </w:trPr>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GDP</w:t>
            </w:r>
            <w:r>
              <w:rPr>
                <w:rFonts w:hint="eastAsia" w:ascii="方正仿宋_GBK" w:hAnsi="方正仿宋_GBK" w:eastAsia="方正仿宋_GBK" w:cs="方正仿宋_GBK"/>
                <w:b/>
                <w:bCs/>
                <w:kern w:val="0"/>
                <w:sz w:val="24"/>
                <w:szCs w:val="24"/>
              </w:rPr>
              <w:t>（</w:t>
            </w:r>
            <w:r>
              <w:rPr>
                <w:rFonts w:ascii="方正仿宋_GBK" w:hAnsi="方正仿宋_GBK" w:eastAsia="方正仿宋_GBK" w:cs="方正仿宋_GBK"/>
                <w:b/>
                <w:bCs/>
                <w:kern w:val="0"/>
                <w:sz w:val="24"/>
                <w:szCs w:val="24"/>
              </w:rPr>
              <w:t>亿元</w:t>
            </w:r>
            <w:r>
              <w:rPr>
                <w:rFonts w:hint="eastAsia" w:ascii="方正仿宋_GBK" w:hAnsi="方正仿宋_GBK" w:eastAsia="方正仿宋_GBK" w:cs="方正仿宋_GBK"/>
                <w:b/>
                <w:bCs/>
                <w:kern w:val="0"/>
                <w:sz w:val="24"/>
                <w:szCs w:val="24"/>
              </w:rPr>
              <w:t>）</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494.34</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w:t>
            </w:r>
            <w:r>
              <w:rPr>
                <w:rFonts w:ascii="方正仿宋_GBK" w:hAnsi="方正仿宋_GBK" w:eastAsia="方正仿宋_GBK" w:cs="方正仿宋_GBK"/>
                <w:kern w:val="0"/>
                <w:sz w:val="24"/>
                <w:szCs w:val="24"/>
              </w:rPr>
              <w:t>37.01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544.10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615.50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658.20</w:t>
            </w:r>
          </w:p>
        </w:tc>
      </w:tr>
      <w:tr>
        <w:tblPrEx>
          <w:tblCellMar>
            <w:top w:w="0" w:type="dxa"/>
            <w:left w:w="108" w:type="dxa"/>
            <w:bottom w:w="0" w:type="dxa"/>
            <w:right w:w="108" w:type="dxa"/>
          </w:tblCellMar>
        </w:tblPrEx>
        <w:trPr>
          <w:trHeight w:val="315" w:hRule="atLeast"/>
        </w:trPr>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年末总人口（万人）</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44.19</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44.31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44.32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44.30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44.30</w:t>
            </w:r>
          </w:p>
        </w:tc>
      </w:tr>
      <w:tr>
        <w:tblPrEx>
          <w:tblCellMar>
            <w:top w:w="0" w:type="dxa"/>
            <w:left w:w="108" w:type="dxa"/>
            <w:bottom w:w="0" w:type="dxa"/>
            <w:right w:w="108" w:type="dxa"/>
          </w:tblCellMar>
        </w:tblPrEx>
        <w:trPr>
          <w:trHeight w:val="315" w:hRule="atLeast"/>
        </w:trPr>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人均GDP（万元/人）</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11.2</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12.12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12.28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13.89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14.86</w:t>
            </w:r>
          </w:p>
        </w:tc>
      </w:tr>
      <w:bookmarkEnd w:id="56"/>
      <w:bookmarkEnd w:id="57"/>
    </w:tbl>
    <w:p>
      <w:pPr>
        <w:adjustRightInd w:val="0"/>
        <w:snapToGrid w:val="0"/>
        <w:spacing w:line="560" w:lineRule="exact"/>
        <w:ind w:firstLine="640" w:firstLineChars="200"/>
        <w:jc w:val="left"/>
        <w:rPr>
          <w:rFonts w:ascii="方正仿宋_GBK" w:hAnsi="方正仿宋_GBK" w:eastAsia="方正仿宋_GBK" w:cs="方正仿宋_GBK"/>
          <w:sz w:val="32"/>
          <w:szCs w:val="32"/>
        </w:rPr>
      </w:pPr>
      <w:bookmarkStart w:id="58" w:name="_Toc5250"/>
      <w:bookmarkStart w:id="59" w:name="_Toc4163"/>
      <w:bookmarkStart w:id="60" w:name="_Toc28711"/>
      <w:r>
        <w:rPr>
          <w:rFonts w:hint="eastAsia" w:ascii="方正仿宋_GBK" w:hAnsi="方正仿宋_GBK" w:eastAsia="方正仿宋_GBK" w:cs="方正仿宋_GBK"/>
          <w:sz w:val="32"/>
          <w:szCs w:val="32"/>
        </w:rPr>
        <w:t>按照《德清县德清县土地利用总体规划》（2006-2020年），构建城乡一体、功能合理、组团发展的县域空间发展新格局，形成“一核两翼；一主一副三组团”的空间发展架构。</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“一核”：中心城市发展核，以中心城市为架构，打造县域核心空间；</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“两翼”：西部的莫干山国际旅游度假区和东部的水乡特色发展区；</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主一副”：一主包括武康城区、康乾新区、临杭工业区和下渚湖的“三区一湖”中心城市，并将方山及洛舍纳入中心城市规划区范围，是全县经济社会发展的极核，逐步建成杭州都市经济圈的北部副城；一副指新市镇，作为县域副中心城市承接上海、杭州等地的产业转移和扩散，加快产业发展和人口集聚，建设杭州都市经济圈重要的卫星城市和统筹带动县域东部及周边地区的中心；“三组团”：分别是指新安-禹越组团，莫干山-筏头组团和钟管组团。新安、禹越组团定位为杭州都市经济圈北部的特色工业型城镇组团；莫干山、筏头组团定位为杭州都市经济圈重要的休闲旅游组团；钟管组团定位为产业特色突出、功能设施完备、生态环境优美的生态型现代化江南水乡小镇。</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61" w:name="_Toc6435"/>
      <w:bookmarkStart w:id="62" w:name="_Toc17873"/>
      <w:bookmarkStart w:id="63" w:name="_Toc19951"/>
      <w:r>
        <w:rPr>
          <w:rFonts w:hint="eastAsia" w:ascii="方正楷体_GBK" w:hAnsi="方正楷体_GBK" w:eastAsia="方正楷体_GBK" w:cs="方正楷体_GBK"/>
          <w:b/>
          <w:bCs/>
          <w:sz w:val="32"/>
          <w:szCs w:val="32"/>
        </w:rPr>
        <w:t>（二）电力需求</w:t>
      </w:r>
      <w:bookmarkEnd w:id="58"/>
      <w:bookmarkEnd w:id="59"/>
      <w:r>
        <w:rPr>
          <w:rFonts w:hint="eastAsia" w:ascii="方正楷体_GBK" w:hAnsi="方正楷体_GBK" w:eastAsia="方正楷体_GBK" w:cs="方正楷体_GBK"/>
          <w:b/>
          <w:bCs/>
          <w:sz w:val="32"/>
          <w:szCs w:val="32"/>
        </w:rPr>
        <w:t>发展</w:t>
      </w:r>
      <w:bookmarkEnd w:id="60"/>
      <w:bookmarkEnd w:id="61"/>
      <w:bookmarkEnd w:id="62"/>
      <w:bookmarkEnd w:id="63"/>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年，德清县全社会用电量</w:t>
      </w:r>
      <w:r>
        <w:rPr>
          <w:rFonts w:ascii="方正仿宋_GBK" w:hAnsi="方正仿宋_GBK" w:eastAsia="方正仿宋_GBK" w:cs="方正仿宋_GBK"/>
          <w:sz w:val="32"/>
          <w:szCs w:val="32"/>
        </w:rPr>
        <w:t>63.82</w:t>
      </w:r>
      <w:r>
        <w:rPr>
          <w:rFonts w:hint="eastAsia" w:ascii="方正仿宋_GBK" w:hAnsi="方正仿宋_GBK" w:eastAsia="方正仿宋_GBK" w:cs="方正仿宋_GBK"/>
          <w:sz w:val="32"/>
          <w:szCs w:val="32"/>
        </w:rPr>
        <w:t>亿千瓦时，同比增长</w:t>
      </w:r>
      <w:r>
        <w:rPr>
          <w:rFonts w:ascii="方正仿宋_GBK" w:hAnsi="方正仿宋_GBK" w:eastAsia="方正仿宋_GBK" w:cs="方正仿宋_GBK"/>
          <w:sz w:val="32"/>
          <w:szCs w:val="32"/>
        </w:rPr>
        <w:t>3.2</w:t>
      </w:r>
      <w:r>
        <w:rPr>
          <w:rFonts w:hint="eastAsia" w:ascii="方正仿宋_GBK" w:hAnsi="方正仿宋_GBK" w:eastAsia="方正仿宋_GBK" w:cs="方正仿宋_GBK"/>
          <w:sz w:val="32"/>
          <w:szCs w:val="32"/>
        </w:rPr>
        <w:t>%，其中工业用电</w:t>
      </w:r>
      <w:r>
        <w:rPr>
          <w:rFonts w:ascii="方正仿宋_GBK" w:hAnsi="方正仿宋_GBK" w:eastAsia="方正仿宋_GBK" w:cs="方正仿宋_GBK"/>
          <w:sz w:val="32"/>
          <w:szCs w:val="32"/>
        </w:rPr>
        <w:t>46.85</w:t>
      </w:r>
      <w:r>
        <w:rPr>
          <w:rFonts w:hint="eastAsia" w:ascii="方正仿宋_GBK" w:hAnsi="方正仿宋_GBK" w:eastAsia="方正仿宋_GBK" w:cs="方正仿宋_GBK"/>
          <w:sz w:val="32"/>
          <w:szCs w:val="32"/>
        </w:rPr>
        <w:t>亿千瓦时，同比增长</w:t>
      </w:r>
      <w:r>
        <w:rPr>
          <w:rFonts w:ascii="方正仿宋_GBK" w:hAnsi="方正仿宋_GBK" w:eastAsia="方正仿宋_GBK" w:cs="方正仿宋_GBK"/>
          <w:sz w:val="32"/>
          <w:szCs w:val="32"/>
        </w:rPr>
        <w:t>3.6</w:t>
      </w:r>
      <w:r>
        <w:rPr>
          <w:rFonts w:hint="eastAsia" w:ascii="方正仿宋_GBK" w:hAnsi="方正仿宋_GBK" w:eastAsia="方正仿宋_GBK" w:cs="方正仿宋_GBK"/>
          <w:sz w:val="32"/>
          <w:szCs w:val="32"/>
        </w:rPr>
        <w:t>%，居民生活用电</w:t>
      </w:r>
      <w:r>
        <w:rPr>
          <w:rFonts w:ascii="方正仿宋_GBK" w:hAnsi="方正仿宋_GBK" w:eastAsia="方正仿宋_GBK" w:cs="方正仿宋_GBK"/>
          <w:sz w:val="32"/>
          <w:szCs w:val="32"/>
        </w:rPr>
        <w:t>6.10</w:t>
      </w:r>
      <w:r>
        <w:rPr>
          <w:rFonts w:hint="eastAsia" w:ascii="方正仿宋_GBK" w:hAnsi="方正仿宋_GBK" w:eastAsia="方正仿宋_GBK" w:cs="方正仿宋_GBK"/>
          <w:sz w:val="32"/>
          <w:szCs w:val="32"/>
        </w:rPr>
        <w:t>亿千瓦时，同比增长</w:t>
      </w:r>
      <w:r>
        <w:rPr>
          <w:rFonts w:ascii="方正仿宋_GBK" w:hAnsi="方正仿宋_GBK" w:eastAsia="方正仿宋_GBK" w:cs="方正仿宋_GBK"/>
          <w:sz w:val="32"/>
          <w:szCs w:val="32"/>
        </w:rPr>
        <w:t>4.1</w:t>
      </w: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2017-2022</w:t>
      </w:r>
      <w:r>
        <w:rPr>
          <w:rFonts w:hint="eastAsia" w:ascii="方正仿宋_GBK" w:hAnsi="方正仿宋_GBK" w:eastAsia="方正仿宋_GBK" w:cs="方正仿宋_GBK"/>
          <w:sz w:val="32"/>
          <w:szCs w:val="32"/>
        </w:rPr>
        <w:t>年全社会用电量变化，如图2-2所示：</w:t>
      </w:r>
    </w:p>
    <w:p>
      <w:pPr>
        <w:jc w:val="center"/>
        <w:rPr>
          <w:rFonts w:ascii="Times New Roman" w:hAnsi="Times New Roman" w:eastAsia="仿宋_GB2312" w:cs="Times New Roman"/>
          <w:sz w:val="32"/>
          <w:szCs w:val="32"/>
        </w:rPr>
      </w:pPr>
      <w:r>
        <w:t xml:space="preserve"> </w:t>
      </w:r>
      <w:r>
        <w:drawing>
          <wp:inline distT="0" distB="0" distL="0" distR="0">
            <wp:extent cx="4572000" cy="2743200"/>
            <wp:effectExtent l="0" t="0" r="0" b="0"/>
            <wp:docPr id="5016433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图2-2  201</w:t>
      </w:r>
      <w:r>
        <w:rPr>
          <w:rFonts w:ascii="方正仿宋_GBK" w:hAnsi="方正仿宋_GBK" w:eastAsia="方正仿宋_GBK" w:cs="方正仿宋_GBK"/>
          <w:b/>
          <w:sz w:val="28"/>
          <w:szCs w:val="28"/>
        </w:rPr>
        <w:t>7</w:t>
      </w:r>
      <w:r>
        <w:rPr>
          <w:rFonts w:hint="eastAsia" w:ascii="方正仿宋_GBK" w:hAnsi="方正仿宋_GBK" w:eastAsia="方正仿宋_GBK" w:cs="方正仿宋_GBK"/>
          <w:b/>
          <w:sz w:val="28"/>
          <w:szCs w:val="28"/>
        </w:rPr>
        <w:t>-20</w:t>
      </w:r>
      <w:r>
        <w:rPr>
          <w:rFonts w:ascii="方正仿宋_GBK" w:hAnsi="方正仿宋_GBK" w:eastAsia="方正仿宋_GBK" w:cs="方正仿宋_GBK"/>
          <w:b/>
          <w:sz w:val="28"/>
          <w:szCs w:val="28"/>
        </w:rPr>
        <w:t>22</w:t>
      </w:r>
      <w:r>
        <w:rPr>
          <w:rFonts w:hint="eastAsia" w:ascii="方正仿宋_GBK" w:hAnsi="方正仿宋_GBK" w:eastAsia="方正仿宋_GBK" w:cs="方正仿宋_GBK"/>
          <w:b/>
          <w:sz w:val="28"/>
          <w:szCs w:val="28"/>
        </w:rPr>
        <w:t>年德清县全社会用电量变化图</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64" w:name="_Toc32138"/>
      <w:bookmarkStart w:id="65" w:name="_Toc25388"/>
      <w:bookmarkStart w:id="66" w:name="_Toc16701"/>
      <w:bookmarkStart w:id="67" w:name="_Toc15511"/>
      <w:r>
        <w:rPr>
          <w:rFonts w:hint="eastAsia" w:ascii="方正楷体_GBK" w:hAnsi="方正楷体_GBK" w:eastAsia="方正楷体_GBK" w:cs="方正楷体_GBK"/>
          <w:b/>
          <w:bCs/>
          <w:sz w:val="32"/>
          <w:szCs w:val="32"/>
        </w:rPr>
        <w:t>（三）电动汽车充电需求发展</w:t>
      </w:r>
      <w:bookmarkEnd w:id="64"/>
      <w:bookmarkEnd w:id="65"/>
      <w:bookmarkEnd w:id="66"/>
      <w:bookmarkEnd w:id="67"/>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近年来随着电动汽车的推广，20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年德清县电动汽车充电量大幅度上升，从20</w:t>
      </w:r>
      <w:r>
        <w:rPr>
          <w:rFonts w:ascii="方正仿宋_GBK" w:hAnsi="方正仿宋_GBK" w:eastAsia="方正仿宋_GBK" w:cs="方正仿宋_GBK"/>
          <w:sz w:val="32"/>
          <w:szCs w:val="32"/>
        </w:rPr>
        <w:t>21</w:t>
      </w:r>
      <w:r>
        <w:rPr>
          <w:rFonts w:hint="eastAsia" w:ascii="方正仿宋_GBK" w:hAnsi="方正仿宋_GBK" w:eastAsia="方正仿宋_GBK" w:cs="方正仿宋_GBK"/>
          <w:sz w:val="32"/>
          <w:szCs w:val="32"/>
        </w:rPr>
        <w:t>年的</w:t>
      </w:r>
      <w:r>
        <w:rPr>
          <w:rFonts w:ascii="方正仿宋_GBK" w:hAnsi="方正仿宋_GBK" w:eastAsia="方正仿宋_GBK" w:cs="方正仿宋_GBK"/>
          <w:sz w:val="32"/>
          <w:szCs w:val="32"/>
        </w:rPr>
        <w:t>680</w:t>
      </w:r>
      <w:r>
        <w:rPr>
          <w:rFonts w:hint="eastAsia" w:ascii="方正仿宋_GBK" w:hAnsi="方正仿宋_GBK" w:eastAsia="方正仿宋_GBK" w:cs="方正仿宋_GBK"/>
          <w:sz w:val="32"/>
          <w:szCs w:val="32"/>
        </w:rPr>
        <w:t>万千瓦时增加到</w:t>
      </w:r>
      <w:r>
        <w:rPr>
          <w:rFonts w:ascii="方正仿宋_GBK" w:hAnsi="方正仿宋_GBK" w:eastAsia="方正仿宋_GBK" w:cs="方正仿宋_GBK"/>
          <w:sz w:val="32"/>
          <w:szCs w:val="32"/>
        </w:rPr>
        <w:t>1536</w:t>
      </w:r>
      <w:r>
        <w:rPr>
          <w:rFonts w:hint="eastAsia" w:ascii="方正仿宋_GBK" w:hAnsi="方正仿宋_GBK" w:eastAsia="方正仿宋_GBK" w:cs="方正仿宋_GBK"/>
          <w:sz w:val="32"/>
          <w:szCs w:val="32"/>
        </w:rPr>
        <w:t>万千瓦时，如表2.2所示：</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表2.2  20</w:t>
      </w:r>
      <w:r>
        <w:rPr>
          <w:rFonts w:ascii="方正仿宋_GBK" w:hAnsi="方正仿宋_GBK" w:eastAsia="方正仿宋_GBK" w:cs="方正仿宋_GBK"/>
          <w:b/>
          <w:sz w:val="28"/>
          <w:szCs w:val="28"/>
        </w:rPr>
        <w:t>21</w:t>
      </w:r>
      <w:r>
        <w:rPr>
          <w:rFonts w:hint="eastAsia" w:ascii="方正仿宋_GBK" w:hAnsi="方正仿宋_GBK" w:eastAsia="方正仿宋_GBK" w:cs="方正仿宋_GBK"/>
          <w:b/>
          <w:sz w:val="28"/>
          <w:szCs w:val="28"/>
        </w:rPr>
        <w:t>-202</w:t>
      </w:r>
      <w:r>
        <w:rPr>
          <w:rFonts w:ascii="方正仿宋_GBK" w:hAnsi="方正仿宋_GBK" w:eastAsia="方正仿宋_GBK" w:cs="方正仿宋_GBK"/>
          <w:b/>
          <w:sz w:val="28"/>
          <w:szCs w:val="28"/>
        </w:rPr>
        <w:t>2</w:t>
      </w:r>
      <w:r>
        <w:rPr>
          <w:rFonts w:hint="eastAsia" w:ascii="方正仿宋_GBK" w:hAnsi="方正仿宋_GBK" w:eastAsia="方正仿宋_GBK" w:cs="方正仿宋_GBK"/>
          <w:b/>
          <w:sz w:val="28"/>
          <w:szCs w:val="28"/>
        </w:rPr>
        <w:t>年德清县电动汽车充电量</w:t>
      </w:r>
    </w:p>
    <w:tbl>
      <w:tblPr>
        <w:tblStyle w:val="26"/>
        <w:tblW w:w="5000" w:type="pct"/>
        <w:tblInd w:w="0" w:type="dxa"/>
        <w:tblLayout w:type="autofit"/>
        <w:tblCellMar>
          <w:top w:w="0" w:type="dxa"/>
          <w:left w:w="108" w:type="dxa"/>
          <w:bottom w:w="0" w:type="dxa"/>
          <w:right w:w="108" w:type="dxa"/>
        </w:tblCellMar>
      </w:tblPr>
      <w:tblGrid>
        <w:gridCol w:w="2951"/>
        <w:gridCol w:w="2787"/>
        <w:gridCol w:w="2787"/>
      </w:tblGrid>
      <w:tr>
        <w:tblPrEx>
          <w:tblCellMar>
            <w:top w:w="0" w:type="dxa"/>
            <w:left w:w="108" w:type="dxa"/>
            <w:bottom w:w="0" w:type="dxa"/>
            <w:right w:w="108" w:type="dxa"/>
          </w:tblCellMar>
        </w:tblPrEx>
        <w:trPr>
          <w:trHeight w:val="324" w:hRule="atLeast"/>
        </w:trPr>
        <w:tc>
          <w:tcPr>
            <w:tcW w:w="17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地区</w:t>
            </w:r>
          </w:p>
        </w:tc>
        <w:tc>
          <w:tcPr>
            <w:tcW w:w="16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w:t>
            </w:r>
            <w:r>
              <w:rPr>
                <w:rFonts w:ascii="方正仿宋_GBK" w:hAnsi="方正仿宋_GBK" w:eastAsia="方正仿宋_GBK" w:cs="方正仿宋_GBK"/>
                <w:b/>
                <w:bCs/>
                <w:kern w:val="0"/>
                <w:sz w:val="24"/>
                <w:szCs w:val="24"/>
              </w:rPr>
              <w:t>21</w:t>
            </w:r>
            <w:r>
              <w:rPr>
                <w:rFonts w:hint="eastAsia" w:ascii="方正仿宋_GBK" w:hAnsi="方正仿宋_GBK" w:eastAsia="方正仿宋_GBK" w:cs="方正仿宋_GBK"/>
                <w:b/>
                <w:bCs/>
                <w:kern w:val="0"/>
                <w:sz w:val="24"/>
                <w:szCs w:val="24"/>
              </w:rPr>
              <w:t>年（万kWh）</w:t>
            </w:r>
          </w:p>
        </w:tc>
        <w:tc>
          <w:tcPr>
            <w:tcW w:w="16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w:t>
            </w:r>
            <w:r>
              <w:rPr>
                <w:rFonts w:ascii="方正仿宋_GBK" w:hAnsi="方正仿宋_GBK" w:eastAsia="方正仿宋_GBK" w:cs="方正仿宋_GBK"/>
                <w:b/>
                <w:bCs/>
                <w:kern w:val="0"/>
                <w:sz w:val="24"/>
                <w:szCs w:val="24"/>
              </w:rPr>
              <w:t>2</w:t>
            </w:r>
            <w:r>
              <w:rPr>
                <w:rFonts w:hint="eastAsia" w:ascii="方正仿宋_GBK" w:hAnsi="方正仿宋_GBK" w:eastAsia="方正仿宋_GBK" w:cs="方正仿宋_GBK"/>
                <w:b/>
                <w:bCs/>
                <w:kern w:val="0"/>
                <w:sz w:val="24"/>
                <w:szCs w:val="24"/>
              </w:rPr>
              <w:t>年（万kWh）</w:t>
            </w:r>
          </w:p>
        </w:tc>
      </w:tr>
      <w:tr>
        <w:tblPrEx>
          <w:tblCellMar>
            <w:top w:w="0" w:type="dxa"/>
            <w:left w:w="108" w:type="dxa"/>
            <w:bottom w:w="0" w:type="dxa"/>
            <w:right w:w="108" w:type="dxa"/>
          </w:tblCellMar>
        </w:tblPrEx>
        <w:trPr>
          <w:trHeight w:val="312" w:hRule="atLeast"/>
        </w:trPr>
        <w:tc>
          <w:tcPr>
            <w:tcW w:w="173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德清县</w:t>
            </w:r>
          </w:p>
        </w:tc>
        <w:tc>
          <w:tcPr>
            <w:tcW w:w="1634" w:type="pct"/>
            <w:tcBorders>
              <w:top w:val="nil"/>
              <w:left w:val="nil"/>
              <w:bottom w:val="single" w:color="auto" w:sz="4" w:space="0"/>
              <w:right w:val="single" w:color="auto" w:sz="4" w:space="0"/>
            </w:tcBorders>
            <w:shd w:val="clear" w:color="auto" w:fill="auto"/>
            <w:vAlign w:val="bottom"/>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680</w:t>
            </w:r>
          </w:p>
        </w:tc>
        <w:tc>
          <w:tcPr>
            <w:tcW w:w="1634" w:type="pct"/>
            <w:tcBorders>
              <w:top w:val="nil"/>
              <w:left w:val="nil"/>
              <w:bottom w:val="single" w:color="auto" w:sz="4" w:space="0"/>
              <w:right w:val="single" w:color="auto" w:sz="4" w:space="0"/>
            </w:tcBorders>
            <w:shd w:val="clear" w:color="auto" w:fill="auto"/>
            <w:vAlign w:val="bottom"/>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1536</w:t>
            </w:r>
          </w:p>
        </w:tc>
      </w:tr>
    </w:tbl>
    <w:p>
      <w:pPr>
        <w:rPr>
          <w:rFonts w:ascii="方正黑体_GBK" w:hAnsi="方正黑体_GBK" w:eastAsia="方正黑体_GBK" w:cs="方正黑体_GBK"/>
          <w:b/>
          <w:bCs/>
          <w:sz w:val="32"/>
          <w:szCs w:val="32"/>
        </w:rPr>
      </w:pPr>
      <w:bookmarkStart w:id="68" w:name="_Toc19417"/>
      <w:bookmarkStart w:id="69" w:name="_Toc22516"/>
      <w:bookmarkStart w:id="70" w:name="_Toc7485"/>
      <w:bookmarkStart w:id="71" w:name="_Toc19371"/>
      <w:r>
        <w:rPr>
          <w:rFonts w:hint="eastAsia" w:ascii="方正黑体_GBK" w:hAnsi="方正黑体_GBK" w:eastAsia="方正黑体_GBK" w:cs="方正黑体_GBK"/>
          <w:b/>
          <w:bCs/>
          <w:sz w:val="32"/>
          <w:szCs w:val="32"/>
        </w:rPr>
        <w:br w:type="page"/>
      </w:r>
    </w:p>
    <w:p>
      <w:pPr>
        <w:spacing w:line="560" w:lineRule="exact"/>
        <w:ind w:firstLine="640" w:firstLineChars="200"/>
        <w:outlineLvl w:val="0"/>
        <w:rPr>
          <w:rFonts w:ascii="方正黑体_GBK" w:hAnsi="方正黑体_GBK" w:eastAsia="方正黑体_GBK" w:cs="方正黑体_GBK"/>
          <w:b/>
          <w:bCs/>
          <w:sz w:val="32"/>
          <w:szCs w:val="32"/>
        </w:rPr>
      </w:pPr>
      <w:bookmarkStart w:id="72" w:name="_Toc21654"/>
      <w:bookmarkStart w:id="73" w:name="_Toc16005"/>
      <w:r>
        <w:rPr>
          <w:rFonts w:hint="eastAsia" w:ascii="方正黑体_GBK" w:hAnsi="方正黑体_GBK" w:eastAsia="方正黑体_GBK" w:cs="方正黑体_GBK"/>
          <w:b/>
          <w:bCs/>
          <w:sz w:val="32"/>
          <w:szCs w:val="32"/>
        </w:rPr>
        <w:t>三、电动汽车及充电设施发展现状</w:t>
      </w:r>
      <w:bookmarkEnd w:id="68"/>
      <w:bookmarkEnd w:id="69"/>
      <w:bookmarkEnd w:id="70"/>
      <w:bookmarkEnd w:id="71"/>
      <w:bookmarkEnd w:id="72"/>
      <w:bookmarkEnd w:id="73"/>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74" w:name="_Toc23128"/>
      <w:bookmarkStart w:id="75" w:name="_Toc3074"/>
      <w:bookmarkStart w:id="76" w:name="_Toc23430"/>
      <w:bookmarkStart w:id="77" w:name="_Toc10505"/>
      <w:bookmarkStart w:id="78" w:name="_Toc11165"/>
      <w:bookmarkStart w:id="79" w:name="_Toc13591"/>
      <w:r>
        <w:rPr>
          <w:rFonts w:hint="eastAsia" w:ascii="方正楷体_GBK" w:hAnsi="方正楷体_GBK" w:eastAsia="方正楷体_GBK" w:cs="方正楷体_GBK"/>
          <w:b/>
          <w:bCs/>
          <w:sz w:val="32"/>
          <w:szCs w:val="32"/>
        </w:rPr>
        <w:t>（一）电动汽车推广应用现状</w:t>
      </w:r>
      <w:bookmarkEnd w:id="74"/>
      <w:bookmarkEnd w:id="75"/>
      <w:bookmarkEnd w:id="76"/>
      <w:bookmarkEnd w:id="77"/>
      <w:bookmarkEnd w:id="78"/>
      <w:bookmarkEnd w:id="79"/>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根据车管所数据，德清县电动汽车历年新增情况如表3.1所示：</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表3.1  德清县电动汽车发展情况</w:t>
      </w:r>
    </w:p>
    <w:p>
      <w:pPr>
        <w:adjustRightInd w:val="0"/>
        <w:snapToGrid w:val="0"/>
        <w:spacing w:line="360" w:lineRule="auto"/>
        <w:jc w:val="righ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单位：辆</w:t>
      </w:r>
    </w:p>
    <w:tbl>
      <w:tblPr>
        <w:tblStyle w:val="26"/>
        <w:tblW w:w="4998" w:type="pct"/>
        <w:tblInd w:w="0" w:type="dxa"/>
        <w:tblLayout w:type="fixed"/>
        <w:tblCellMar>
          <w:top w:w="0" w:type="dxa"/>
          <w:left w:w="108" w:type="dxa"/>
          <w:bottom w:w="0" w:type="dxa"/>
          <w:right w:w="108" w:type="dxa"/>
        </w:tblCellMar>
      </w:tblPr>
      <w:tblGrid>
        <w:gridCol w:w="1752"/>
        <w:gridCol w:w="868"/>
        <w:gridCol w:w="868"/>
        <w:gridCol w:w="1040"/>
        <w:gridCol w:w="995"/>
        <w:gridCol w:w="995"/>
        <w:gridCol w:w="1008"/>
        <w:gridCol w:w="995"/>
      </w:tblGrid>
      <w:tr>
        <w:tblPrEx>
          <w:tblCellMar>
            <w:top w:w="0" w:type="dxa"/>
            <w:left w:w="108" w:type="dxa"/>
            <w:bottom w:w="0" w:type="dxa"/>
            <w:right w:w="108" w:type="dxa"/>
          </w:tblCellMar>
        </w:tblPrEx>
        <w:trPr>
          <w:trHeight w:val="567" w:hRule="atLeast"/>
        </w:trPr>
        <w:tc>
          <w:tcPr>
            <w:tcW w:w="1028" w:type="pct"/>
            <w:vMerge w:val="restart"/>
            <w:tcBorders>
              <w:top w:val="single" w:color="auto" w:sz="4" w:space="0"/>
              <w:left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年度</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年末</w:t>
            </w:r>
          </w:p>
        </w:tc>
        <w:tc>
          <w:tcPr>
            <w:tcW w:w="2878"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当年新增</w:t>
            </w:r>
          </w:p>
        </w:tc>
        <w:tc>
          <w:tcPr>
            <w:tcW w:w="58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202</w:t>
            </w:r>
            <w:r>
              <w:rPr>
                <w:rFonts w:ascii="方正仿宋_GBK" w:hAnsi="方正仿宋_GBK" w:eastAsia="方正仿宋_GBK" w:cs="方正仿宋_GBK"/>
                <w:b/>
                <w:bCs/>
                <w:kern w:val="0"/>
                <w:sz w:val="21"/>
                <w:szCs w:val="21"/>
              </w:rPr>
              <w:t>2</w:t>
            </w:r>
            <w:r>
              <w:rPr>
                <w:rFonts w:hint="eastAsia" w:ascii="方正仿宋_GBK" w:hAnsi="方正仿宋_GBK" w:eastAsia="方正仿宋_GBK" w:cs="方正仿宋_GBK"/>
                <w:b/>
                <w:bCs/>
                <w:kern w:val="0"/>
                <w:sz w:val="21"/>
                <w:szCs w:val="21"/>
              </w:rPr>
              <w:t>年</w:t>
            </w:r>
          </w:p>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末累计</w:t>
            </w:r>
          </w:p>
        </w:tc>
      </w:tr>
      <w:tr>
        <w:tblPrEx>
          <w:tblCellMar>
            <w:top w:w="0" w:type="dxa"/>
            <w:left w:w="108" w:type="dxa"/>
            <w:bottom w:w="0" w:type="dxa"/>
            <w:right w:w="108" w:type="dxa"/>
          </w:tblCellMar>
        </w:tblPrEx>
        <w:trPr>
          <w:trHeight w:val="693" w:hRule="atLeast"/>
        </w:trPr>
        <w:tc>
          <w:tcPr>
            <w:tcW w:w="1028" w:type="pct"/>
            <w:vMerge w:val="continue"/>
            <w:tcBorders>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2017年</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2018年</w:t>
            </w:r>
          </w:p>
        </w:tc>
        <w:tc>
          <w:tcPr>
            <w:tcW w:w="6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2019年</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2020年</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w:t>
            </w:r>
            <w:r>
              <w:rPr>
                <w:rFonts w:ascii="方正仿宋_GBK" w:hAnsi="方正仿宋_GBK" w:eastAsia="方正仿宋_GBK" w:cs="方正仿宋_GBK"/>
                <w:b/>
                <w:bCs/>
                <w:kern w:val="0"/>
                <w:sz w:val="21"/>
                <w:szCs w:val="21"/>
              </w:rPr>
              <w:t>21</w:t>
            </w:r>
            <w:r>
              <w:rPr>
                <w:rFonts w:hint="eastAsia" w:ascii="方正仿宋_GBK" w:hAnsi="方正仿宋_GBK" w:eastAsia="方正仿宋_GBK" w:cs="方正仿宋_GBK"/>
                <w:b/>
                <w:bCs/>
                <w:kern w:val="0"/>
                <w:sz w:val="21"/>
                <w:szCs w:val="21"/>
              </w:rPr>
              <w:t>年</w:t>
            </w: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r>
              <w:rPr>
                <w:rFonts w:hint="eastAsia" w:ascii="方正仿宋_GBK" w:hAnsi="方正仿宋_GBK" w:eastAsia="方正仿宋_GBK" w:cs="方正仿宋_GBK"/>
                <w:b/>
                <w:bCs/>
                <w:kern w:val="0"/>
                <w:sz w:val="21"/>
                <w:szCs w:val="21"/>
              </w:rPr>
              <w:t>202</w:t>
            </w:r>
            <w:r>
              <w:rPr>
                <w:rFonts w:ascii="方正仿宋_GBK" w:hAnsi="方正仿宋_GBK" w:eastAsia="方正仿宋_GBK" w:cs="方正仿宋_GBK"/>
                <w:b/>
                <w:bCs/>
                <w:kern w:val="0"/>
                <w:sz w:val="21"/>
                <w:szCs w:val="21"/>
              </w:rPr>
              <w:t>2</w:t>
            </w:r>
            <w:r>
              <w:rPr>
                <w:rFonts w:hint="eastAsia" w:ascii="方正仿宋_GBK" w:hAnsi="方正仿宋_GBK" w:eastAsia="方正仿宋_GBK" w:cs="方正仿宋_GBK"/>
                <w:b/>
                <w:bCs/>
                <w:kern w:val="0"/>
                <w:sz w:val="21"/>
                <w:szCs w:val="21"/>
              </w:rPr>
              <w:t>年</w:t>
            </w:r>
          </w:p>
        </w:tc>
        <w:tc>
          <w:tcPr>
            <w:tcW w:w="584"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1"/>
                <w:szCs w:val="21"/>
              </w:rPr>
            </w:pPr>
          </w:p>
        </w:tc>
      </w:tr>
      <w:tr>
        <w:tblPrEx>
          <w:tblCellMar>
            <w:top w:w="0" w:type="dxa"/>
            <w:left w:w="108" w:type="dxa"/>
            <w:bottom w:w="0" w:type="dxa"/>
            <w:right w:w="108" w:type="dxa"/>
          </w:tblCellMar>
        </w:tblPrEx>
        <w:trPr>
          <w:trHeight w:val="447" w:hRule="atLeast"/>
        </w:trPr>
        <w:tc>
          <w:tcPr>
            <w:tcW w:w="10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商用电动货车</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20</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8</w:t>
            </w:r>
          </w:p>
        </w:tc>
        <w:tc>
          <w:tcPr>
            <w:tcW w:w="6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12</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18</w:t>
            </w: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46</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color w:val="000000"/>
                <w:sz w:val="21"/>
                <w:szCs w:val="21"/>
              </w:rPr>
              <w:t>110</w:t>
            </w:r>
          </w:p>
        </w:tc>
      </w:tr>
      <w:tr>
        <w:tblPrEx>
          <w:tblCellMar>
            <w:top w:w="0" w:type="dxa"/>
            <w:left w:w="108" w:type="dxa"/>
            <w:bottom w:w="0" w:type="dxa"/>
            <w:right w:w="108" w:type="dxa"/>
          </w:tblCellMar>
        </w:tblPrEx>
        <w:trPr>
          <w:trHeight w:val="442" w:hRule="atLeast"/>
        </w:trPr>
        <w:tc>
          <w:tcPr>
            <w:tcW w:w="10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商用电动客车</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272</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126</w:t>
            </w:r>
          </w:p>
        </w:tc>
        <w:tc>
          <w:tcPr>
            <w:tcW w:w="6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40</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99</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123</w:t>
            </w: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258</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color w:val="000000"/>
                <w:sz w:val="21"/>
                <w:szCs w:val="21"/>
              </w:rPr>
              <w:t>918</w:t>
            </w:r>
          </w:p>
        </w:tc>
      </w:tr>
      <w:tr>
        <w:tblPrEx>
          <w:tblCellMar>
            <w:top w:w="0" w:type="dxa"/>
            <w:left w:w="108" w:type="dxa"/>
            <w:bottom w:w="0" w:type="dxa"/>
            <w:right w:w="108" w:type="dxa"/>
          </w:tblCellMar>
        </w:tblPrEx>
        <w:trPr>
          <w:trHeight w:val="367" w:hRule="atLeast"/>
        </w:trPr>
        <w:tc>
          <w:tcPr>
            <w:tcW w:w="10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基本电动乘用</w:t>
            </w:r>
            <w:r>
              <w:rPr>
                <w:rFonts w:ascii="方正仿宋_GBK" w:hAnsi="方正仿宋_GBK" w:eastAsia="方正仿宋_GBK" w:cs="方正仿宋_GBK"/>
                <w:kern w:val="0"/>
                <w:sz w:val="21"/>
                <w:szCs w:val="21"/>
              </w:rPr>
              <w:t>车</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736</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324</w:t>
            </w:r>
          </w:p>
        </w:tc>
        <w:tc>
          <w:tcPr>
            <w:tcW w:w="6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288</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499</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804</w:t>
            </w: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1676</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color w:val="000000"/>
                <w:sz w:val="21"/>
                <w:szCs w:val="21"/>
              </w:rPr>
              <w:t>4327</w:t>
            </w:r>
          </w:p>
        </w:tc>
      </w:tr>
      <w:tr>
        <w:tblPrEx>
          <w:tblCellMar>
            <w:top w:w="0" w:type="dxa"/>
            <w:left w:w="108" w:type="dxa"/>
            <w:bottom w:w="0" w:type="dxa"/>
            <w:right w:w="108" w:type="dxa"/>
          </w:tblCellMar>
        </w:tblPrEx>
        <w:trPr>
          <w:trHeight w:val="410" w:hRule="atLeast"/>
        </w:trPr>
        <w:tc>
          <w:tcPr>
            <w:tcW w:w="10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总计</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1028</w:t>
            </w:r>
          </w:p>
        </w:tc>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458</w:t>
            </w:r>
          </w:p>
        </w:tc>
        <w:tc>
          <w:tcPr>
            <w:tcW w:w="6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334</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610</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945</w:t>
            </w: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ascii="方正仿宋_GBK" w:hAnsi="方正仿宋_GBK" w:eastAsia="方正仿宋_GBK" w:cs="方正仿宋_GBK"/>
                <w:kern w:val="0"/>
                <w:sz w:val="21"/>
                <w:szCs w:val="21"/>
              </w:rPr>
              <w:t>1980</w:t>
            </w:r>
          </w:p>
        </w:tc>
        <w:tc>
          <w:tcPr>
            <w:tcW w:w="5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w:t>
            </w:r>
            <w:r>
              <w:rPr>
                <w:rFonts w:ascii="方正仿宋_GBK" w:hAnsi="方正仿宋_GBK" w:eastAsia="方正仿宋_GBK" w:cs="方正仿宋_GBK"/>
                <w:kern w:val="0"/>
                <w:sz w:val="21"/>
                <w:szCs w:val="21"/>
              </w:rPr>
              <w:t>355</w:t>
            </w:r>
          </w:p>
        </w:tc>
      </w:tr>
    </w:tbl>
    <w:p>
      <w:pPr>
        <w:adjustRightInd w:val="0"/>
        <w:snapToGrid w:val="0"/>
        <w:jc w:val="center"/>
      </w:pPr>
    </w:p>
    <w:p>
      <w:pPr>
        <w:adjustRightInd w:val="0"/>
        <w:snapToGrid w:val="0"/>
        <w:jc w:val="center"/>
        <w:rPr>
          <w:rFonts w:ascii="方正仿宋_GBK" w:hAnsi="方正仿宋_GBK" w:eastAsia="方正仿宋_GBK" w:cs="方正仿宋_GBK"/>
          <w:sz w:val="32"/>
          <w:szCs w:val="32"/>
        </w:rPr>
      </w:pPr>
      <w:r>
        <w:drawing>
          <wp:inline distT="0" distB="0" distL="0" distR="0">
            <wp:extent cx="5257800" cy="2834640"/>
            <wp:effectExtent l="0" t="0" r="0" b="3810"/>
            <wp:docPr id="190398269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图3-1  德清县电动汽车发展情况</w:t>
      </w:r>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201</w:t>
      </w:r>
      <w:r>
        <w:rPr>
          <w:rFonts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t>年末，电动汽车总共</w:t>
      </w:r>
      <w:r>
        <w:rPr>
          <w:rFonts w:ascii="方正仿宋_GBK" w:hAnsi="方正仿宋_GBK" w:eastAsia="方正仿宋_GBK" w:cs="方正仿宋_GBK"/>
          <w:sz w:val="32"/>
          <w:szCs w:val="32"/>
        </w:rPr>
        <w:t>1028</w:t>
      </w:r>
      <w:r>
        <w:rPr>
          <w:rFonts w:hint="eastAsia" w:ascii="方正仿宋_GBK" w:hAnsi="方正仿宋_GBK" w:eastAsia="方正仿宋_GBK" w:cs="方正仿宋_GBK"/>
          <w:sz w:val="32"/>
          <w:szCs w:val="32"/>
        </w:rPr>
        <w:t>辆，201</w:t>
      </w:r>
      <w:r>
        <w:rPr>
          <w:rFonts w:ascii="方正仿宋_GBK" w:hAnsi="方正仿宋_GBK" w:eastAsia="方正仿宋_GBK" w:cs="方正仿宋_GBK"/>
          <w:sz w:val="32"/>
          <w:szCs w:val="32"/>
        </w:rPr>
        <w:t>8</w:t>
      </w:r>
      <w:r>
        <w:rPr>
          <w:rFonts w:hint="eastAsia" w:ascii="方正仿宋_GBK" w:hAnsi="方正仿宋_GBK" w:eastAsia="方正仿宋_GBK" w:cs="方正仿宋_GBK"/>
          <w:sz w:val="32"/>
          <w:szCs w:val="32"/>
        </w:rPr>
        <w:t>年后电动汽车快速增长，201</w:t>
      </w:r>
      <w:r>
        <w:rPr>
          <w:rFonts w:ascii="方正仿宋_GBK" w:hAnsi="方正仿宋_GBK" w:eastAsia="方正仿宋_GBK" w:cs="方正仿宋_GBK"/>
          <w:sz w:val="32"/>
          <w:szCs w:val="32"/>
        </w:rPr>
        <w:t>8</w:t>
      </w:r>
      <w:r>
        <w:rPr>
          <w:rFonts w:hint="eastAsia" w:ascii="方正仿宋_GBK" w:hAnsi="方正仿宋_GBK" w:eastAsia="方正仿宋_GBK" w:cs="方正仿宋_GBK"/>
          <w:sz w:val="32"/>
          <w:szCs w:val="32"/>
        </w:rPr>
        <w:t>年至202</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年间年均约增长</w:t>
      </w:r>
      <w:r>
        <w:rPr>
          <w:rFonts w:ascii="方正仿宋_GBK" w:hAnsi="方正仿宋_GBK" w:eastAsia="方正仿宋_GBK" w:cs="方正仿宋_GBK"/>
          <w:sz w:val="32"/>
          <w:szCs w:val="32"/>
        </w:rPr>
        <w:t>865</w:t>
      </w:r>
      <w:r>
        <w:rPr>
          <w:rFonts w:hint="eastAsia" w:ascii="方正仿宋_GBK" w:hAnsi="方正仿宋_GBK" w:eastAsia="方正仿宋_GBK" w:cs="方正仿宋_GBK"/>
          <w:sz w:val="32"/>
          <w:szCs w:val="32"/>
        </w:rPr>
        <w:t>辆。分类型看，商用电动货车年均增长</w:t>
      </w:r>
      <w:r>
        <w:rPr>
          <w:rFonts w:ascii="方正仿宋_GBK" w:hAnsi="方正仿宋_GBK" w:eastAsia="方正仿宋_GBK" w:cs="方正仿宋_GBK"/>
          <w:sz w:val="32"/>
          <w:szCs w:val="32"/>
        </w:rPr>
        <w:t>18</w:t>
      </w:r>
      <w:r>
        <w:rPr>
          <w:rFonts w:hint="eastAsia" w:ascii="方正仿宋_GBK" w:hAnsi="方正仿宋_GBK" w:eastAsia="方正仿宋_GBK" w:cs="方正仿宋_GBK"/>
          <w:sz w:val="32"/>
          <w:szCs w:val="32"/>
        </w:rPr>
        <w:t>辆，商用电动客车年均增长</w:t>
      </w:r>
      <w:r>
        <w:rPr>
          <w:rFonts w:ascii="方正仿宋_GBK" w:hAnsi="方正仿宋_GBK" w:eastAsia="方正仿宋_GBK" w:cs="方正仿宋_GBK"/>
          <w:sz w:val="32"/>
          <w:szCs w:val="32"/>
        </w:rPr>
        <w:t>129</w:t>
      </w:r>
      <w:r>
        <w:rPr>
          <w:rFonts w:hint="eastAsia" w:ascii="方正仿宋_GBK" w:hAnsi="方正仿宋_GBK" w:eastAsia="方正仿宋_GBK" w:cs="方正仿宋_GBK"/>
          <w:sz w:val="32"/>
          <w:szCs w:val="32"/>
        </w:rPr>
        <w:t>辆，基本电动乘用车年均增长</w:t>
      </w:r>
      <w:r>
        <w:rPr>
          <w:rFonts w:ascii="方正仿宋_GBK" w:hAnsi="方正仿宋_GBK" w:eastAsia="方正仿宋_GBK" w:cs="方正仿宋_GBK"/>
          <w:sz w:val="32"/>
          <w:szCs w:val="32"/>
        </w:rPr>
        <w:t>718</w:t>
      </w:r>
      <w:r>
        <w:rPr>
          <w:rFonts w:hint="eastAsia" w:ascii="方正仿宋_GBK" w:hAnsi="方正仿宋_GBK" w:eastAsia="方正仿宋_GBK" w:cs="方正仿宋_GBK"/>
          <w:sz w:val="32"/>
          <w:szCs w:val="32"/>
        </w:rPr>
        <w:t>辆。</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80" w:name="_Toc8265"/>
      <w:bookmarkStart w:id="81" w:name="_Toc25916"/>
      <w:bookmarkStart w:id="82" w:name="_Toc14596"/>
      <w:bookmarkStart w:id="83" w:name="_Toc828"/>
      <w:bookmarkStart w:id="84" w:name="_Toc28529"/>
      <w:bookmarkStart w:id="85" w:name="_Toc22467"/>
      <w:r>
        <w:rPr>
          <w:rFonts w:hint="eastAsia" w:ascii="方正楷体_GBK" w:hAnsi="方正楷体_GBK" w:eastAsia="方正楷体_GBK" w:cs="方正楷体_GBK"/>
          <w:b/>
          <w:bCs/>
          <w:sz w:val="32"/>
          <w:szCs w:val="32"/>
        </w:rPr>
        <w:t>（二）充电设施建设现状</w:t>
      </w:r>
      <w:bookmarkEnd w:id="80"/>
      <w:bookmarkEnd w:id="81"/>
      <w:bookmarkEnd w:id="82"/>
      <w:bookmarkEnd w:id="83"/>
      <w:bookmarkEnd w:id="84"/>
      <w:bookmarkEnd w:id="85"/>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充电基础设施是电动汽车普及的基础和保障，是“新基建”，新型公共基础设施。大力推进充电基础设施建设，有利于解决电动汽车充电难题，培育良好的新能源汽车应用环境；有利于提高公用服务水平，实现稳增长、调结构、惠民生的目标。</w:t>
      </w:r>
    </w:p>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1.发展举措</w:t>
      </w:r>
    </w:p>
    <w:p>
      <w:pPr>
        <w:adjustRightInd w:val="0"/>
        <w:snapToGrid w:val="0"/>
        <w:spacing w:line="560" w:lineRule="exact"/>
        <w:ind w:firstLine="640" w:firstLineChars="200"/>
        <w:rPr>
          <w:rFonts w:hint="eastAsia" w:ascii="方正仿宋_GBK" w:hAnsi="方正仿宋_GBK" w:eastAsia="微软雅黑" w:cs="方正仿宋_GBK"/>
          <w:sz w:val="32"/>
          <w:szCs w:val="32"/>
        </w:rPr>
      </w:pPr>
      <w:r>
        <w:rPr>
          <w:rFonts w:hint="eastAsia" w:ascii="方正仿宋_GBK" w:hAnsi="方正仿宋_GBK" w:eastAsia="方正仿宋_GBK" w:cs="方正仿宋_GBK"/>
          <w:sz w:val="32"/>
          <w:szCs w:val="32"/>
        </w:rPr>
        <w:t>浙江省电动汽车充电设施市场的发展起步较早。为深入贯彻落实党的十九大精神，生动践行“绿水青山就是金山银山”的理念，适应省委、省政府“八八战略”和“两富两美”战略，推进能源消费革命。湖州市委市政府为满足电动汽车充电需求，制定《湖州市促进电动汽车充电基础设施建设运营办法（暂行）》（湖政办发〔2016〕68号），加强充电基础设施建设和运营管理，形成了比较完善的充电网络。《</w:t>
      </w:r>
      <w:r>
        <w:fldChar w:fldCharType="begin"/>
      </w:r>
      <w:r>
        <w:instrText xml:space="preserve"> HYPERLINK "https://www.pkulaw.com/lar/5c9ab7f716e6fd720d6e2e1a14f40209bdfb.html?way=textSlc" \t "https://www.pkulaw.com/lar/_blank" </w:instrText>
      </w:r>
      <w:r>
        <w:fldChar w:fldCharType="separate"/>
      </w:r>
      <w:r>
        <w:rPr>
          <w:rFonts w:hint="eastAsia" w:ascii="方正仿宋_GBK" w:hAnsi="方正仿宋_GBK" w:eastAsia="方正仿宋_GBK" w:cs="方正仿宋_GBK"/>
          <w:sz w:val="32"/>
          <w:szCs w:val="32"/>
        </w:rPr>
        <w:t>德清县人民政府办公室关于印发德清县新能源汽车推广应用地方补助实施办法的通知</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》（德政办发〔2021〕37号），推出电动汽车相关补贴；《德清县巡游出租车电动化改造和行业体制改革实施方案》（德政办发〔2022〕1号），明确德清县巡游出租车电动化改造方案。</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（1）加快充电设施建设</w:t>
      </w:r>
      <w:r>
        <w:rPr>
          <w:rFonts w:hint="eastAsia" w:ascii="方正仿宋_GBK" w:hAnsi="方正仿宋_GBK" w:eastAsia="方正仿宋_GBK" w:cs="方正仿宋_GBK"/>
          <w:sz w:val="32"/>
          <w:szCs w:val="32"/>
        </w:rPr>
        <w:t>。按照"统筹规划、合理布局、适度超前"的原则，编制市区充电设施发展规划。同时，遵循"市场主导、快慢结合"的技术导向，综合考虑城市出行路线图和人口密集区域的分布，在大型商超、公共停车场、机关单位等多个区域建设公共充电基础设施。积极鼓励企事业自建充电桩并对外开放，提高资源利用率。在我县范围内基本缓解了"里程焦虑"问题。</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（2）出台政策标准规范</w:t>
      </w:r>
      <w:r>
        <w:rPr>
          <w:rFonts w:hint="eastAsia" w:ascii="方正仿宋_GBK" w:hAnsi="方正仿宋_GBK" w:eastAsia="方正仿宋_GBK" w:cs="方正仿宋_GBK"/>
          <w:sz w:val="32"/>
          <w:szCs w:val="32"/>
        </w:rPr>
        <w:t>。为规范充电基础设施建设运营，制定《湖州市促进电动汽车充电基础设施建设运营办法（暂行）》（湖政办发〔2016〕68号，为进一步细化设计、建设、验收标准，市推广办联合五部门印发《湖州市新建住宅小区和公共建筑配套充电基础设施规划设计指导意见》（湖推广办联发〔2019〕1号），明确相关建设标准。在此基础上，编制《湖州市住宅小区充电设施建设及电力接入技术规范》地方标准，进一步明确充电设施配套和接入操作规范。</w:t>
      </w:r>
    </w:p>
    <w:p>
      <w:pPr>
        <w:pStyle w:val="11"/>
        <w:spacing w:line="580" w:lineRule="exact"/>
        <w:ind w:firstLine="660"/>
        <w:rPr>
          <w:rFonts w:ascii="方正仿宋_GBK" w:hAnsi="方正仿宋_GBK" w:eastAsia="方正仿宋_GBK" w:cs="方正仿宋_GBK"/>
          <w:b/>
          <w:bCs/>
          <w:sz w:val="32"/>
          <w:szCs w:val="32"/>
          <w:lang w:val="en-US"/>
        </w:rPr>
      </w:pPr>
      <w:r>
        <w:rPr>
          <w:rFonts w:hint="eastAsia" w:ascii="方正仿宋_GBK" w:hAnsi="方正仿宋_GBK" w:eastAsia="方正仿宋_GBK" w:cs="方正仿宋_GBK"/>
          <w:b/>
          <w:bCs/>
          <w:sz w:val="32"/>
          <w:szCs w:val="32"/>
          <w:lang w:val="en-US"/>
        </w:rPr>
        <w:t>（3）提供地方补贴。</w:t>
      </w:r>
      <w:r>
        <w:rPr>
          <w:rFonts w:hint="eastAsia" w:ascii="方正仿宋_GBK" w:hAnsi="方正仿宋_GBK" w:eastAsia="方正仿宋_GBK" w:cs="方正仿宋_GBK"/>
          <w:sz w:val="32"/>
          <w:szCs w:val="32"/>
          <w:lang w:val="en-US"/>
        </w:rPr>
        <w:t>按照《</w:t>
      </w:r>
      <w:r>
        <w:fldChar w:fldCharType="begin"/>
      </w:r>
      <w:r>
        <w:instrText xml:space="preserve"> HYPERLINK "https://www.pkulaw.com/lar/5c9ab7f716e6fd720d6e2e1a14f40209bdfb.html?way=textSlc" \t "https://www.pkulaw.com/lar/_blank" </w:instrText>
      </w:r>
      <w:r>
        <w:fldChar w:fldCharType="separate"/>
      </w:r>
      <w:r>
        <w:rPr>
          <w:rFonts w:hint="eastAsia" w:ascii="方正仿宋_GBK" w:hAnsi="方正仿宋_GBK" w:eastAsia="方正仿宋_GBK" w:cs="方正仿宋_GBK"/>
          <w:sz w:val="32"/>
          <w:szCs w:val="32"/>
          <w:lang w:val="en-US"/>
        </w:rPr>
        <w:t>德清县人民政府办公室关于印发德清县新能源汽车推广应用地方补助实施办法的通知</w:t>
      </w:r>
      <w:r>
        <w:rPr>
          <w:rFonts w:hint="eastAsia" w:ascii="方正仿宋_GBK" w:hAnsi="方正仿宋_GBK" w:eastAsia="方正仿宋_GBK" w:cs="方正仿宋_GBK"/>
          <w:sz w:val="32"/>
          <w:szCs w:val="32"/>
          <w:lang w:val="en-US"/>
        </w:rPr>
        <w:fldChar w:fldCharType="end"/>
      </w:r>
      <w:r>
        <w:rPr>
          <w:rFonts w:hint="eastAsia" w:ascii="方正仿宋_GBK" w:hAnsi="方正仿宋_GBK" w:eastAsia="方正仿宋_GBK" w:cs="方正仿宋_GBK"/>
          <w:sz w:val="32"/>
          <w:szCs w:val="32"/>
          <w:lang w:val="en-US"/>
        </w:rPr>
        <w:t>》（德政办发〔2021〕37号），购置新能源车补助，2020年1月1日起，新上牌符合条件的运营车辆并接入市级监控平台的，对新能源出租车、公务车、环卫车给予运营平台2万元/辆补助；对轻型城市物流车、网约车给予运营平台1万元/辆补助。公共和专用充电设施补助：对经备案且总充电功率达3000千瓦以上（含）（单个直流桩60千瓦以上）的，并承诺接入监控平台的，按充电设施功率一次性给予400元/每千瓦补助。充电量补助：对公共充电基础设施建设运营企业，经备案并承诺接入监控平台的，以充电设施的实际充电量为基准，按0.12元/千瓦时的标准给予充电量补助。</w:t>
      </w:r>
    </w:p>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2.建设现状</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截至202</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年底，德清县已建设充电站3</w:t>
      </w:r>
      <w:r>
        <w:rPr>
          <w:rFonts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t>座，其中公交车充电站</w:t>
      </w:r>
      <w:r>
        <w:rPr>
          <w:rFonts w:ascii="方正仿宋_GBK" w:hAnsi="方正仿宋_GBK" w:eastAsia="方正仿宋_GBK" w:cs="方正仿宋_GBK"/>
          <w:sz w:val="32"/>
          <w:szCs w:val="32"/>
        </w:rPr>
        <w:t>5</w:t>
      </w:r>
      <w:r>
        <w:rPr>
          <w:rFonts w:hint="eastAsia" w:ascii="方正仿宋_GBK" w:hAnsi="方正仿宋_GBK" w:eastAsia="方正仿宋_GBK" w:cs="方正仿宋_GBK"/>
          <w:sz w:val="32"/>
          <w:szCs w:val="32"/>
        </w:rPr>
        <w:t>座，公共充电站2</w:t>
      </w:r>
      <w:r>
        <w:rPr>
          <w:rFonts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t>座，高速充电站</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座，站内共配置充电桩277个；</w:t>
      </w:r>
      <w:r>
        <w:rPr>
          <w:rFonts w:ascii="方正仿宋_GBK" w:hAnsi="方正仿宋_GBK" w:eastAsia="方正仿宋_GBK" w:cs="方正仿宋_GBK"/>
          <w:sz w:val="32"/>
          <w:szCs w:val="32"/>
        </w:rPr>
        <w:t>自用充电桩</w:t>
      </w:r>
      <w:r>
        <w:rPr>
          <w:rFonts w:hint="eastAsia" w:ascii="方正仿宋_GBK" w:hAnsi="方正仿宋_GBK" w:eastAsia="方正仿宋_GBK" w:cs="方正仿宋_GBK"/>
          <w:sz w:val="32"/>
          <w:szCs w:val="32"/>
        </w:rPr>
        <w:t>2002个，如表3.2所示：</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表3.2  德清县充电设施现状</w:t>
      </w:r>
    </w:p>
    <w:p>
      <w:pPr>
        <w:widowControl/>
        <w:jc w:val="righ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单位：座、桩</w:t>
      </w:r>
    </w:p>
    <w:tbl>
      <w:tblPr>
        <w:tblStyle w:val="26"/>
        <w:tblW w:w="4998" w:type="pct"/>
        <w:tblInd w:w="0" w:type="dxa"/>
        <w:tblLayout w:type="autofit"/>
        <w:tblCellMar>
          <w:top w:w="0" w:type="dxa"/>
          <w:left w:w="0" w:type="dxa"/>
          <w:bottom w:w="0" w:type="dxa"/>
          <w:right w:w="0" w:type="dxa"/>
        </w:tblCellMar>
      </w:tblPr>
      <w:tblGrid>
        <w:gridCol w:w="644"/>
        <w:gridCol w:w="934"/>
        <w:gridCol w:w="1464"/>
        <w:gridCol w:w="1996"/>
        <w:gridCol w:w="1099"/>
        <w:gridCol w:w="1099"/>
        <w:gridCol w:w="1100"/>
      </w:tblGrid>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sz w:val="20"/>
                <w:szCs w:val="20"/>
              </w:rPr>
            </w:pPr>
            <w:bookmarkStart w:id="86" w:name="_Toc1889"/>
            <w:bookmarkStart w:id="87" w:name="_Toc25489"/>
            <w:bookmarkStart w:id="88" w:name="_Toc23715"/>
            <w:bookmarkStart w:id="89" w:name="_Toc2332"/>
            <w:bookmarkStart w:id="90" w:name="_Toc7516"/>
            <w:r>
              <w:rPr>
                <w:rFonts w:ascii="方正仿宋_GBK" w:hAnsi="方正仿宋_GBK" w:eastAsia="方正仿宋_GBK" w:cs="方正仿宋_GBK"/>
                <w:b/>
                <w:kern w:val="0"/>
                <w:sz w:val="20"/>
                <w:szCs w:val="20"/>
              </w:rPr>
              <w:t>序号</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sz w:val="20"/>
                <w:szCs w:val="20"/>
              </w:rPr>
            </w:pPr>
            <w:r>
              <w:rPr>
                <w:rFonts w:ascii="方正仿宋_GBK" w:hAnsi="方正仿宋_GBK" w:eastAsia="方正仿宋_GBK" w:cs="方正仿宋_GBK"/>
                <w:b/>
                <w:kern w:val="0"/>
                <w:sz w:val="20"/>
                <w:szCs w:val="20"/>
              </w:rPr>
              <w:t>类型</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sz w:val="20"/>
                <w:szCs w:val="20"/>
              </w:rPr>
            </w:pPr>
            <w:r>
              <w:rPr>
                <w:rFonts w:ascii="方正仿宋_GBK" w:hAnsi="方正仿宋_GBK" w:eastAsia="方正仿宋_GBK" w:cs="方正仿宋_GBK"/>
                <w:b/>
                <w:kern w:val="0"/>
                <w:sz w:val="20"/>
                <w:szCs w:val="20"/>
              </w:rPr>
              <w:t>数量（站/桩）</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sz w:val="20"/>
                <w:szCs w:val="20"/>
              </w:rPr>
            </w:pPr>
            <w:r>
              <w:rPr>
                <w:rFonts w:ascii="方正仿宋_GBK" w:hAnsi="方正仿宋_GBK" w:eastAsia="方正仿宋_GBK" w:cs="方正仿宋_GBK"/>
                <w:b/>
                <w:kern w:val="0"/>
                <w:sz w:val="20"/>
                <w:szCs w:val="20"/>
              </w:rPr>
              <w:t>小类</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sz w:val="20"/>
                <w:szCs w:val="20"/>
              </w:rPr>
            </w:pPr>
            <w:r>
              <w:rPr>
                <w:rFonts w:ascii="方正仿宋_GBK" w:hAnsi="方正仿宋_GBK" w:eastAsia="方正仿宋_GBK" w:cs="方正仿宋_GBK"/>
                <w:b/>
                <w:kern w:val="0"/>
                <w:sz w:val="20"/>
                <w:szCs w:val="20"/>
              </w:rPr>
              <w:t>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sz w:val="20"/>
                <w:szCs w:val="20"/>
              </w:rPr>
            </w:pPr>
            <w:r>
              <w:rPr>
                <w:rFonts w:ascii="方正仿宋_GBK" w:hAnsi="方正仿宋_GBK" w:eastAsia="方正仿宋_GBK" w:cs="方正仿宋_GBK"/>
                <w:b/>
                <w:kern w:val="0"/>
                <w:sz w:val="20"/>
                <w:szCs w:val="20"/>
              </w:rPr>
              <w:t>快充桩</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sz w:val="20"/>
                <w:szCs w:val="20"/>
              </w:rPr>
            </w:pPr>
            <w:r>
              <w:rPr>
                <w:rFonts w:ascii="方正仿宋_GBK" w:hAnsi="方正仿宋_GBK" w:eastAsia="方正仿宋_GBK" w:cs="方正仿宋_GBK"/>
                <w:b/>
                <w:kern w:val="0"/>
                <w:sz w:val="20"/>
                <w:szCs w:val="20"/>
              </w:rPr>
              <w:t>慢电桩</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1</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充电站</w:t>
            </w:r>
          </w:p>
        </w:tc>
        <w:tc>
          <w:tcPr>
            <w:tcW w:w="87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34</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公交车充电站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5</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24</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2</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出租车充电站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3</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专用车充电站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4</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租赁车充电站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5</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网约车充电站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6</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公共充电站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27</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237</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hint="eastAsia" w:ascii="方正仿宋_GBK" w:hAnsi="方正仿宋_GBK" w:eastAsia="方正仿宋_GBK" w:cs="方正仿宋_GBK"/>
                <w:kern w:val="0"/>
                <w:sz w:val="20"/>
                <w:szCs w:val="20"/>
              </w:rPr>
              <w:t>61</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7</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高速充电站</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2</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16</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0</w:t>
            </w:r>
          </w:p>
        </w:tc>
      </w:tr>
      <w:tr>
        <w:tblPrEx>
          <w:tblCellMar>
            <w:top w:w="0" w:type="dxa"/>
            <w:left w:w="0" w:type="dxa"/>
            <w:bottom w:w="0" w:type="dxa"/>
            <w:right w:w="0" w:type="dxa"/>
          </w:tblCellMar>
        </w:tblPrEx>
        <w:trPr>
          <w:trHeight w:val="396"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8</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充电桩</w:t>
            </w:r>
          </w:p>
        </w:tc>
        <w:tc>
          <w:tcPr>
            <w:tcW w:w="8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2002</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自用充电桩</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sz w:val="20"/>
                <w:szCs w:val="20"/>
              </w:rPr>
            </w:pPr>
            <w:r>
              <w:rPr>
                <w:rFonts w:ascii="方正仿宋_GBK" w:hAnsi="方正仿宋_GBK" w:eastAsia="方正仿宋_GBK" w:cs="方正仿宋_GBK"/>
                <w:kern w:val="0"/>
                <w:sz w:val="20"/>
                <w:szCs w:val="20"/>
              </w:rPr>
              <w:t>2002</w:t>
            </w:r>
          </w:p>
        </w:tc>
      </w:tr>
    </w:tbl>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91" w:name="_Toc31021"/>
      <w:r>
        <w:rPr>
          <w:rFonts w:hint="eastAsia" w:ascii="方正楷体_GBK" w:hAnsi="方正楷体_GBK" w:eastAsia="方正楷体_GBK" w:cs="方正楷体_GBK"/>
          <w:b/>
          <w:bCs/>
          <w:sz w:val="32"/>
          <w:szCs w:val="32"/>
        </w:rPr>
        <w:t>（三）问题与挑战</w:t>
      </w:r>
      <w:bookmarkEnd w:id="86"/>
      <w:bookmarkEnd w:id="87"/>
      <w:bookmarkEnd w:id="88"/>
      <w:bookmarkEnd w:id="89"/>
      <w:bookmarkEnd w:id="90"/>
      <w:bookmarkEnd w:id="91"/>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电动汽车充电基础设施建设由于涉及资金、用地、电网接入、投资运营等多方面因素，推进实践中可能存在以下的问题与挑战：</w:t>
      </w:r>
    </w:p>
    <w:p>
      <w:pPr>
        <w:adjustRightInd w:val="0"/>
        <w:snapToGrid w:val="0"/>
        <w:spacing w:line="560" w:lineRule="exact"/>
        <w:ind w:firstLine="643" w:firstLineChars="200"/>
        <w:rPr>
          <w:rFonts w:ascii="方正仿宋_GBK" w:hAnsi="方正仿宋_GBK" w:eastAsia="方正仿宋_GBK" w:cs="方正仿宋_GBK"/>
          <w:b/>
          <w:bCs/>
          <w:sz w:val="32"/>
          <w:szCs w:val="32"/>
        </w:rPr>
      </w:pPr>
      <w:bookmarkStart w:id="92" w:name="_Toc28258"/>
      <w:bookmarkStart w:id="93" w:name="_Toc13305"/>
      <w:bookmarkStart w:id="94" w:name="_Toc17079"/>
      <w:r>
        <w:rPr>
          <w:rFonts w:hint="eastAsia" w:ascii="方正仿宋_GBK" w:hAnsi="方正仿宋_GBK" w:eastAsia="方正仿宋_GBK" w:cs="方正仿宋_GBK"/>
          <w:b/>
          <w:bCs/>
          <w:sz w:val="32"/>
          <w:szCs w:val="32"/>
        </w:rPr>
        <w:t>1.充电设施利用率仍偏低</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部分充电场站新建、改造成本高，运行成本过高，停用和损坏修复成本高；同时，被闲置或充电量过少；受公共停车位不足等影响，公用充电车位被燃油车占用，执法部门没有进行有效的管理，降低充电设施利用效率。同时，高速公路服务区场站由于场地租赁费高、运维成本高等原因，导致投资意愿低下。随着峰谷电价的进一步调整，公交等刚性公共运营充电桩成本高的问题也显现。</w:t>
      </w:r>
    </w:p>
    <w:p>
      <w:pPr>
        <w:adjustRightInd w:val="0"/>
        <w:snapToGrid w:val="0"/>
        <w:spacing w:line="560" w:lineRule="exact"/>
        <w:ind w:firstLine="643" w:firstLineChars="20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2.充电设施区域布局不平衡</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公用充电桩区域布局不均衡，城市区域内部充电桩发展存在结构性失衡，缺乏科学统筹布局规划。运营车辆充电需求相对集中在中心城区和商业圈停车场站；偏远城郊等则相对缺失，资源浪费和结构性短缺并存。</w:t>
      </w:r>
    </w:p>
    <w:p>
      <w:pPr>
        <w:adjustRightInd w:val="0"/>
        <w:snapToGrid w:val="0"/>
        <w:spacing w:line="560" w:lineRule="exact"/>
        <w:ind w:firstLine="643" w:firstLineChars="200"/>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3.老旧小区充电难问题突出</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老旧小区充电基础设施建设涉及车位产权、电力通道条件、充电桩与车位及绿化矛盾。老旧小区充电设施的报建、审批、运营等方面的程序相对复杂，同时与部分老小区车位紧张、车位产权和使用权不明确等矛盾交织，造成各小区安装要求不一、规范不明，推行力度参差不齐。</w:t>
      </w:r>
    </w:p>
    <w:p>
      <w:pPr>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br w:type="page"/>
      </w:r>
    </w:p>
    <w:p>
      <w:pPr>
        <w:spacing w:line="560" w:lineRule="exact"/>
        <w:ind w:firstLine="640" w:firstLineChars="200"/>
        <w:outlineLvl w:val="0"/>
        <w:rPr>
          <w:rFonts w:ascii="方正黑体_GBK" w:hAnsi="方正黑体_GBK" w:eastAsia="方正黑体_GBK" w:cs="方正黑体_GBK"/>
          <w:b/>
          <w:bCs/>
          <w:sz w:val="32"/>
          <w:szCs w:val="32"/>
        </w:rPr>
      </w:pPr>
      <w:bookmarkStart w:id="95" w:name="_Toc9487"/>
      <w:bookmarkStart w:id="96" w:name="_Toc5425"/>
      <w:bookmarkStart w:id="97" w:name="_Toc3160"/>
      <w:r>
        <w:rPr>
          <w:rFonts w:hint="eastAsia" w:ascii="方正黑体_GBK" w:hAnsi="方正黑体_GBK" w:eastAsia="方正黑体_GBK" w:cs="方正黑体_GBK"/>
          <w:b/>
          <w:bCs/>
          <w:sz w:val="32"/>
          <w:szCs w:val="32"/>
        </w:rPr>
        <w:t>四、充电基础设施发展需求预测</w:t>
      </w:r>
      <w:bookmarkEnd w:id="92"/>
      <w:bookmarkEnd w:id="93"/>
      <w:bookmarkEnd w:id="94"/>
      <w:bookmarkEnd w:id="95"/>
      <w:bookmarkEnd w:id="96"/>
      <w:bookmarkEnd w:id="97"/>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98" w:name="_Toc30064"/>
      <w:bookmarkStart w:id="99" w:name="_Toc1194"/>
      <w:bookmarkStart w:id="100" w:name="_Toc12482"/>
      <w:bookmarkStart w:id="101" w:name="_Toc32296"/>
      <w:bookmarkStart w:id="102" w:name="_Toc15652"/>
      <w:bookmarkStart w:id="103" w:name="_Toc3396"/>
      <w:r>
        <w:rPr>
          <w:rFonts w:hint="eastAsia" w:ascii="方正楷体_GBK" w:hAnsi="方正楷体_GBK" w:eastAsia="方正楷体_GBK" w:cs="方正楷体_GBK"/>
          <w:b/>
          <w:bCs/>
          <w:sz w:val="32"/>
          <w:szCs w:val="32"/>
        </w:rPr>
        <w:t>（一）电动汽车推广应用预测</w:t>
      </w:r>
      <w:bookmarkEnd w:id="98"/>
      <w:bookmarkEnd w:id="99"/>
      <w:bookmarkEnd w:id="100"/>
      <w:bookmarkEnd w:id="101"/>
      <w:bookmarkEnd w:id="102"/>
      <w:bookmarkEnd w:id="103"/>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按照电动汽车用途，湖州市德清县电动汽车推广应用范围包括公交车、出租车、专用车、公务车、私人乘用车及网约车，共计6类。各类电动汽车推广规模预测如下：</w:t>
      </w:r>
    </w:p>
    <w:p>
      <w:pPr>
        <w:spacing w:line="560" w:lineRule="exact"/>
        <w:ind w:firstLine="643" w:firstLineChars="200"/>
        <w:outlineLvl w:val="2"/>
        <w:rPr>
          <w:rFonts w:ascii="方正仿宋_GBK" w:hAnsi="方正仿宋_GBK" w:eastAsia="方正仿宋_GBK" w:cs="方正仿宋_GBK"/>
          <w:b/>
          <w:sz w:val="32"/>
          <w:szCs w:val="32"/>
        </w:rPr>
      </w:pPr>
      <w:bookmarkStart w:id="104" w:name="_Toc3795"/>
      <w:bookmarkStart w:id="105" w:name="_Toc10365"/>
      <w:r>
        <w:rPr>
          <w:rFonts w:ascii="方正仿宋_GBK" w:hAnsi="方正仿宋_GBK" w:eastAsia="方正仿宋_GBK" w:cs="方正仿宋_GBK"/>
          <w:b/>
          <w:sz w:val="32"/>
          <w:szCs w:val="32"/>
        </w:rPr>
        <w:t>1.电动公交车规模预测</w:t>
      </w:r>
      <w:bookmarkEnd w:id="104"/>
      <w:bookmarkEnd w:id="105"/>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湖州市德清县积极推进出行方式绿色化，全面实施城区纯电动公交全覆盖行动，大力推进电动公交充电场站建设，保障交通绿色发展。按照《新能源汽车产业发展规划（2021-2035年）》，明确“2021年起，国家生态文明试验区、大气污染防治重点区域新增或更新公交、出租、物流配送等公共领域车辆，新能源汽车比例不低于80%"。因此，“十四五”将成为新能源交通工具逐步替代燃油车船的关键期，必将带动充电设施的快速增长。</w:t>
      </w:r>
    </w:p>
    <w:p>
      <w:pPr>
        <w:adjustRightInd w:val="0"/>
        <w:snapToGrid w:val="0"/>
        <w:spacing w:line="560" w:lineRule="exact"/>
        <w:ind w:firstLine="640" w:firstLineChars="200"/>
        <w:jc w:val="left"/>
      </w:pPr>
      <w:r>
        <w:rPr>
          <w:rFonts w:hint="eastAsia" w:ascii="方正仿宋_GBK" w:hAnsi="方正仿宋_GBK" w:eastAsia="方正仿宋_GBK" w:cs="方正仿宋_GBK"/>
          <w:sz w:val="32"/>
          <w:szCs w:val="32"/>
        </w:rPr>
        <w:t>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年，德清县共有公交车</w:t>
      </w:r>
      <w:r>
        <w:rPr>
          <w:rFonts w:ascii="方正仿宋_GBK" w:hAnsi="方正仿宋_GBK" w:eastAsia="方正仿宋_GBK" w:cs="方正仿宋_GBK"/>
          <w:sz w:val="32"/>
          <w:szCs w:val="32"/>
        </w:rPr>
        <w:t>325</w:t>
      </w:r>
      <w:r>
        <w:rPr>
          <w:rFonts w:hint="eastAsia" w:ascii="方正仿宋_GBK" w:hAnsi="方正仿宋_GBK" w:eastAsia="方正仿宋_GBK" w:cs="方正仿宋_GBK"/>
          <w:sz w:val="32"/>
          <w:szCs w:val="32"/>
        </w:rPr>
        <w:t>辆，均为电动公交汽车，实现市区、城市、城乡公交车辆100%纯电动、零排放。根据长运公司预测，德清县“十四五”期间预计新增</w:t>
      </w:r>
      <w:r>
        <w:rPr>
          <w:rFonts w:ascii="方正仿宋_GBK" w:hAnsi="方正仿宋_GBK" w:eastAsia="方正仿宋_GBK" w:cs="方正仿宋_GBK"/>
          <w:sz w:val="32"/>
          <w:szCs w:val="32"/>
        </w:rPr>
        <w:t>54</w:t>
      </w:r>
      <w:r>
        <w:rPr>
          <w:rFonts w:hint="eastAsia" w:ascii="方正仿宋_GBK" w:hAnsi="方正仿宋_GBK" w:eastAsia="方正仿宋_GBK" w:cs="方正仿宋_GBK"/>
          <w:sz w:val="32"/>
          <w:szCs w:val="32"/>
        </w:rPr>
        <w:t>辆。</w:t>
      </w:r>
    </w:p>
    <w:p>
      <w:pPr>
        <w:jc w:val="left"/>
        <w:rPr>
          <w:rFonts w:ascii="方正仿宋_GBK" w:hAnsi="方正仿宋_GBK" w:eastAsia="方正仿宋_GBK" w:cs="方正仿宋_GBK"/>
          <w:b/>
          <w:sz w:val="28"/>
          <w:szCs w:val="28"/>
        </w:rPr>
      </w:pPr>
      <w:bookmarkStart w:id="106" w:name="_Toc25208"/>
      <w:bookmarkStart w:id="107" w:name="_Toc29411"/>
      <w:r>
        <w:rPr>
          <w:rFonts w:hint="eastAsia" w:ascii="方正仿宋_GBK" w:hAnsi="方正仿宋_GBK" w:eastAsia="方正仿宋_GBK" w:cs="方正仿宋_GBK"/>
          <w:b/>
          <w:sz w:val="28"/>
          <w:szCs w:val="28"/>
        </w:rPr>
        <w:br w:type="page"/>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表4.1  电动公交车预测</w:t>
      </w:r>
    </w:p>
    <w:p>
      <w:pPr>
        <w:adjustRightInd w:val="0"/>
        <w:snapToGrid w:val="0"/>
        <w:spacing w:line="360" w:lineRule="auto"/>
        <w:jc w:val="righ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单位：辆</w:t>
      </w:r>
    </w:p>
    <w:tbl>
      <w:tblPr>
        <w:tblStyle w:val="26"/>
        <w:tblW w:w="5038" w:type="pct"/>
        <w:tblInd w:w="-5" w:type="dxa"/>
        <w:tblLayout w:type="autofit"/>
        <w:tblCellMar>
          <w:top w:w="0" w:type="dxa"/>
          <w:left w:w="108" w:type="dxa"/>
          <w:bottom w:w="0" w:type="dxa"/>
          <w:right w:w="108" w:type="dxa"/>
        </w:tblCellMar>
      </w:tblPr>
      <w:tblGrid>
        <w:gridCol w:w="1603"/>
        <w:gridCol w:w="1747"/>
        <w:gridCol w:w="1892"/>
        <w:gridCol w:w="2041"/>
        <w:gridCol w:w="1307"/>
      </w:tblGrid>
      <w:tr>
        <w:tblPrEx>
          <w:tblCellMar>
            <w:top w:w="0" w:type="dxa"/>
            <w:left w:w="108" w:type="dxa"/>
            <w:bottom w:w="0" w:type="dxa"/>
            <w:right w:w="108" w:type="dxa"/>
          </w:tblCellMar>
        </w:tblPrEx>
        <w:trPr>
          <w:trHeight w:val="429" w:hRule="atLeast"/>
        </w:trPr>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330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新增</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累计新增</w:t>
            </w:r>
          </w:p>
        </w:tc>
      </w:tr>
      <w:tr>
        <w:tblPrEx>
          <w:tblCellMar>
            <w:top w:w="0" w:type="dxa"/>
            <w:left w:w="108" w:type="dxa"/>
            <w:bottom w:w="0" w:type="dxa"/>
            <w:right w:w="108" w:type="dxa"/>
          </w:tblCellMar>
        </w:tblPrEx>
        <w:trPr>
          <w:trHeight w:val="519" w:hRule="atLeast"/>
        </w:trPr>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1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p>
        </w:tc>
      </w:tr>
      <w:tr>
        <w:tblPrEx>
          <w:tblCellMar>
            <w:top w:w="0" w:type="dxa"/>
            <w:left w:w="108" w:type="dxa"/>
            <w:bottom w:w="0" w:type="dxa"/>
            <w:right w:w="108" w:type="dxa"/>
          </w:tblCellMar>
        </w:tblPrEx>
        <w:trPr>
          <w:trHeight w:val="300" w:hRule="atLeast"/>
        </w:trPr>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325</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16</w:t>
            </w:r>
          </w:p>
        </w:tc>
        <w:tc>
          <w:tcPr>
            <w:tcW w:w="11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18</w:t>
            </w:r>
          </w:p>
        </w:tc>
        <w:tc>
          <w:tcPr>
            <w:tcW w:w="11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20</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54</w:t>
            </w:r>
          </w:p>
        </w:tc>
      </w:tr>
    </w:tbl>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2.电动出租车规模预测</w:t>
      </w:r>
      <w:bookmarkEnd w:id="106"/>
      <w:bookmarkEnd w:id="107"/>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年，德清县共有出租车163辆。根据县交通运输局调研了解， 2022年已实现</w:t>
      </w:r>
      <w:r>
        <w:rPr>
          <w:rFonts w:ascii="方正仿宋_GBK" w:hAnsi="方正仿宋_GBK" w:eastAsia="方正仿宋_GBK" w:cs="方正仿宋_GBK"/>
          <w:sz w:val="32"/>
          <w:szCs w:val="32"/>
        </w:rPr>
        <w:t>163辆出租车纯电动化全覆盖</w:t>
      </w:r>
      <w:r>
        <w:rPr>
          <w:rFonts w:hint="eastAsia" w:ascii="方正仿宋_GBK" w:hAnsi="方正仿宋_GBK" w:eastAsia="方正仿宋_GBK" w:cs="方正仿宋_GBK"/>
          <w:sz w:val="32"/>
          <w:szCs w:val="32"/>
        </w:rPr>
        <w:t>，租车电动化率100%，</w:t>
      </w:r>
      <w:r>
        <w:rPr>
          <w:rFonts w:ascii="方正仿宋_GBK" w:hAnsi="方正仿宋_GBK" w:eastAsia="方正仿宋_GBK" w:cs="方正仿宋_GBK"/>
          <w:sz w:val="32"/>
          <w:szCs w:val="32"/>
        </w:rPr>
        <w:t>率先成为全市首个纯电动出租车全覆盖的县域城市</w:t>
      </w: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有力助推绿色低碳共富社会主义新湖州建设。</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表4.2  电动出租车预测</w:t>
      </w:r>
    </w:p>
    <w:p>
      <w:pPr>
        <w:adjustRightInd w:val="0"/>
        <w:snapToGrid w:val="0"/>
        <w:spacing w:line="360" w:lineRule="auto"/>
        <w:jc w:val="righ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单位：辆</w:t>
      </w:r>
    </w:p>
    <w:tbl>
      <w:tblPr>
        <w:tblStyle w:val="26"/>
        <w:tblW w:w="8522" w:type="dxa"/>
        <w:tblInd w:w="0" w:type="dxa"/>
        <w:tblLayout w:type="fixed"/>
        <w:tblCellMar>
          <w:top w:w="0" w:type="dxa"/>
          <w:left w:w="108" w:type="dxa"/>
          <w:bottom w:w="0" w:type="dxa"/>
          <w:right w:w="108" w:type="dxa"/>
        </w:tblCellMar>
      </w:tblPr>
      <w:tblGrid>
        <w:gridCol w:w="1555"/>
        <w:gridCol w:w="1701"/>
        <w:gridCol w:w="1842"/>
        <w:gridCol w:w="1864"/>
        <w:gridCol w:w="1560"/>
      </w:tblGrid>
      <w:tr>
        <w:tblPrEx>
          <w:tblCellMar>
            <w:top w:w="0" w:type="dxa"/>
            <w:left w:w="108" w:type="dxa"/>
            <w:bottom w:w="0" w:type="dxa"/>
            <w:right w:w="108" w:type="dxa"/>
          </w:tblCellMar>
        </w:tblPrEx>
        <w:trPr>
          <w:trHeight w:val="3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540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当年新增</w:t>
            </w:r>
          </w:p>
        </w:tc>
        <w:tc>
          <w:tcPr>
            <w:tcW w:w="1560"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累计新增</w:t>
            </w:r>
          </w:p>
        </w:tc>
      </w:tr>
      <w:tr>
        <w:tblPrEx>
          <w:tblCellMar>
            <w:top w:w="0" w:type="dxa"/>
            <w:left w:w="108" w:type="dxa"/>
            <w:bottom w:w="0" w:type="dxa"/>
            <w:right w:w="108" w:type="dxa"/>
          </w:tblCellMar>
        </w:tblPrEx>
        <w:trPr>
          <w:trHeight w:val="6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w:t>
            </w:r>
            <w:r>
              <w:rPr>
                <w:rFonts w:ascii="方正仿宋_GBK" w:hAnsi="方正仿宋_GBK" w:eastAsia="方正仿宋_GBK" w:cs="方正仿宋_GBK"/>
                <w:b/>
                <w:bCs/>
                <w:kern w:val="0"/>
                <w:sz w:val="24"/>
                <w:szCs w:val="24"/>
              </w:rPr>
              <w:t>2</w:t>
            </w:r>
            <w:r>
              <w:rPr>
                <w:rFonts w:hint="eastAsia" w:ascii="方正仿宋_GBK" w:hAnsi="方正仿宋_GBK" w:eastAsia="方正仿宋_GBK" w:cs="方正仿宋_GBK"/>
                <w:b/>
                <w:bCs/>
                <w:kern w:val="0"/>
                <w:sz w:val="24"/>
                <w:szCs w:val="24"/>
              </w:rPr>
              <w:t>年</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2023年</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2024年</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2025年</w:t>
            </w:r>
          </w:p>
        </w:tc>
        <w:tc>
          <w:tcPr>
            <w:tcW w:w="156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p>
        </w:tc>
      </w:tr>
      <w:tr>
        <w:tblPrEx>
          <w:tblCellMar>
            <w:top w:w="0" w:type="dxa"/>
            <w:left w:w="108" w:type="dxa"/>
            <w:bottom w:w="0" w:type="dxa"/>
            <w:right w:w="108" w:type="dxa"/>
          </w:tblCellMar>
        </w:tblPrEx>
        <w:trPr>
          <w:trHeight w:val="3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163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r>
    </w:tbl>
    <w:p>
      <w:pPr>
        <w:spacing w:line="560" w:lineRule="exact"/>
        <w:ind w:firstLine="643" w:firstLineChars="200"/>
        <w:outlineLvl w:val="2"/>
        <w:rPr>
          <w:rFonts w:ascii="方正仿宋_GBK" w:hAnsi="方正仿宋_GBK" w:eastAsia="方正仿宋_GBK" w:cs="方正仿宋_GBK"/>
          <w:b/>
          <w:sz w:val="32"/>
          <w:szCs w:val="32"/>
        </w:rPr>
      </w:pPr>
      <w:bookmarkStart w:id="108" w:name="_Toc23748"/>
      <w:bookmarkStart w:id="109" w:name="_Toc6473"/>
      <w:r>
        <w:rPr>
          <w:rFonts w:hint="eastAsia" w:ascii="方正仿宋_GBK" w:hAnsi="方正仿宋_GBK" w:eastAsia="方正仿宋_GBK" w:cs="方正仿宋_GBK"/>
          <w:b/>
          <w:sz w:val="32"/>
          <w:szCs w:val="32"/>
        </w:rPr>
        <w:t>3.电动专用车规模预测</w:t>
      </w:r>
      <w:bookmarkEnd w:id="108"/>
      <w:bookmarkEnd w:id="109"/>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电动专用车包括环卫、邮政、物流、电力等专用车辆，电动汽车在专用车领域的应用优势更加明显，路线固定、使用量固定，更加有利于相关单位推广使用电动专用车。20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年，德清县电动专用车为</w:t>
      </w:r>
      <w:r>
        <w:rPr>
          <w:rFonts w:ascii="方正仿宋_GBK" w:hAnsi="方正仿宋_GBK" w:eastAsia="方正仿宋_GBK" w:cs="方正仿宋_GBK"/>
          <w:sz w:val="32"/>
          <w:szCs w:val="32"/>
        </w:rPr>
        <w:t>198</w:t>
      </w:r>
      <w:r>
        <w:rPr>
          <w:rFonts w:hint="eastAsia" w:ascii="方正仿宋_GBK" w:hAnsi="方正仿宋_GBK" w:eastAsia="方正仿宋_GBK" w:cs="方正仿宋_GBK"/>
          <w:sz w:val="32"/>
          <w:szCs w:val="32"/>
        </w:rPr>
        <w:t>辆，预测“十四五”期间年均增长</w:t>
      </w:r>
      <w:r>
        <w:rPr>
          <w:rFonts w:ascii="方正仿宋_GBK" w:hAnsi="方正仿宋_GBK" w:eastAsia="方正仿宋_GBK" w:cs="方正仿宋_GBK"/>
          <w:sz w:val="32"/>
          <w:szCs w:val="32"/>
        </w:rPr>
        <w:t>40</w:t>
      </w:r>
      <w:r>
        <w:rPr>
          <w:rFonts w:hint="eastAsia" w:ascii="方正仿宋_GBK" w:hAnsi="方正仿宋_GBK" w:eastAsia="方正仿宋_GBK" w:cs="方正仿宋_GBK"/>
          <w:sz w:val="32"/>
          <w:szCs w:val="32"/>
        </w:rPr>
        <w:t>辆，累计新增</w:t>
      </w:r>
      <w:r>
        <w:rPr>
          <w:rFonts w:ascii="方正仿宋_GBK" w:hAnsi="方正仿宋_GBK" w:eastAsia="方正仿宋_GBK" w:cs="方正仿宋_GBK"/>
          <w:sz w:val="32"/>
          <w:szCs w:val="32"/>
        </w:rPr>
        <w:t>120</w:t>
      </w:r>
      <w:r>
        <w:rPr>
          <w:rFonts w:hint="eastAsia" w:ascii="方正仿宋_GBK" w:hAnsi="方正仿宋_GBK" w:eastAsia="方正仿宋_GBK" w:cs="方正仿宋_GBK"/>
          <w:sz w:val="32"/>
          <w:szCs w:val="32"/>
        </w:rPr>
        <w:t>辆。</w:t>
      </w:r>
    </w:p>
    <w:p>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br w:type="page"/>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表4.3  电动专用车预测</w:t>
      </w:r>
    </w:p>
    <w:p>
      <w:pPr>
        <w:adjustRightInd w:val="0"/>
        <w:snapToGrid w:val="0"/>
        <w:spacing w:line="360" w:lineRule="auto"/>
        <w:jc w:val="righ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单位：辆</w:t>
      </w:r>
    </w:p>
    <w:tbl>
      <w:tblPr>
        <w:tblStyle w:val="26"/>
        <w:tblW w:w="8522" w:type="dxa"/>
        <w:tblInd w:w="0" w:type="dxa"/>
        <w:tblLayout w:type="fixed"/>
        <w:tblCellMar>
          <w:top w:w="0" w:type="dxa"/>
          <w:left w:w="108" w:type="dxa"/>
          <w:bottom w:w="0" w:type="dxa"/>
          <w:right w:w="108" w:type="dxa"/>
        </w:tblCellMar>
      </w:tblPr>
      <w:tblGrid>
        <w:gridCol w:w="1555"/>
        <w:gridCol w:w="1701"/>
        <w:gridCol w:w="1842"/>
        <w:gridCol w:w="1864"/>
        <w:gridCol w:w="1560"/>
      </w:tblGrid>
      <w:tr>
        <w:tblPrEx>
          <w:tblCellMar>
            <w:top w:w="0" w:type="dxa"/>
            <w:left w:w="108" w:type="dxa"/>
            <w:bottom w:w="0" w:type="dxa"/>
            <w:right w:w="108" w:type="dxa"/>
          </w:tblCellMar>
        </w:tblPrEx>
        <w:trPr>
          <w:trHeight w:val="3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bookmarkStart w:id="110" w:name="_Toc15254"/>
            <w:bookmarkStart w:id="111" w:name="_Toc21642"/>
            <w:r>
              <w:rPr>
                <w:rFonts w:hint="eastAsia" w:ascii="方正仿宋_GBK" w:hAnsi="方正仿宋_GBK" w:eastAsia="方正仿宋_GBK" w:cs="方正仿宋_GBK"/>
                <w:b/>
                <w:bCs/>
                <w:kern w:val="0"/>
                <w:sz w:val="24"/>
                <w:szCs w:val="24"/>
              </w:rPr>
              <w:t>现状</w:t>
            </w:r>
          </w:p>
        </w:tc>
        <w:tc>
          <w:tcPr>
            <w:tcW w:w="540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当年新增</w:t>
            </w:r>
          </w:p>
        </w:tc>
        <w:tc>
          <w:tcPr>
            <w:tcW w:w="1560"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累计新增</w:t>
            </w:r>
          </w:p>
        </w:tc>
      </w:tr>
      <w:tr>
        <w:tblPrEx>
          <w:tblCellMar>
            <w:top w:w="0" w:type="dxa"/>
            <w:left w:w="108" w:type="dxa"/>
            <w:bottom w:w="0" w:type="dxa"/>
            <w:right w:w="108" w:type="dxa"/>
          </w:tblCellMar>
        </w:tblPrEx>
        <w:trPr>
          <w:trHeight w:val="6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w:t>
            </w:r>
            <w:r>
              <w:rPr>
                <w:rFonts w:ascii="方正仿宋_GBK" w:hAnsi="方正仿宋_GBK" w:eastAsia="方正仿宋_GBK" w:cs="方正仿宋_GBK"/>
                <w:b/>
                <w:bCs/>
                <w:kern w:val="0"/>
                <w:sz w:val="24"/>
                <w:szCs w:val="24"/>
              </w:rPr>
              <w:t>2</w:t>
            </w:r>
            <w:r>
              <w:rPr>
                <w:rFonts w:hint="eastAsia" w:ascii="方正仿宋_GBK" w:hAnsi="方正仿宋_GBK" w:eastAsia="方正仿宋_GBK" w:cs="方正仿宋_GBK"/>
                <w:b/>
                <w:bCs/>
                <w:kern w:val="0"/>
                <w:sz w:val="24"/>
                <w:szCs w:val="24"/>
              </w:rPr>
              <w:t>年</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2023年</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2024年</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2025年</w:t>
            </w:r>
          </w:p>
        </w:tc>
        <w:tc>
          <w:tcPr>
            <w:tcW w:w="156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p>
        </w:tc>
      </w:tr>
      <w:tr>
        <w:tblPrEx>
          <w:tblCellMar>
            <w:top w:w="0" w:type="dxa"/>
            <w:left w:w="108" w:type="dxa"/>
            <w:bottom w:w="0" w:type="dxa"/>
            <w:right w:w="108" w:type="dxa"/>
          </w:tblCellMar>
        </w:tblPrEx>
        <w:trPr>
          <w:trHeight w:val="3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198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40</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w:t>
            </w:r>
            <w:r>
              <w:rPr>
                <w:rFonts w:hint="eastAsia" w:ascii="方正仿宋_GBK" w:hAnsi="方正仿宋_GBK" w:eastAsia="方正仿宋_GBK" w:cs="方正仿宋_GBK"/>
                <w:kern w:val="0"/>
                <w:sz w:val="24"/>
                <w:szCs w:val="24"/>
              </w:rPr>
              <w:t>0</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w:t>
            </w:r>
            <w:r>
              <w:rPr>
                <w:rFonts w:hint="eastAsia" w:ascii="方正仿宋_GBK" w:hAnsi="方正仿宋_GBK" w:eastAsia="方正仿宋_GBK" w:cs="方正仿宋_GBK"/>
                <w:kern w:val="0"/>
                <w:sz w:val="24"/>
                <w:szCs w:val="24"/>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120</w:t>
            </w:r>
          </w:p>
        </w:tc>
      </w:tr>
    </w:tbl>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4.电动公务车规模预测</w:t>
      </w:r>
      <w:bookmarkEnd w:id="110"/>
      <w:bookmarkEnd w:id="111"/>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公务车包括政府机关、企事业单位、各类社会团体及企业等使用的汽车。随着单位用车改革，预测“十四五”期间公务车数量不再</w:t>
      </w:r>
      <w:r>
        <w:rPr>
          <w:rFonts w:ascii="方正仿宋_GBK" w:hAnsi="方正仿宋_GBK" w:eastAsia="方正仿宋_GBK" w:cs="方正仿宋_GBK"/>
          <w:sz w:val="32"/>
          <w:szCs w:val="32"/>
        </w:rPr>
        <w:t>增长</w:t>
      </w:r>
      <w:r>
        <w:rPr>
          <w:rFonts w:hint="eastAsia" w:ascii="方正仿宋_GBK" w:hAnsi="方正仿宋_GBK" w:eastAsia="方正仿宋_GBK" w:cs="方正仿宋_GBK"/>
          <w:sz w:val="32"/>
          <w:szCs w:val="32"/>
        </w:rPr>
        <w:t>；其次预测“十四五”末，</w:t>
      </w:r>
      <w:r>
        <w:rPr>
          <w:rFonts w:ascii="方正仿宋_GBK" w:hAnsi="方正仿宋_GBK" w:eastAsia="方正仿宋_GBK" w:cs="方正仿宋_GBK"/>
          <w:sz w:val="32"/>
          <w:szCs w:val="32"/>
        </w:rPr>
        <w:t>电动公务车占比</w:t>
      </w:r>
      <w:r>
        <w:rPr>
          <w:rFonts w:hint="eastAsia" w:ascii="方正仿宋_GBK" w:hAnsi="方正仿宋_GBK" w:eastAsia="方正仿宋_GBK" w:cs="方正仿宋_GBK"/>
          <w:sz w:val="32"/>
          <w:szCs w:val="32"/>
        </w:rPr>
        <w:t>达到20%</w:t>
      </w:r>
      <w:r>
        <w:rPr>
          <w:rFonts w:ascii="方正仿宋_GBK" w:hAnsi="方正仿宋_GBK" w:eastAsia="方正仿宋_GBK" w:cs="方正仿宋_GBK"/>
          <w:sz w:val="32"/>
          <w:szCs w:val="32"/>
        </w:rPr>
        <w:t>。</w:t>
      </w:r>
      <w:r>
        <w:rPr>
          <w:rFonts w:hint="eastAsia" w:ascii="方正仿宋_GBK" w:hAnsi="方正仿宋_GBK" w:eastAsia="方正仿宋_GBK" w:cs="方正仿宋_GBK"/>
          <w:sz w:val="32"/>
          <w:szCs w:val="32"/>
        </w:rPr>
        <w:t>预测“十四五”期间电动公务车累计新增</w:t>
      </w:r>
      <w:r>
        <w:rPr>
          <w:rFonts w:ascii="方正仿宋_GBK" w:hAnsi="方正仿宋_GBK" w:eastAsia="方正仿宋_GBK" w:cs="方正仿宋_GBK"/>
          <w:sz w:val="32"/>
          <w:szCs w:val="32"/>
        </w:rPr>
        <w:t>1213</w:t>
      </w:r>
      <w:r>
        <w:rPr>
          <w:rFonts w:hint="eastAsia" w:ascii="方正仿宋_GBK" w:hAnsi="方正仿宋_GBK" w:eastAsia="方正仿宋_GBK" w:cs="方正仿宋_GBK"/>
          <w:sz w:val="32"/>
          <w:szCs w:val="32"/>
        </w:rPr>
        <w:t>辆。</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表4.4  电动公务车预测</w:t>
      </w:r>
    </w:p>
    <w:p>
      <w:pPr>
        <w:adjustRightInd w:val="0"/>
        <w:snapToGrid w:val="0"/>
        <w:spacing w:line="360" w:lineRule="auto"/>
        <w:jc w:val="righ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单位：辆</w:t>
      </w:r>
    </w:p>
    <w:tbl>
      <w:tblPr>
        <w:tblStyle w:val="26"/>
        <w:tblW w:w="8500" w:type="dxa"/>
        <w:jc w:val="center"/>
        <w:tblLayout w:type="fixed"/>
        <w:tblCellMar>
          <w:top w:w="0" w:type="dxa"/>
          <w:left w:w="108" w:type="dxa"/>
          <w:bottom w:w="0" w:type="dxa"/>
          <w:right w:w="108" w:type="dxa"/>
        </w:tblCellMar>
      </w:tblPr>
      <w:tblGrid>
        <w:gridCol w:w="1555"/>
        <w:gridCol w:w="1275"/>
        <w:gridCol w:w="1560"/>
        <w:gridCol w:w="1417"/>
        <w:gridCol w:w="1418"/>
        <w:gridCol w:w="1275"/>
      </w:tblGrid>
      <w:tr>
        <w:tblPrEx>
          <w:tblCellMar>
            <w:top w:w="0" w:type="dxa"/>
            <w:left w:w="108" w:type="dxa"/>
            <w:bottom w:w="0" w:type="dxa"/>
            <w:right w:w="108" w:type="dxa"/>
          </w:tblCellMar>
        </w:tblPrEx>
        <w:trPr>
          <w:trHeight w:val="330" w:hRule="atLeast"/>
          <w:jc w:val="center"/>
        </w:trPr>
        <w:tc>
          <w:tcPr>
            <w:tcW w:w="1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类型</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439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当年新增</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累计新增</w:t>
            </w:r>
          </w:p>
        </w:tc>
      </w:tr>
      <w:tr>
        <w:tblPrEx>
          <w:tblCellMar>
            <w:top w:w="0" w:type="dxa"/>
            <w:left w:w="108" w:type="dxa"/>
            <w:bottom w:w="0" w:type="dxa"/>
            <w:right w:w="108" w:type="dxa"/>
          </w:tblCellMar>
        </w:tblPrEx>
        <w:trPr>
          <w:trHeight w:val="600"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w:t>
            </w:r>
            <w:r>
              <w:rPr>
                <w:rFonts w:hint="eastAsia" w:ascii="方正仿宋_GBK" w:hAnsi="方正仿宋_GBK" w:eastAsia="方正仿宋_GBK" w:cs="方正仿宋_GBK"/>
                <w:b/>
                <w:bCs/>
                <w:kern w:val="0"/>
                <w:sz w:val="24"/>
                <w:szCs w:val="24"/>
              </w:rPr>
              <w:t>3</w:t>
            </w:r>
            <w:r>
              <w:rPr>
                <w:rFonts w:ascii="方正仿宋_GBK" w:hAnsi="方正仿宋_GBK" w:eastAsia="方正仿宋_GBK" w:cs="方正仿宋_GBK"/>
                <w:b/>
                <w:bCs/>
                <w:kern w:val="0"/>
                <w:sz w:val="24"/>
                <w:szCs w:val="24"/>
              </w:rPr>
              <w:t>年</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w:t>
            </w:r>
            <w:r>
              <w:rPr>
                <w:rFonts w:hint="eastAsia" w:ascii="方正仿宋_GBK" w:hAnsi="方正仿宋_GBK" w:eastAsia="方正仿宋_GBK" w:cs="方正仿宋_GBK"/>
                <w:b/>
                <w:bCs/>
                <w:kern w:val="0"/>
                <w:sz w:val="24"/>
                <w:szCs w:val="24"/>
              </w:rPr>
              <w:t>4</w:t>
            </w:r>
            <w:r>
              <w:rPr>
                <w:rFonts w:ascii="方正仿宋_GBK" w:hAnsi="方正仿宋_GBK" w:eastAsia="方正仿宋_GBK" w:cs="方正仿宋_GBK"/>
                <w:b/>
                <w:bCs/>
                <w:kern w:val="0"/>
                <w:sz w:val="24"/>
                <w:szCs w:val="24"/>
              </w:rPr>
              <w:t>年</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w:t>
            </w:r>
            <w:r>
              <w:rPr>
                <w:rFonts w:hint="eastAsia" w:ascii="方正仿宋_GBK" w:hAnsi="方正仿宋_GBK" w:eastAsia="方正仿宋_GBK" w:cs="方正仿宋_GBK"/>
                <w:b/>
                <w:bCs/>
                <w:kern w:val="0"/>
                <w:sz w:val="24"/>
                <w:szCs w:val="24"/>
              </w:rPr>
              <w:t>5</w:t>
            </w:r>
            <w:r>
              <w:rPr>
                <w:rFonts w:ascii="方正仿宋_GBK" w:hAnsi="方正仿宋_GBK" w:eastAsia="方正仿宋_GBK" w:cs="方正仿宋_GBK"/>
                <w:b/>
                <w:bCs/>
                <w:kern w:val="0"/>
                <w:sz w:val="24"/>
                <w:szCs w:val="24"/>
              </w:rPr>
              <w:t>年</w:t>
            </w: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p>
        </w:tc>
      </w:tr>
      <w:tr>
        <w:tblPrEx>
          <w:tblCellMar>
            <w:top w:w="0" w:type="dxa"/>
            <w:left w:w="108" w:type="dxa"/>
            <w:bottom w:w="0" w:type="dxa"/>
            <w:right w:w="108" w:type="dxa"/>
          </w:tblCellMar>
        </w:tblPrEx>
        <w:trPr>
          <w:trHeight w:val="433" w:hRule="atLeast"/>
          <w:jc w:val="center"/>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公务车</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13478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r>
      <w:tr>
        <w:tblPrEx>
          <w:tblCellMar>
            <w:top w:w="0" w:type="dxa"/>
            <w:left w:w="108" w:type="dxa"/>
            <w:bottom w:w="0" w:type="dxa"/>
            <w:right w:w="108" w:type="dxa"/>
          </w:tblCellMar>
        </w:tblPrEx>
        <w:trPr>
          <w:trHeight w:val="584" w:hRule="atLeast"/>
          <w:jc w:val="center"/>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电动化率</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0.20%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r>
      <w:tr>
        <w:tblPrEx>
          <w:tblCellMar>
            <w:top w:w="0" w:type="dxa"/>
            <w:left w:w="108" w:type="dxa"/>
            <w:bottom w:w="0" w:type="dxa"/>
            <w:right w:w="108" w:type="dxa"/>
          </w:tblCellMar>
        </w:tblPrEx>
        <w:trPr>
          <w:trHeight w:val="900" w:hRule="atLeast"/>
          <w:jc w:val="center"/>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电动公务车</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1483</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134</w:t>
            </w:r>
            <w:r>
              <w:rPr>
                <w:rFonts w:hint="eastAsia" w:ascii="方正仿宋_GBK" w:hAnsi="方正仿宋_GBK" w:eastAsia="方正仿宋_GBK" w:cs="方正仿宋_GBK"/>
                <w:kern w:val="0"/>
                <w:sz w:val="24"/>
                <w:szCs w:val="24"/>
              </w:rPr>
              <w:t xml:space="preserve"> </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539 </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539 </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1213</w:t>
            </w:r>
          </w:p>
        </w:tc>
      </w:tr>
    </w:tbl>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5.电动私人乘用车规模预测</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年，德清县电动私人乘用车已达到</w:t>
      </w:r>
      <w:r>
        <w:rPr>
          <w:rFonts w:ascii="方正仿宋_GBK" w:hAnsi="方正仿宋_GBK" w:eastAsia="方正仿宋_GBK" w:cs="方正仿宋_GBK"/>
          <w:sz w:val="32"/>
          <w:szCs w:val="32"/>
        </w:rPr>
        <w:t>3006</w:t>
      </w:r>
      <w:r>
        <w:rPr>
          <w:rFonts w:hint="eastAsia" w:ascii="方正仿宋_GBK" w:hAnsi="方正仿宋_GBK" w:eastAsia="方正仿宋_GBK" w:cs="方正仿宋_GBK"/>
          <w:sz w:val="32"/>
          <w:szCs w:val="32"/>
        </w:rPr>
        <w:t>辆。</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随着电动汽车技术发展、市场推广，私人电动乘用车数量将持续快速增长。根据近两年供电公司电动汽车充电桩装表数据，预测“十四五”期间私人乘用车数量将在每年</w:t>
      </w:r>
      <w:r>
        <w:rPr>
          <w:rFonts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t>000辆的基础上逐年增长，“十四五”末累计新增</w:t>
      </w:r>
      <w:r>
        <w:rPr>
          <w:rFonts w:ascii="方正仿宋_GBK" w:hAnsi="方正仿宋_GBK" w:eastAsia="方正仿宋_GBK" w:cs="方正仿宋_GBK"/>
          <w:sz w:val="32"/>
          <w:szCs w:val="32"/>
        </w:rPr>
        <w:t>11000</w:t>
      </w:r>
      <w:r>
        <w:rPr>
          <w:rFonts w:hint="eastAsia" w:ascii="方正仿宋_GBK" w:hAnsi="方正仿宋_GBK" w:eastAsia="方正仿宋_GBK" w:cs="方正仿宋_GBK"/>
          <w:sz w:val="32"/>
          <w:szCs w:val="32"/>
        </w:rPr>
        <w:t>辆，预测电动化率不低于10%。</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表4.5  电动私人乘用车预测</w:t>
      </w:r>
    </w:p>
    <w:p>
      <w:pPr>
        <w:adjustRightInd w:val="0"/>
        <w:snapToGrid w:val="0"/>
        <w:spacing w:line="360" w:lineRule="auto"/>
        <w:jc w:val="right"/>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单位：辆</w:t>
      </w:r>
    </w:p>
    <w:tbl>
      <w:tblPr>
        <w:tblStyle w:val="26"/>
        <w:tblW w:w="8777" w:type="dxa"/>
        <w:tblInd w:w="0" w:type="dxa"/>
        <w:tblLayout w:type="fixed"/>
        <w:tblCellMar>
          <w:top w:w="0" w:type="dxa"/>
          <w:left w:w="108" w:type="dxa"/>
          <w:bottom w:w="0" w:type="dxa"/>
          <w:right w:w="108" w:type="dxa"/>
        </w:tblCellMar>
      </w:tblPr>
      <w:tblGrid>
        <w:gridCol w:w="2181"/>
        <w:gridCol w:w="1358"/>
        <w:gridCol w:w="1418"/>
        <w:gridCol w:w="1559"/>
        <w:gridCol w:w="1215"/>
        <w:gridCol w:w="1046"/>
      </w:tblGrid>
      <w:tr>
        <w:tblPrEx>
          <w:tblCellMar>
            <w:top w:w="0" w:type="dxa"/>
            <w:left w:w="108" w:type="dxa"/>
            <w:bottom w:w="0" w:type="dxa"/>
            <w:right w:w="108" w:type="dxa"/>
          </w:tblCellMar>
        </w:tblPrEx>
        <w:trPr>
          <w:trHeight w:val="300" w:hRule="atLeast"/>
        </w:trPr>
        <w:tc>
          <w:tcPr>
            <w:tcW w:w="2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类型</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现状</w:t>
            </w:r>
          </w:p>
        </w:tc>
        <w:tc>
          <w:tcPr>
            <w:tcW w:w="41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预测</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累计新增</w:t>
            </w:r>
          </w:p>
        </w:tc>
      </w:tr>
      <w:tr>
        <w:tblPrEx>
          <w:tblCellMar>
            <w:top w:w="0" w:type="dxa"/>
            <w:left w:w="108" w:type="dxa"/>
            <w:bottom w:w="0" w:type="dxa"/>
            <w:right w:w="108" w:type="dxa"/>
          </w:tblCellMar>
        </w:tblPrEx>
        <w:trPr>
          <w:trHeight w:val="300" w:hRule="atLeast"/>
        </w:trPr>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方正仿宋_GBK" w:hAnsi="方正仿宋_GBK" w:eastAsia="方正仿宋_GBK" w:cs="方正仿宋_GBK"/>
                <w:sz w:val="24"/>
                <w:szCs w:val="24"/>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w:t>
            </w:r>
            <w:r>
              <w:rPr>
                <w:rFonts w:ascii="方正仿宋_GBK" w:hAnsi="方正仿宋_GBK" w:eastAsia="方正仿宋_GBK" w:cs="方正仿宋_GBK"/>
                <w:b/>
                <w:bCs/>
                <w:kern w:val="0"/>
                <w:sz w:val="24"/>
                <w:szCs w:val="24"/>
              </w:rPr>
              <w:t>2</w:t>
            </w:r>
            <w:r>
              <w:rPr>
                <w:rFonts w:hint="eastAsia" w:ascii="方正仿宋_GBK" w:hAnsi="方正仿宋_GBK" w:eastAsia="方正仿宋_GBK" w:cs="方正仿宋_GBK"/>
                <w:b/>
                <w:bCs/>
                <w:kern w:val="0"/>
                <w:sz w:val="24"/>
                <w:szCs w:val="24"/>
              </w:rPr>
              <w:t>年</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sz w:val="24"/>
                <w:szCs w:val="24"/>
              </w:rPr>
            </w:pPr>
          </w:p>
        </w:tc>
      </w:tr>
      <w:tr>
        <w:tblPrEx>
          <w:tblCellMar>
            <w:top w:w="0" w:type="dxa"/>
            <w:left w:w="108" w:type="dxa"/>
            <w:bottom w:w="0" w:type="dxa"/>
            <w:right w:w="108" w:type="dxa"/>
          </w:tblCellMar>
        </w:tblPrEx>
        <w:trPr>
          <w:trHeight w:val="422" w:hRule="atLeast"/>
        </w:trPr>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电动私人乘用车</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3006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3200</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3650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4150</w:t>
            </w:r>
          </w:p>
        </w:tc>
        <w:tc>
          <w:tcPr>
            <w:tcW w:w="1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r>
              <w:rPr>
                <w:rFonts w:ascii="方正仿宋_GBK" w:hAnsi="方正仿宋_GBK" w:eastAsia="方正仿宋_GBK" w:cs="方正仿宋_GBK"/>
                <w:kern w:val="0"/>
                <w:sz w:val="24"/>
                <w:szCs w:val="24"/>
              </w:rPr>
              <w:t>1</w:t>
            </w:r>
            <w:r>
              <w:rPr>
                <w:rFonts w:hint="eastAsia" w:ascii="方正仿宋_GBK" w:hAnsi="方正仿宋_GBK" w:eastAsia="方正仿宋_GBK" w:cs="方正仿宋_GBK"/>
                <w:kern w:val="0"/>
                <w:sz w:val="24"/>
                <w:szCs w:val="24"/>
              </w:rPr>
              <w:t>000</w:t>
            </w:r>
          </w:p>
        </w:tc>
      </w:tr>
    </w:tbl>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6.电动网约车规模预测</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根据县交通运输局调研了解，20</w:t>
      </w:r>
      <w:r>
        <w:rPr>
          <w:rFonts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t>年，德清县已投放电动网约车180辆。“十四五”期间，预测年均新增5</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辆，累计新增</w:t>
      </w:r>
      <w:r>
        <w:rPr>
          <w:rFonts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t>50辆。</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表4.6  电动网约车预测</w:t>
      </w:r>
    </w:p>
    <w:tbl>
      <w:tblPr>
        <w:tblStyle w:val="26"/>
        <w:tblW w:w="8522" w:type="dxa"/>
        <w:tblInd w:w="0" w:type="dxa"/>
        <w:tblLayout w:type="fixed"/>
        <w:tblCellMar>
          <w:top w:w="0" w:type="dxa"/>
          <w:left w:w="108" w:type="dxa"/>
          <w:bottom w:w="0" w:type="dxa"/>
          <w:right w:w="108" w:type="dxa"/>
        </w:tblCellMar>
      </w:tblPr>
      <w:tblGrid>
        <w:gridCol w:w="1555"/>
        <w:gridCol w:w="1701"/>
        <w:gridCol w:w="1842"/>
        <w:gridCol w:w="1864"/>
        <w:gridCol w:w="1560"/>
      </w:tblGrid>
      <w:tr>
        <w:tblPrEx>
          <w:tblCellMar>
            <w:top w:w="0" w:type="dxa"/>
            <w:left w:w="108" w:type="dxa"/>
            <w:bottom w:w="0" w:type="dxa"/>
            <w:right w:w="108" w:type="dxa"/>
          </w:tblCellMar>
        </w:tblPrEx>
        <w:trPr>
          <w:trHeight w:val="3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540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当年新增</w:t>
            </w:r>
          </w:p>
        </w:tc>
        <w:tc>
          <w:tcPr>
            <w:tcW w:w="1560"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累计新增</w:t>
            </w:r>
          </w:p>
        </w:tc>
      </w:tr>
      <w:tr>
        <w:tblPrEx>
          <w:tblCellMar>
            <w:top w:w="0" w:type="dxa"/>
            <w:left w:w="108" w:type="dxa"/>
            <w:bottom w:w="0" w:type="dxa"/>
            <w:right w:w="108" w:type="dxa"/>
          </w:tblCellMar>
        </w:tblPrEx>
        <w:trPr>
          <w:trHeight w:val="6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w:t>
            </w:r>
            <w:r>
              <w:rPr>
                <w:rFonts w:ascii="方正仿宋_GBK" w:hAnsi="方正仿宋_GBK" w:eastAsia="方正仿宋_GBK" w:cs="方正仿宋_GBK"/>
                <w:b/>
                <w:bCs/>
                <w:kern w:val="0"/>
                <w:sz w:val="24"/>
                <w:szCs w:val="24"/>
              </w:rPr>
              <w:t>2</w:t>
            </w:r>
            <w:r>
              <w:rPr>
                <w:rFonts w:hint="eastAsia" w:ascii="方正仿宋_GBK" w:hAnsi="方正仿宋_GBK" w:eastAsia="方正仿宋_GBK" w:cs="方正仿宋_GBK"/>
                <w:b/>
                <w:bCs/>
                <w:kern w:val="0"/>
                <w:sz w:val="24"/>
                <w:szCs w:val="24"/>
              </w:rPr>
              <w:t>年</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2023年</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2024年</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2025年</w:t>
            </w:r>
          </w:p>
        </w:tc>
        <w:tc>
          <w:tcPr>
            <w:tcW w:w="156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p>
        </w:tc>
      </w:tr>
      <w:tr>
        <w:tblPrEx>
          <w:tblCellMar>
            <w:top w:w="0" w:type="dxa"/>
            <w:left w:w="108" w:type="dxa"/>
            <w:bottom w:w="0" w:type="dxa"/>
            <w:right w:w="108" w:type="dxa"/>
          </w:tblCellMar>
        </w:tblPrEx>
        <w:trPr>
          <w:trHeight w:val="315" w:hRule="atLeast"/>
        </w:trPr>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180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50</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w:t>
            </w:r>
            <w:r>
              <w:rPr>
                <w:rFonts w:hint="eastAsia" w:ascii="方正仿宋_GBK" w:hAnsi="方正仿宋_GBK" w:eastAsia="方正仿宋_GBK" w:cs="方正仿宋_GBK"/>
                <w:kern w:val="0"/>
                <w:sz w:val="24"/>
                <w:szCs w:val="24"/>
              </w:rPr>
              <w:t>0</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w:t>
            </w:r>
            <w:r>
              <w:rPr>
                <w:rFonts w:hint="eastAsia" w:ascii="方正仿宋_GBK" w:hAnsi="方正仿宋_GBK" w:eastAsia="方正仿宋_GBK" w:cs="方正仿宋_GBK"/>
                <w:kern w:val="0"/>
                <w:sz w:val="24"/>
                <w:szCs w:val="24"/>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150</w:t>
            </w:r>
          </w:p>
        </w:tc>
      </w:tr>
    </w:tbl>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综上所述6类电动汽车，“十四五”期间，德清县各类型电动汽车保有量预测如表4.7所示：</w:t>
      </w:r>
    </w:p>
    <w:p>
      <w:pPr>
        <w:jc w:val="left"/>
        <w:rPr>
          <w:rFonts w:ascii="方正仿宋_GBK" w:hAnsi="方正仿宋_GBK" w:eastAsia="方正仿宋_GBK" w:cs="方正仿宋_GBK"/>
          <w:sz w:val="32"/>
          <w:szCs w:val="32"/>
        </w:rPr>
        <w:sectPr>
          <w:footerReference r:id="rId5" w:type="default"/>
          <w:pgSz w:w="11909" w:h="16834"/>
          <w:pgMar w:top="1440" w:right="1800" w:bottom="1440" w:left="1800" w:header="850" w:footer="994" w:gutter="0"/>
          <w:pgNumType w:start="1"/>
          <w:cols w:space="425" w:num="1"/>
          <w:docGrid w:linePitch="408" w:charSpace="0"/>
        </w:sectPr>
      </w:pP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表4.7  “十四五”期间德清县电动汽车预测</w:t>
      </w:r>
    </w:p>
    <w:tbl>
      <w:tblPr>
        <w:tblStyle w:val="26"/>
        <w:tblW w:w="13030" w:type="dxa"/>
        <w:jc w:val="center"/>
        <w:tblLayout w:type="fixed"/>
        <w:tblCellMar>
          <w:top w:w="0" w:type="dxa"/>
          <w:left w:w="108" w:type="dxa"/>
          <w:bottom w:w="0" w:type="dxa"/>
          <w:right w:w="108" w:type="dxa"/>
        </w:tblCellMar>
      </w:tblPr>
      <w:tblGrid>
        <w:gridCol w:w="813"/>
        <w:gridCol w:w="1793"/>
        <w:gridCol w:w="1303"/>
        <w:gridCol w:w="1898"/>
        <w:gridCol w:w="2552"/>
        <w:gridCol w:w="2065"/>
        <w:gridCol w:w="925"/>
        <w:gridCol w:w="1681"/>
      </w:tblGrid>
      <w:tr>
        <w:tblPrEx>
          <w:tblCellMar>
            <w:top w:w="0" w:type="dxa"/>
            <w:left w:w="108" w:type="dxa"/>
            <w:bottom w:w="0" w:type="dxa"/>
            <w:right w:w="108" w:type="dxa"/>
          </w:tblCellMar>
        </w:tblPrEx>
        <w:trPr>
          <w:trHeight w:val="600" w:hRule="atLeast"/>
          <w:jc w:val="center"/>
        </w:trPr>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bookmarkStart w:id="112" w:name="_Toc22983"/>
            <w:bookmarkStart w:id="113" w:name="_Toc8885"/>
            <w:bookmarkStart w:id="114" w:name="_Toc25817"/>
            <w:r>
              <w:rPr>
                <w:rFonts w:hint="eastAsia" w:ascii="方正仿宋_GBK" w:hAnsi="方正仿宋_GBK" w:eastAsia="方正仿宋_GBK" w:cs="方正仿宋_GBK"/>
                <w:b/>
                <w:bCs/>
                <w:kern w:val="0"/>
                <w:sz w:val="24"/>
                <w:szCs w:val="24"/>
              </w:rPr>
              <w:t>序号</w:t>
            </w:r>
          </w:p>
        </w:tc>
        <w:tc>
          <w:tcPr>
            <w:tcW w:w="1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分类</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现状（辆）</w:t>
            </w:r>
          </w:p>
        </w:tc>
        <w:tc>
          <w:tcPr>
            <w:tcW w:w="65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当年新增</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累计新增</w:t>
            </w:r>
          </w:p>
        </w:tc>
        <w:tc>
          <w:tcPr>
            <w:tcW w:w="16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十四五末电动化率预测（%）</w:t>
            </w:r>
          </w:p>
        </w:tc>
      </w:tr>
      <w:tr>
        <w:tblPrEx>
          <w:tblCellMar>
            <w:top w:w="0" w:type="dxa"/>
            <w:left w:w="108" w:type="dxa"/>
            <w:bottom w:w="0" w:type="dxa"/>
            <w:right w:w="108" w:type="dxa"/>
          </w:tblCellMar>
        </w:tblPrEx>
        <w:trPr>
          <w:trHeight w:val="300" w:hRule="atLeast"/>
          <w:jc w:val="center"/>
        </w:trPr>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4"/>
                <w:szCs w:val="24"/>
              </w:rPr>
            </w:pPr>
          </w:p>
        </w:tc>
        <w:tc>
          <w:tcPr>
            <w:tcW w:w="1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sz w:val="24"/>
                <w:szCs w:val="24"/>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kern w:val="0"/>
                <w:sz w:val="24"/>
                <w:szCs w:val="24"/>
              </w:rPr>
              <w:t>202</w:t>
            </w:r>
            <w:r>
              <w:rPr>
                <w:rFonts w:ascii="方正仿宋_GBK" w:hAnsi="方正仿宋_GBK" w:eastAsia="方正仿宋_GBK" w:cs="方正仿宋_GBK"/>
                <w:b/>
                <w:bCs/>
                <w:kern w:val="0"/>
                <w:sz w:val="24"/>
                <w:szCs w:val="24"/>
              </w:rPr>
              <w:t>2年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2023年</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2024年</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2025年</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sz w:val="24"/>
                <w:szCs w:val="24"/>
              </w:rPr>
            </w:pPr>
          </w:p>
        </w:tc>
        <w:tc>
          <w:tcPr>
            <w:tcW w:w="16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4"/>
                <w:szCs w:val="24"/>
              </w:rPr>
            </w:pPr>
          </w:p>
        </w:tc>
      </w:tr>
      <w:tr>
        <w:tblPrEx>
          <w:tblCellMar>
            <w:top w:w="0" w:type="dxa"/>
            <w:left w:w="108" w:type="dxa"/>
            <w:bottom w:w="0" w:type="dxa"/>
            <w:right w:w="108" w:type="dxa"/>
          </w:tblCellMar>
        </w:tblPrEx>
        <w:trPr>
          <w:trHeight w:val="30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公交汽车</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325</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16</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18</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54</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100</w:t>
            </w:r>
          </w:p>
        </w:tc>
      </w:tr>
      <w:tr>
        <w:tblPrEx>
          <w:tblCellMar>
            <w:top w:w="0" w:type="dxa"/>
            <w:left w:w="108" w:type="dxa"/>
            <w:bottom w:w="0" w:type="dxa"/>
            <w:right w:w="108" w:type="dxa"/>
          </w:tblCellMar>
        </w:tblPrEx>
        <w:trPr>
          <w:trHeight w:val="30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出租车</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163</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100</w:t>
            </w:r>
          </w:p>
        </w:tc>
      </w:tr>
      <w:tr>
        <w:tblPrEx>
          <w:tblCellMar>
            <w:top w:w="0" w:type="dxa"/>
            <w:left w:w="108" w:type="dxa"/>
            <w:bottom w:w="0" w:type="dxa"/>
            <w:right w:w="108" w:type="dxa"/>
          </w:tblCellMar>
        </w:tblPrEx>
        <w:trPr>
          <w:trHeight w:val="30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专用车</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198 </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40 </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40 </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40 </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120 </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100</w:t>
            </w:r>
          </w:p>
        </w:tc>
      </w:tr>
      <w:tr>
        <w:tblPrEx>
          <w:tblCellMar>
            <w:top w:w="0" w:type="dxa"/>
            <w:left w:w="108" w:type="dxa"/>
            <w:bottom w:w="0" w:type="dxa"/>
            <w:right w:w="108" w:type="dxa"/>
          </w:tblCellMar>
        </w:tblPrEx>
        <w:trPr>
          <w:trHeight w:val="30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公务车</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1483 </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134 </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539 </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539 </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1213 </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20</w:t>
            </w:r>
          </w:p>
        </w:tc>
      </w:tr>
      <w:tr>
        <w:tblPrEx>
          <w:tblCellMar>
            <w:top w:w="0" w:type="dxa"/>
            <w:left w:w="108" w:type="dxa"/>
            <w:bottom w:w="0" w:type="dxa"/>
            <w:right w:w="108" w:type="dxa"/>
          </w:tblCellMar>
        </w:tblPrEx>
        <w:trPr>
          <w:trHeight w:val="36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私人乘用车</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3006</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3200</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3650</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4150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11000</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w:t>
            </w:r>
          </w:p>
        </w:tc>
      </w:tr>
      <w:tr>
        <w:tblPrEx>
          <w:tblCellMar>
            <w:top w:w="0" w:type="dxa"/>
            <w:left w:w="108" w:type="dxa"/>
            <w:bottom w:w="0" w:type="dxa"/>
            <w:right w:w="108" w:type="dxa"/>
          </w:tblCellMar>
        </w:tblPrEx>
        <w:trPr>
          <w:trHeight w:val="33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网约车</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180</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50</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50</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150</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100</w:t>
            </w:r>
          </w:p>
        </w:tc>
      </w:tr>
      <w:tr>
        <w:tblPrEx>
          <w:tblCellMar>
            <w:top w:w="0" w:type="dxa"/>
            <w:left w:w="108" w:type="dxa"/>
            <w:bottom w:w="0" w:type="dxa"/>
            <w:right w:w="108" w:type="dxa"/>
          </w:tblCellMar>
        </w:tblPrEx>
        <w:trPr>
          <w:trHeight w:val="30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7</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总计</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5355</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3440</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4297 </w:t>
            </w:r>
          </w:p>
        </w:tc>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4799 </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12537 </w:t>
            </w:r>
          </w:p>
        </w:tc>
        <w:tc>
          <w:tcPr>
            <w:tcW w:w="1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w:t>
            </w:r>
          </w:p>
        </w:tc>
      </w:tr>
    </w:tbl>
    <w:p>
      <w:pPr>
        <w:adjustRightInd w:val="0"/>
        <w:snapToGrid w:val="0"/>
        <w:spacing w:line="560" w:lineRule="exact"/>
        <w:ind w:firstLine="640" w:firstLineChars="200"/>
        <w:jc w:val="left"/>
        <w:rPr>
          <w:rFonts w:ascii="方正仿宋_GBK" w:hAnsi="方正仿宋_GBK" w:eastAsia="方正仿宋_GBK" w:cs="方正仿宋_GBK"/>
          <w:sz w:val="32"/>
          <w:szCs w:val="32"/>
        </w:rPr>
        <w:sectPr>
          <w:pgSz w:w="16834" w:h="11909" w:orient="landscape"/>
          <w:pgMar w:top="1800" w:right="1440" w:bottom="1800" w:left="1440" w:header="850" w:footer="994" w:gutter="0"/>
          <w:cols w:space="425" w:num="1"/>
          <w:docGrid w:linePitch="408" w:charSpace="0"/>
        </w:sectPr>
      </w:pPr>
      <w:r>
        <w:rPr>
          <w:rFonts w:hint="eastAsia" w:ascii="方正仿宋_GBK" w:hAnsi="方正仿宋_GBK" w:eastAsia="方正仿宋_GBK" w:cs="方正仿宋_GBK"/>
          <w:sz w:val="32"/>
          <w:szCs w:val="32"/>
        </w:rPr>
        <w:t>德清县，“十四五末”目标实现4个100%，即公交汽车电动化率100%、出租车电动化率100%、专用车电动化率100%、网约车电动化率100%，汽车总体电动化率不低于10%。</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15" w:name="_Toc1686"/>
      <w:bookmarkStart w:id="116" w:name="_Toc6662"/>
      <w:bookmarkStart w:id="117" w:name="_Toc18759"/>
      <w:r>
        <w:rPr>
          <w:rFonts w:hint="eastAsia" w:ascii="方正楷体_GBK" w:hAnsi="方正楷体_GBK" w:eastAsia="方正楷体_GBK" w:cs="方正楷体_GBK"/>
          <w:b/>
          <w:bCs/>
          <w:sz w:val="32"/>
          <w:szCs w:val="32"/>
        </w:rPr>
        <w:t>（二）智能充电服务网络规划原则</w:t>
      </w:r>
      <w:bookmarkEnd w:id="112"/>
      <w:bookmarkEnd w:id="113"/>
      <w:bookmarkEnd w:id="114"/>
      <w:bookmarkEnd w:id="115"/>
      <w:bookmarkEnd w:id="116"/>
      <w:bookmarkEnd w:id="117"/>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智能充电服务网络包括充电站和充电桩，充电站分为专用充电站、公共充电站、高速快充站，充电桩是指公共充电桩。专用充电站服务于环保、邮政、物流、电力等车辆的充电需求；公共充电站服务于社会电动汽车的充电需求；高速快充站服务于来往高速公路电动汽车的充电需求。</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浙江省"十四五"期间充电基础设施发展规划要求，公共领域车桩比不超过3:1，自用桩为新能源汽车随车配送或住宅小区配套建设。德清县作为浙江省充电基础设施加快发展地区，经济社会发展基础较好，城市规模较大，具备一定的电动汽车推广应用基础，应加快推进充电基础设施发展。结合湖州市"十四五”期间电动汽车分类预测，结合不同类型车辆的充电需求，制定德清县电动汽车充电服务网络规划原则，具体如下:</w:t>
      </w:r>
    </w:p>
    <w:p>
      <w:pPr>
        <w:spacing w:line="560" w:lineRule="exact"/>
        <w:ind w:firstLine="643" w:firstLineChars="200"/>
        <w:outlineLvl w:val="2"/>
        <w:rPr>
          <w:rFonts w:ascii="方正仿宋_GBK" w:hAnsi="方正仿宋_GBK" w:eastAsia="方正仿宋_GBK" w:cs="方正仿宋_GBK"/>
          <w:b/>
          <w:bCs/>
          <w:sz w:val="32"/>
          <w:szCs w:val="32"/>
        </w:rPr>
      </w:pPr>
      <w:bookmarkStart w:id="118" w:name="_Toc23685"/>
      <w:r>
        <w:rPr>
          <w:rFonts w:hint="eastAsia" w:ascii="方正仿宋_GBK" w:hAnsi="方正仿宋_GBK" w:eastAsia="方正仿宋_GBK" w:cs="方正仿宋_GBK"/>
          <w:b/>
          <w:sz w:val="32"/>
          <w:szCs w:val="32"/>
        </w:rPr>
        <w:t>1.适度超前、科学布局、统筹规划、分步实施</w:t>
      </w:r>
      <w:bookmarkEnd w:id="118"/>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电动汽车保有量现状和规划水平年预测结果，按照区域的特征合理布局。充分挖掘和利用场地资源，形成以使用者居住地、驻地停车位（基本车位）配建充电设施为主体，以城市公共停车位配建充电设施为辅助的充电设施服务体系。大力推广私人自用充电桩的建设，私人、企事业单位、社会公用充电桩的比例为70%-80%、15%-20%、5%-10%。</w:t>
      </w:r>
    </w:p>
    <w:p>
      <w:pPr>
        <w:spacing w:line="560" w:lineRule="exact"/>
        <w:ind w:firstLine="643" w:firstLineChars="200"/>
        <w:outlineLvl w:val="2"/>
        <w:rPr>
          <w:rFonts w:ascii="方正仿宋_GBK" w:hAnsi="方正仿宋_GBK" w:eastAsia="方正仿宋_GBK" w:cs="方正仿宋_GBK"/>
          <w:b/>
          <w:sz w:val="32"/>
          <w:szCs w:val="32"/>
        </w:rPr>
      </w:pPr>
      <w:bookmarkStart w:id="119" w:name="_Toc13240"/>
      <w:r>
        <w:rPr>
          <w:rFonts w:hint="eastAsia" w:ascii="方正仿宋_GBK" w:hAnsi="方正仿宋_GBK" w:eastAsia="方正仿宋_GBK" w:cs="方正仿宋_GBK"/>
          <w:b/>
          <w:sz w:val="32"/>
          <w:szCs w:val="32"/>
        </w:rPr>
        <w:t>2.专用、自用及公用充电网络同步有序发展</w:t>
      </w:r>
      <w:bookmarkEnd w:id="119"/>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专用网是指主要为公交、环卫、物流、出租等公共服务领域专用电动汽车提供充电服务的网络。公交车的充电桩全部布置在公交公司的专用充电站内；出租车的充电桩布置在出租车运营公司的专用充电站内；专用车的充电桩布置在邮政、物流、环卫公司的专用充电站内。</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自用网指为本单位及其职工或住宅小区内居民自备电动汽车提供充电服务的网络。个人自用充电设施按“一车一桩”、“桩随车走”的原则，由新能源汽车生产企业或其委托的机构负责“全过程组织管理”，并纳入其售后服务体系。</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用网指为非特定电动汽车提供充电服务的经营性充电服务网络，主要为满足出租车、网约车、私家车、租赁车、公务车在行驶过程中快速补电的需求。为满足、人口、车辆密集地区（私家车和公务车）电动汽车充电需求，在居住区、商业区、开发区、景区、公交枢纽等人员、车辆密集地区利用原有停车场停车位，规划与原有建筑相结合的公共充电站。按照其数量30%布置在社会公用网中，并布局相当比例的大功率公用充电设施。考虑电网接入容量的限制，规划以快充为主，慢充为辅。</w:t>
      </w:r>
    </w:p>
    <w:p>
      <w:pPr>
        <w:spacing w:line="560" w:lineRule="exact"/>
        <w:ind w:firstLine="643" w:firstLineChars="200"/>
        <w:outlineLvl w:val="2"/>
        <w:rPr>
          <w:rFonts w:ascii="方正仿宋_GBK" w:hAnsi="方正仿宋_GBK" w:eastAsia="方正仿宋_GBK" w:cs="方正仿宋_GBK"/>
          <w:b/>
          <w:sz w:val="32"/>
          <w:szCs w:val="32"/>
        </w:rPr>
      </w:pPr>
      <w:bookmarkStart w:id="120" w:name="_Toc27045"/>
      <w:r>
        <w:rPr>
          <w:rFonts w:hint="eastAsia" w:ascii="方正仿宋_GBK" w:hAnsi="方正仿宋_GBK" w:eastAsia="方正仿宋_GBK" w:cs="方正仿宋_GBK"/>
          <w:b/>
          <w:sz w:val="32"/>
          <w:szCs w:val="32"/>
        </w:rPr>
        <w:t>3.</w:t>
      </w:r>
      <w:r>
        <w:rPr>
          <w:rFonts w:ascii="方正仿宋_GBK" w:hAnsi="方正仿宋_GBK" w:eastAsia="方正仿宋_GBK" w:cs="方正仿宋_GBK"/>
          <w:b/>
          <w:sz w:val="32"/>
          <w:szCs w:val="32"/>
        </w:rPr>
        <w:t>新建住宅小区</w:t>
      </w:r>
      <w:r>
        <w:rPr>
          <w:rFonts w:hint="eastAsia" w:ascii="方正仿宋_GBK" w:hAnsi="方正仿宋_GBK" w:eastAsia="方正仿宋_GBK" w:cs="方正仿宋_GBK"/>
          <w:b/>
          <w:sz w:val="32"/>
          <w:szCs w:val="32"/>
        </w:rPr>
        <w:t>充电设施</w:t>
      </w:r>
      <w:r>
        <w:rPr>
          <w:rFonts w:ascii="方正仿宋_GBK" w:hAnsi="方正仿宋_GBK" w:eastAsia="方正仿宋_GBK" w:cs="方正仿宋_GBK"/>
          <w:b/>
          <w:sz w:val="32"/>
          <w:szCs w:val="32"/>
        </w:rPr>
        <w:t>100%配套标准</w:t>
      </w:r>
      <w:bookmarkEnd w:id="120"/>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住宅小区100%配套和10%配建充电桩的建设要求。新建住宅小区内10%的车位在交付时就配置全新的充电桩，90%的车位未配置充电桩，但每个车位都配备40A的空气开关，预留充电设施的安装条件。有需要安装充电桩时，直接到供电营业厅申请，无需物业审批。鼓励老旧住宅小区充电基础设施改造，按新建住宅小区充电基础设施规划设计的项目标准完成100%配套基础条件，完成充电桥架设计建设，预留分支箱和表箱位置（基础和标识）。同时，通过“多车一桩”、“共享充电”等方式解决老旧小区充电设施建设难题。</w:t>
      </w:r>
    </w:p>
    <w:p>
      <w:pPr>
        <w:spacing w:line="560" w:lineRule="exact"/>
        <w:ind w:firstLine="643" w:firstLineChars="200"/>
        <w:outlineLvl w:val="2"/>
        <w:rPr>
          <w:rFonts w:ascii="方正仿宋_GBK" w:hAnsi="方正仿宋_GBK" w:eastAsia="方正仿宋_GBK" w:cs="方正仿宋_GBK"/>
          <w:b/>
          <w:sz w:val="32"/>
          <w:szCs w:val="32"/>
        </w:rPr>
      </w:pPr>
      <w:bookmarkStart w:id="121" w:name="_Toc30976"/>
      <w:r>
        <w:rPr>
          <w:rFonts w:hint="eastAsia" w:ascii="方正仿宋_GBK" w:hAnsi="方正仿宋_GBK" w:eastAsia="方正仿宋_GBK" w:cs="方正仿宋_GBK"/>
          <w:b/>
          <w:sz w:val="32"/>
          <w:szCs w:val="32"/>
        </w:rPr>
        <w:t>4.加快布局“即插即充、无感支付”智能充电服务</w:t>
      </w:r>
      <w:bookmarkEnd w:id="121"/>
    </w:p>
    <w:p>
      <w:pPr>
        <w:widowControl/>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增“即插即充”功能，公共直流充电桩全部满足“即插即充、无感支付”的功能，通过车联网平台，使车、桩、车云与桩云之间互通，实现插枪即充电。提高用户充电便利性，提升用户体验感。充电桩安装智能装置，将车主充电桩统一接入到智慧能源控制系统。在满足车主充电需求的前提下，系统会自动引导电动汽车到非电网负荷高峰的“低谷”时段充电，降低车主充电成本的同时，对电网负荷曲线进行削峰填谷，促进清洁能源消纳，减少大量电动汽车竞争充电时对配变、配网的负荷冲击影响，减缓配网建设投资，实现可持续发展的“互联网+充电基础设施”。加快智能充电桩建设，“十四五”期间，新增公用充电桩应全部具备智能充电功能，同时现有充电桩智能化改造比例应不低于25%。</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22" w:name="_Toc28449"/>
      <w:bookmarkStart w:id="123" w:name="_Toc19581"/>
      <w:bookmarkStart w:id="124" w:name="_Toc7683"/>
      <w:bookmarkStart w:id="125" w:name="_Toc6588"/>
      <w:bookmarkStart w:id="126" w:name="_Toc30512"/>
      <w:bookmarkStart w:id="127" w:name="_Toc17766"/>
      <w:r>
        <w:rPr>
          <w:rFonts w:hint="eastAsia" w:ascii="方正楷体_GBK" w:hAnsi="方正楷体_GBK" w:eastAsia="方正楷体_GBK" w:cs="方正楷体_GBK"/>
          <w:b/>
          <w:bCs/>
          <w:sz w:val="32"/>
          <w:szCs w:val="32"/>
        </w:rPr>
        <w:t>（三）</w:t>
      </w:r>
      <w:r>
        <w:rPr>
          <w:rFonts w:hint="eastAsia" w:ascii="方正仿宋_GBK" w:hAnsi="方正仿宋_GBK" w:eastAsia="方正仿宋_GBK" w:cs="方正仿宋_GBK"/>
          <w:b/>
          <w:sz w:val="32"/>
          <w:szCs w:val="32"/>
        </w:rPr>
        <w:t>智能充电服务网络需求预测</w:t>
      </w:r>
      <w:bookmarkEnd w:id="122"/>
      <w:bookmarkEnd w:id="123"/>
      <w:bookmarkEnd w:id="124"/>
      <w:bookmarkEnd w:id="125"/>
      <w:bookmarkEnd w:id="126"/>
      <w:bookmarkEnd w:id="127"/>
    </w:p>
    <w:p>
      <w:pPr>
        <w:widowControl/>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推进新能源汽车充电基础设施建设，加快新能源汽车推广应用，按照国家有关规定，满足人口、车辆密集地区电动汽车充电需求，在居住区、商业区、开发区、景区、公交枢纽等人员、车辆密集地区利用原有停车场停车位，进行规划。</w:t>
      </w:r>
    </w:p>
    <w:p>
      <w:pPr>
        <w:spacing w:line="560" w:lineRule="exact"/>
        <w:ind w:firstLine="643" w:firstLineChars="200"/>
        <w:outlineLvl w:val="2"/>
        <w:rPr>
          <w:rFonts w:ascii="方正仿宋_GBK" w:hAnsi="方正仿宋_GBK" w:eastAsia="方正仿宋_GBK" w:cs="方正仿宋_GBK"/>
          <w:b/>
          <w:sz w:val="32"/>
          <w:szCs w:val="32"/>
        </w:rPr>
      </w:pPr>
      <w:bookmarkStart w:id="128" w:name="_Toc4677"/>
      <w:r>
        <w:rPr>
          <w:rFonts w:hint="eastAsia" w:ascii="方正仿宋_GBK" w:hAnsi="方正仿宋_GBK" w:eastAsia="方正仿宋_GBK" w:cs="方正仿宋_GBK"/>
          <w:b/>
          <w:sz w:val="32"/>
          <w:szCs w:val="32"/>
        </w:rPr>
        <w:t>1.公交车充电站</w:t>
      </w:r>
      <w:bookmarkEnd w:id="128"/>
    </w:p>
    <w:p>
      <w:pPr>
        <w:widowControl/>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公交车充电站配置60kW、120kW、150kW三种充电桩，车桩比例按照每个车站需求配置。根据县交通运输局调研，“十四五”期间共需新增</w:t>
      </w:r>
      <w:r>
        <w:rPr>
          <w:rFonts w:ascii="方正仿宋_GBK" w:hAnsi="方正仿宋_GBK" w:eastAsia="方正仿宋_GBK" w:cs="方正仿宋_GBK"/>
          <w:sz w:val="32"/>
          <w:szCs w:val="32"/>
        </w:rPr>
        <w:t>6</w:t>
      </w:r>
      <w:r>
        <w:rPr>
          <w:rFonts w:hint="eastAsia" w:ascii="方正仿宋_GBK" w:hAnsi="方正仿宋_GBK" w:eastAsia="方正仿宋_GBK" w:cs="方正仿宋_GBK"/>
          <w:sz w:val="32"/>
          <w:szCs w:val="32"/>
        </w:rPr>
        <w:t>座公交充电站。</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表4.8  公交车充电站需求预测</w:t>
      </w:r>
    </w:p>
    <w:tbl>
      <w:tblPr>
        <w:tblStyle w:val="26"/>
        <w:tblW w:w="8329" w:type="dxa"/>
        <w:tblInd w:w="0" w:type="dxa"/>
        <w:tblLayout w:type="fixed"/>
        <w:tblCellMar>
          <w:top w:w="0" w:type="dxa"/>
          <w:left w:w="0" w:type="dxa"/>
          <w:bottom w:w="0" w:type="dxa"/>
          <w:right w:w="0" w:type="dxa"/>
        </w:tblCellMar>
      </w:tblPr>
      <w:tblGrid>
        <w:gridCol w:w="2209"/>
        <w:gridCol w:w="1330"/>
        <w:gridCol w:w="1559"/>
        <w:gridCol w:w="1701"/>
        <w:gridCol w:w="1530"/>
      </w:tblGrid>
      <w:tr>
        <w:tblPrEx>
          <w:tblCellMar>
            <w:top w:w="0" w:type="dxa"/>
            <w:left w:w="0" w:type="dxa"/>
            <w:bottom w:w="0" w:type="dxa"/>
            <w:right w:w="0" w:type="dxa"/>
          </w:tblCellMar>
        </w:tblPrEx>
        <w:trPr>
          <w:trHeight w:val="300" w:hRule="atLeast"/>
        </w:trPr>
        <w:tc>
          <w:tcPr>
            <w:tcW w:w="220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分类</w:t>
            </w:r>
          </w:p>
        </w:tc>
        <w:tc>
          <w:tcPr>
            <w:tcW w:w="13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4790"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预测新增</w:t>
            </w:r>
          </w:p>
        </w:tc>
      </w:tr>
      <w:tr>
        <w:tblPrEx>
          <w:tblCellMar>
            <w:top w:w="0" w:type="dxa"/>
            <w:left w:w="0" w:type="dxa"/>
            <w:bottom w:w="0" w:type="dxa"/>
            <w:right w:w="0" w:type="dxa"/>
          </w:tblCellMar>
        </w:tblPrEx>
        <w:trPr>
          <w:trHeight w:val="300" w:hRule="atLeast"/>
        </w:trPr>
        <w:tc>
          <w:tcPr>
            <w:tcW w:w="220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r>
      <w:tr>
        <w:tblPrEx>
          <w:tblCellMar>
            <w:top w:w="0" w:type="dxa"/>
            <w:left w:w="0" w:type="dxa"/>
            <w:bottom w:w="0" w:type="dxa"/>
            <w:right w:w="0" w:type="dxa"/>
          </w:tblCellMar>
        </w:tblPrEx>
        <w:trPr>
          <w:trHeight w:val="300" w:hRule="atLeast"/>
        </w:trPr>
        <w:tc>
          <w:tcPr>
            <w:tcW w:w="22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公交汽车（辆）</w:t>
            </w:r>
          </w:p>
        </w:tc>
        <w:tc>
          <w:tcPr>
            <w:tcW w:w="13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325</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16</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20</w:t>
            </w:r>
          </w:p>
        </w:tc>
      </w:tr>
      <w:tr>
        <w:tblPrEx>
          <w:tblCellMar>
            <w:top w:w="0" w:type="dxa"/>
            <w:left w:w="0" w:type="dxa"/>
            <w:bottom w:w="0" w:type="dxa"/>
            <w:right w:w="0" w:type="dxa"/>
          </w:tblCellMar>
        </w:tblPrEx>
        <w:trPr>
          <w:trHeight w:val="300" w:hRule="atLeast"/>
        </w:trPr>
        <w:tc>
          <w:tcPr>
            <w:tcW w:w="22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公交车充电站（座）</w:t>
            </w:r>
          </w:p>
        </w:tc>
        <w:tc>
          <w:tcPr>
            <w:tcW w:w="13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r>
    </w:tbl>
    <w:p>
      <w:pPr>
        <w:spacing w:line="560" w:lineRule="exact"/>
        <w:ind w:firstLine="643" w:firstLineChars="200"/>
        <w:outlineLvl w:val="2"/>
        <w:rPr>
          <w:rFonts w:ascii="方正仿宋_GBK" w:hAnsi="方正仿宋_GBK" w:eastAsia="方正仿宋_GBK" w:cs="方正仿宋_GBK"/>
          <w:b/>
          <w:sz w:val="32"/>
          <w:szCs w:val="32"/>
        </w:rPr>
      </w:pPr>
      <w:bookmarkStart w:id="129" w:name="_Toc26927"/>
      <w:r>
        <w:rPr>
          <w:rFonts w:hint="eastAsia" w:ascii="方正仿宋_GBK" w:hAnsi="方正仿宋_GBK" w:eastAsia="方正仿宋_GBK" w:cs="方正仿宋_GBK"/>
          <w:b/>
          <w:sz w:val="32"/>
          <w:szCs w:val="32"/>
        </w:rPr>
        <w:t>2.</w:t>
      </w:r>
      <w:r>
        <w:rPr>
          <w:rFonts w:ascii="方正仿宋_GBK" w:hAnsi="方正仿宋_GBK" w:eastAsia="方正仿宋_GBK" w:cs="方正仿宋_GBK"/>
          <w:b/>
          <w:sz w:val="32"/>
          <w:szCs w:val="32"/>
        </w:rPr>
        <w:t>出租车充电站</w:t>
      </w:r>
      <w:bookmarkEnd w:id="129"/>
    </w:p>
    <w:p>
      <w:pPr>
        <w:widowControl/>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根据县交通运输局调研，预测2024年新增1座出租车充电站，单座充电站配</w:t>
      </w:r>
      <w:r>
        <w:rPr>
          <w:rFonts w:ascii="方正仿宋_GBK" w:hAnsi="方正仿宋_GBK" w:eastAsia="方正仿宋_GBK" w:cs="方正仿宋_GBK"/>
          <w:sz w:val="32"/>
          <w:szCs w:val="32"/>
        </w:rPr>
        <w:t>20</w:t>
      </w:r>
      <w:r>
        <w:rPr>
          <w:rFonts w:hint="eastAsia" w:ascii="方正仿宋_GBK" w:hAnsi="方正仿宋_GBK" w:eastAsia="方正仿宋_GBK" w:cs="方正仿宋_GBK"/>
          <w:sz w:val="32"/>
          <w:szCs w:val="32"/>
        </w:rPr>
        <w:t>个充电桩，满足163辆电动出租车充电需求。</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表4.9  出租车充电站需求预测</w:t>
      </w:r>
    </w:p>
    <w:tbl>
      <w:tblPr>
        <w:tblStyle w:val="26"/>
        <w:tblW w:w="8359" w:type="dxa"/>
        <w:tblInd w:w="0" w:type="dxa"/>
        <w:tblLayout w:type="fixed"/>
        <w:tblCellMar>
          <w:top w:w="0" w:type="dxa"/>
          <w:left w:w="0" w:type="dxa"/>
          <w:bottom w:w="0" w:type="dxa"/>
          <w:right w:w="0" w:type="dxa"/>
        </w:tblCellMar>
      </w:tblPr>
      <w:tblGrid>
        <w:gridCol w:w="2405"/>
        <w:gridCol w:w="1134"/>
        <w:gridCol w:w="1559"/>
        <w:gridCol w:w="1560"/>
        <w:gridCol w:w="1701"/>
      </w:tblGrid>
      <w:tr>
        <w:tblPrEx>
          <w:tblCellMar>
            <w:top w:w="0" w:type="dxa"/>
            <w:left w:w="0" w:type="dxa"/>
            <w:bottom w:w="0" w:type="dxa"/>
            <w:right w:w="0" w:type="dxa"/>
          </w:tblCellMar>
        </w:tblPrEx>
        <w:trPr>
          <w:trHeight w:val="300" w:hRule="atLeast"/>
        </w:trPr>
        <w:tc>
          <w:tcPr>
            <w:tcW w:w="2405" w:type="dxa"/>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分类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4820"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预测新增</w:t>
            </w:r>
          </w:p>
        </w:tc>
      </w:tr>
      <w:tr>
        <w:tblPrEx>
          <w:tblCellMar>
            <w:top w:w="0" w:type="dxa"/>
            <w:left w:w="0" w:type="dxa"/>
            <w:bottom w:w="0" w:type="dxa"/>
            <w:right w:w="0" w:type="dxa"/>
          </w:tblCellMar>
        </w:tblPrEx>
        <w:trPr>
          <w:trHeight w:val="300" w:hRule="atLeast"/>
        </w:trPr>
        <w:tc>
          <w:tcPr>
            <w:tcW w:w="2405" w:type="dxa"/>
            <w:vMerge w:val="continue"/>
            <w:tcBorders>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56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70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r>
      <w:tr>
        <w:tblPrEx>
          <w:tblCellMar>
            <w:top w:w="0" w:type="dxa"/>
            <w:left w:w="0" w:type="dxa"/>
            <w:bottom w:w="0" w:type="dxa"/>
            <w:right w:w="0" w:type="dxa"/>
          </w:tblCellMar>
        </w:tblPrEx>
        <w:trPr>
          <w:trHeight w:val="300" w:hRule="atLeast"/>
        </w:trPr>
        <w:tc>
          <w:tcPr>
            <w:tcW w:w="24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出租车（辆）</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163</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56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70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r>
      <w:tr>
        <w:tblPrEx>
          <w:tblCellMar>
            <w:top w:w="0" w:type="dxa"/>
            <w:left w:w="0" w:type="dxa"/>
            <w:bottom w:w="0" w:type="dxa"/>
            <w:right w:w="0" w:type="dxa"/>
          </w:tblCellMar>
        </w:tblPrEx>
        <w:trPr>
          <w:trHeight w:val="90" w:hRule="atLeast"/>
        </w:trPr>
        <w:tc>
          <w:tcPr>
            <w:tcW w:w="24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出租车充电站（座）</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56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170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r>
    </w:tbl>
    <w:p>
      <w:pPr>
        <w:spacing w:line="560" w:lineRule="exact"/>
        <w:ind w:firstLine="643" w:firstLineChars="200"/>
        <w:outlineLvl w:val="2"/>
        <w:rPr>
          <w:rFonts w:ascii="方正仿宋_GBK" w:hAnsi="方正仿宋_GBK" w:eastAsia="方正仿宋_GBK" w:cs="方正仿宋_GBK"/>
          <w:b/>
          <w:sz w:val="32"/>
          <w:szCs w:val="32"/>
        </w:rPr>
      </w:pPr>
      <w:bookmarkStart w:id="130" w:name="_Toc8770"/>
      <w:r>
        <w:rPr>
          <w:rFonts w:hint="eastAsia" w:ascii="方正仿宋_GBK" w:hAnsi="方正仿宋_GBK" w:eastAsia="方正仿宋_GBK" w:cs="方正仿宋_GBK"/>
          <w:b/>
          <w:sz w:val="32"/>
          <w:szCs w:val="32"/>
        </w:rPr>
        <w:t>3.</w:t>
      </w:r>
      <w:r>
        <w:rPr>
          <w:rFonts w:ascii="方正仿宋_GBK" w:hAnsi="方正仿宋_GBK" w:eastAsia="方正仿宋_GBK" w:cs="方正仿宋_GBK"/>
          <w:b/>
          <w:sz w:val="32"/>
          <w:szCs w:val="32"/>
        </w:rPr>
        <w:t>专用车充电站</w:t>
      </w:r>
      <w:bookmarkEnd w:id="130"/>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根据专用车数量预测结果，则“十四五”期间共需新增</w:t>
      </w:r>
      <w:r>
        <w:rPr>
          <w:rFonts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t>座专用车充电站，单座充电站配</w:t>
      </w:r>
      <w:r>
        <w:rPr>
          <w:rFonts w:ascii="方正仿宋_GBK" w:hAnsi="方正仿宋_GBK" w:eastAsia="方正仿宋_GBK" w:cs="方正仿宋_GBK"/>
          <w:sz w:val="32"/>
          <w:szCs w:val="32"/>
        </w:rPr>
        <w:t>20</w:t>
      </w:r>
      <w:r>
        <w:rPr>
          <w:rFonts w:hint="eastAsia" w:ascii="方正仿宋_GBK" w:hAnsi="方正仿宋_GBK" w:eastAsia="方正仿宋_GBK" w:cs="方正仿宋_GBK"/>
          <w:sz w:val="32"/>
          <w:szCs w:val="32"/>
        </w:rPr>
        <w:t>个充电桩。</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表4.10  专用车充电站需求预测</w:t>
      </w:r>
    </w:p>
    <w:tbl>
      <w:tblPr>
        <w:tblStyle w:val="26"/>
        <w:tblW w:w="8329" w:type="dxa"/>
        <w:tblInd w:w="0" w:type="dxa"/>
        <w:tblLayout w:type="fixed"/>
        <w:tblCellMar>
          <w:top w:w="0" w:type="dxa"/>
          <w:left w:w="0" w:type="dxa"/>
          <w:bottom w:w="0" w:type="dxa"/>
          <w:right w:w="0" w:type="dxa"/>
        </w:tblCellMar>
      </w:tblPr>
      <w:tblGrid>
        <w:gridCol w:w="2319"/>
        <w:gridCol w:w="1220"/>
        <w:gridCol w:w="1559"/>
        <w:gridCol w:w="1560"/>
        <w:gridCol w:w="1671"/>
      </w:tblGrid>
      <w:tr>
        <w:tblPrEx>
          <w:tblCellMar>
            <w:top w:w="0" w:type="dxa"/>
            <w:left w:w="0" w:type="dxa"/>
            <w:bottom w:w="0" w:type="dxa"/>
            <w:right w:w="0" w:type="dxa"/>
          </w:tblCellMar>
        </w:tblPrEx>
        <w:trPr>
          <w:trHeight w:val="300" w:hRule="atLeast"/>
        </w:trPr>
        <w:tc>
          <w:tcPr>
            <w:tcW w:w="2319" w:type="dxa"/>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分类</w:t>
            </w: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4790"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预测新增</w:t>
            </w:r>
          </w:p>
        </w:tc>
      </w:tr>
      <w:tr>
        <w:tblPrEx>
          <w:tblCellMar>
            <w:top w:w="0" w:type="dxa"/>
            <w:left w:w="0" w:type="dxa"/>
            <w:bottom w:w="0" w:type="dxa"/>
            <w:right w:w="0" w:type="dxa"/>
          </w:tblCellMar>
        </w:tblPrEx>
        <w:trPr>
          <w:trHeight w:val="300" w:hRule="atLeast"/>
        </w:trPr>
        <w:tc>
          <w:tcPr>
            <w:tcW w:w="2319" w:type="dxa"/>
            <w:vMerge w:val="continue"/>
            <w:tcBorders>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56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67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r>
      <w:tr>
        <w:tblPrEx>
          <w:tblCellMar>
            <w:top w:w="0" w:type="dxa"/>
            <w:left w:w="0" w:type="dxa"/>
            <w:bottom w:w="0" w:type="dxa"/>
            <w:right w:w="0" w:type="dxa"/>
          </w:tblCellMar>
        </w:tblPrEx>
        <w:trPr>
          <w:trHeight w:val="300" w:hRule="atLeast"/>
        </w:trPr>
        <w:tc>
          <w:tcPr>
            <w:tcW w:w="23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专用车（辆）</w:t>
            </w: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198</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40</w:t>
            </w:r>
          </w:p>
        </w:tc>
        <w:tc>
          <w:tcPr>
            <w:tcW w:w="156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40</w:t>
            </w:r>
          </w:p>
        </w:tc>
        <w:tc>
          <w:tcPr>
            <w:tcW w:w="167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40</w:t>
            </w:r>
          </w:p>
        </w:tc>
      </w:tr>
      <w:tr>
        <w:tblPrEx>
          <w:tblCellMar>
            <w:top w:w="0" w:type="dxa"/>
            <w:left w:w="0" w:type="dxa"/>
            <w:bottom w:w="0" w:type="dxa"/>
            <w:right w:w="0" w:type="dxa"/>
          </w:tblCellMar>
        </w:tblPrEx>
        <w:trPr>
          <w:trHeight w:val="90" w:hRule="atLeast"/>
        </w:trPr>
        <w:tc>
          <w:tcPr>
            <w:tcW w:w="231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专用车充电站</w:t>
            </w:r>
            <w:r>
              <w:rPr>
                <w:rFonts w:ascii="方正仿宋_GBK" w:hAnsi="方正仿宋_GBK" w:eastAsia="方正仿宋_GBK" w:cs="方正仿宋_GBK"/>
                <w:kern w:val="0"/>
                <w:sz w:val="24"/>
                <w:szCs w:val="24"/>
              </w:rPr>
              <w:t>（座）</w:t>
            </w: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56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c>
          <w:tcPr>
            <w:tcW w:w="167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r>
    </w:tbl>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4.公共充电站</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共充电站平均每站配8个充电桩，每桩每天平均使用10小时，每辆车平均充电2小时，则每桩每天服务5辆车，每站每天平均满足40辆车充电需求。按照满足全社会电动汽车车辆（除电动公交车、专用车）的20%需求进行预测，得到200辆车规划1座公共充电站。</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根据社会电动汽车数量预测结果，则“十四五”期间共需新增公共充电站</w:t>
      </w:r>
      <w:r>
        <w:rPr>
          <w:rFonts w:ascii="方正仿宋_GBK" w:hAnsi="方正仿宋_GBK" w:eastAsia="方正仿宋_GBK" w:cs="方正仿宋_GBK"/>
          <w:sz w:val="32"/>
          <w:szCs w:val="32"/>
        </w:rPr>
        <w:t>62</w:t>
      </w:r>
      <w:r>
        <w:rPr>
          <w:rFonts w:hint="eastAsia" w:ascii="方正仿宋_GBK" w:hAnsi="方正仿宋_GBK" w:eastAsia="方正仿宋_GBK" w:cs="方正仿宋_GBK"/>
          <w:sz w:val="32"/>
          <w:szCs w:val="32"/>
        </w:rPr>
        <w:t>座。</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表4.11  公共充电站需求预测</w:t>
      </w:r>
    </w:p>
    <w:tbl>
      <w:tblPr>
        <w:tblStyle w:val="26"/>
        <w:tblW w:w="8329" w:type="dxa"/>
        <w:tblInd w:w="0" w:type="dxa"/>
        <w:tblLayout w:type="fixed"/>
        <w:tblCellMar>
          <w:top w:w="0" w:type="dxa"/>
          <w:left w:w="0" w:type="dxa"/>
          <w:bottom w:w="0" w:type="dxa"/>
          <w:right w:w="0" w:type="dxa"/>
        </w:tblCellMar>
      </w:tblPr>
      <w:tblGrid>
        <w:gridCol w:w="2182"/>
        <w:gridCol w:w="1499"/>
        <w:gridCol w:w="1559"/>
        <w:gridCol w:w="1559"/>
        <w:gridCol w:w="1530"/>
      </w:tblGrid>
      <w:tr>
        <w:tblPrEx>
          <w:tblCellMar>
            <w:top w:w="0" w:type="dxa"/>
            <w:left w:w="0" w:type="dxa"/>
            <w:bottom w:w="0" w:type="dxa"/>
            <w:right w:w="0" w:type="dxa"/>
          </w:tblCellMar>
        </w:tblPrEx>
        <w:trPr>
          <w:trHeight w:val="300" w:hRule="atLeast"/>
        </w:trPr>
        <w:tc>
          <w:tcPr>
            <w:tcW w:w="2182" w:type="dxa"/>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分类</w:t>
            </w: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w:t>
            </w:r>
          </w:p>
        </w:tc>
        <w:tc>
          <w:tcPr>
            <w:tcW w:w="4648"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预测新增</w:t>
            </w:r>
          </w:p>
        </w:tc>
      </w:tr>
      <w:tr>
        <w:tblPrEx>
          <w:tblCellMar>
            <w:top w:w="0" w:type="dxa"/>
            <w:left w:w="0" w:type="dxa"/>
            <w:bottom w:w="0" w:type="dxa"/>
            <w:right w:w="0" w:type="dxa"/>
          </w:tblCellMar>
        </w:tblPrEx>
        <w:trPr>
          <w:trHeight w:val="300" w:hRule="atLeast"/>
        </w:trPr>
        <w:tc>
          <w:tcPr>
            <w:tcW w:w="2182" w:type="dxa"/>
            <w:vMerge w:val="continue"/>
            <w:tcBorders>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b/>
                <w:bCs/>
                <w:kern w:val="0"/>
                <w:sz w:val="24"/>
                <w:szCs w:val="24"/>
              </w:rPr>
            </w:pP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5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r>
      <w:tr>
        <w:tblPrEx>
          <w:tblCellMar>
            <w:top w:w="0" w:type="dxa"/>
            <w:left w:w="0" w:type="dxa"/>
            <w:bottom w:w="0" w:type="dxa"/>
            <w:right w:w="0" w:type="dxa"/>
          </w:tblCellMar>
        </w:tblPrEx>
        <w:trPr>
          <w:trHeight w:val="300" w:hRule="atLeast"/>
        </w:trPr>
        <w:tc>
          <w:tcPr>
            <w:tcW w:w="218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社会电动汽车（辆）</w:t>
            </w: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 xml:space="preserve">4832 </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 xml:space="preserve">3384 </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 xml:space="preserve">4239 </w:t>
            </w:r>
          </w:p>
        </w:tc>
        <w:tc>
          <w:tcPr>
            <w:tcW w:w="15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 xml:space="preserve">4739 </w:t>
            </w:r>
          </w:p>
        </w:tc>
      </w:tr>
      <w:tr>
        <w:tblPrEx>
          <w:tblCellMar>
            <w:top w:w="0" w:type="dxa"/>
            <w:left w:w="0" w:type="dxa"/>
            <w:bottom w:w="0" w:type="dxa"/>
            <w:right w:w="0" w:type="dxa"/>
          </w:tblCellMar>
        </w:tblPrEx>
        <w:trPr>
          <w:trHeight w:val="300" w:hRule="atLeast"/>
        </w:trPr>
        <w:tc>
          <w:tcPr>
            <w:tcW w:w="218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充电站配桩（桩）</w:t>
            </w: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8</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8</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8</w:t>
            </w:r>
          </w:p>
        </w:tc>
        <w:tc>
          <w:tcPr>
            <w:tcW w:w="15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8</w:t>
            </w:r>
          </w:p>
        </w:tc>
      </w:tr>
      <w:tr>
        <w:tblPrEx>
          <w:tblCellMar>
            <w:top w:w="0" w:type="dxa"/>
            <w:left w:w="0" w:type="dxa"/>
            <w:bottom w:w="0" w:type="dxa"/>
            <w:right w:w="0" w:type="dxa"/>
          </w:tblCellMar>
        </w:tblPrEx>
        <w:trPr>
          <w:trHeight w:val="300" w:hRule="atLeast"/>
        </w:trPr>
        <w:tc>
          <w:tcPr>
            <w:tcW w:w="218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单站每天服务（辆）</w:t>
            </w: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40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40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40</w:t>
            </w:r>
          </w:p>
        </w:tc>
        <w:tc>
          <w:tcPr>
            <w:tcW w:w="15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40</w:t>
            </w:r>
          </w:p>
        </w:tc>
      </w:tr>
      <w:tr>
        <w:tblPrEx>
          <w:tblCellMar>
            <w:top w:w="0" w:type="dxa"/>
            <w:left w:w="0" w:type="dxa"/>
            <w:bottom w:w="0" w:type="dxa"/>
            <w:right w:w="0" w:type="dxa"/>
          </w:tblCellMar>
        </w:tblPrEx>
        <w:trPr>
          <w:trHeight w:val="300" w:hRule="atLeast"/>
        </w:trPr>
        <w:tc>
          <w:tcPr>
            <w:tcW w:w="218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满足比例（%）</w:t>
            </w: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w:t>
            </w:r>
          </w:p>
        </w:tc>
        <w:tc>
          <w:tcPr>
            <w:tcW w:w="15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w:t>
            </w:r>
          </w:p>
        </w:tc>
      </w:tr>
      <w:tr>
        <w:tblPrEx>
          <w:tblCellMar>
            <w:top w:w="0" w:type="dxa"/>
            <w:left w:w="0" w:type="dxa"/>
            <w:bottom w:w="0" w:type="dxa"/>
            <w:right w:w="0" w:type="dxa"/>
          </w:tblCellMar>
        </w:tblPrEx>
        <w:trPr>
          <w:trHeight w:val="300" w:hRule="atLeast"/>
        </w:trPr>
        <w:tc>
          <w:tcPr>
            <w:tcW w:w="218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配置原则（辆/座）</w:t>
            </w: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200</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200</w:t>
            </w:r>
          </w:p>
        </w:tc>
        <w:tc>
          <w:tcPr>
            <w:tcW w:w="15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200</w:t>
            </w:r>
          </w:p>
        </w:tc>
      </w:tr>
      <w:tr>
        <w:tblPrEx>
          <w:tblCellMar>
            <w:top w:w="0" w:type="dxa"/>
            <w:left w:w="0" w:type="dxa"/>
            <w:bottom w:w="0" w:type="dxa"/>
            <w:right w:w="0" w:type="dxa"/>
          </w:tblCellMar>
        </w:tblPrEx>
        <w:trPr>
          <w:trHeight w:val="90" w:hRule="atLeast"/>
        </w:trPr>
        <w:tc>
          <w:tcPr>
            <w:tcW w:w="218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公共充电站（座）</w:t>
            </w:r>
          </w:p>
        </w:tc>
        <w:tc>
          <w:tcPr>
            <w:tcW w:w="149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27</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17</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21</w:t>
            </w:r>
          </w:p>
        </w:tc>
        <w:tc>
          <w:tcPr>
            <w:tcW w:w="15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24</w:t>
            </w:r>
          </w:p>
        </w:tc>
      </w:tr>
    </w:tbl>
    <w:p>
      <w:pPr>
        <w:spacing w:line="560" w:lineRule="exact"/>
        <w:ind w:firstLine="643" w:firstLineChars="200"/>
        <w:outlineLvl w:val="2"/>
        <w:rPr>
          <w:rFonts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5.高速快充站</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高速快充站按照服务区建设数量配置，根据德清县高速公路服务区建设情况，“十四五”期间，德清县需新增</w:t>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座高速快充站，分别为二绕莫干山服务区东区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西区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德安高速服务区</w:t>
      </w:r>
      <w:r>
        <w:rPr>
          <w:rFonts w:hint="eastAsia" w:ascii="方正仿宋_GBK" w:hAnsi="方正仿宋_GBK" w:eastAsia="方正仿宋_GBK" w:cs="方正仿宋_GBK"/>
          <w:sz w:val="32"/>
          <w:szCs w:val="32"/>
        </w:rPr>
        <w:t>。</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表4.12  高速快充站需求预测</w:t>
      </w:r>
    </w:p>
    <w:tbl>
      <w:tblPr>
        <w:tblStyle w:val="26"/>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6"/>
        <w:gridCol w:w="1760"/>
        <w:gridCol w:w="1701"/>
        <w:gridCol w:w="1842"/>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496" w:type="dxa"/>
            <w:vMerge w:val="restart"/>
            <w:shd w:val="clear" w:color="auto" w:fill="auto"/>
            <w:tcMar>
              <w:top w:w="10" w:type="dxa"/>
              <w:left w:w="10" w:type="dxa"/>
              <w:right w:w="10" w:type="dxa"/>
            </w:tcMar>
            <w:vAlign w:val="bottom"/>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地区</w:t>
            </w:r>
          </w:p>
        </w:tc>
        <w:tc>
          <w:tcPr>
            <w:tcW w:w="1760" w:type="dxa"/>
            <w:shd w:val="clear" w:color="auto" w:fill="auto"/>
            <w:tcMar>
              <w:top w:w="10" w:type="dxa"/>
              <w:left w:w="10" w:type="dxa"/>
              <w:right w:w="10" w:type="dxa"/>
            </w:tcMar>
            <w:vAlign w:val="bottom"/>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现状</w:t>
            </w:r>
            <w:r>
              <w:rPr>
                <w:rFonts w:hint="eastAsia" w:ascii="方正仿宋_GBK" w:hAnsi="方正仿宋_GBK" w:eastAsia="方正仿宋_GBK" w:cs="方正仿宋_GBK"/>
                <w:b/>
                <w:bCs/>
                <w:kern w:val="0"/>
                <w:sz w:val="24"/>
                <w:szCs w:val="24"/>
              </w:rPr>
              <w:t>（座）</w:t>
            </w:r>
          </w:p>
        </w:tc>
        <w:tc>
          <w:tcPr>
            <w:tcW w:w="5073" w:type="dxa"/>
            <w:gridSpan w:val="3"/>
            <w:shd w:val="clear" w:color="auto" w:fill="auto"/>
            <w:tcMar>
              <w:top w:w="10" w:type="dxa"/>
              <w:left w:w="10" w:type="dxa"/>
              <w:right w:w="10" w:type="dxa"/>
            </w:tcMar>
            <w:vAlign w:val="bottom"/>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预测新增</w:t>
            </w:r>
            <w:r>
              <w:rPr>
                <w:rFonts w:hint="eastAsia" w:ascii="方正仿宋_GBK" w:hAnsi="方正仿宋_GBK" w:eastAsia="方正仿宋_GBK" w:cs="方正仿宋_GBK"/>
                <w:b/>
                <w:bCs/>
                <w:kern w:val="0"/>
                <w:sz w:val="24"/>
                <w:szCs w:val="24"/>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496" w:type="dxa"/>
            <w:vMerge w:val="continue"/>
            <w:shd w:val="clear" w:color="auto" w:fill="auto"/>
            <w:tcMar>
              <w:top w:w="10" w:type="dxa"/>
              <w:left w:w="10" w:type="dxa"/>
              <w:right w:w="10" w:type="dxa"/>
            </w:tcMar>
            <w:vAlign w:val="bottom"/>
          </w:tcPr>
          <w:p>
            <w:pPr>
              <w:jc w:val="center"/>
              <w:rPr>
                <w:rFonts w:ascii="方正仿宋_GBK" w:hAnsi="方正仿宋_GBK" w:eastAsia="方正仿宋_GBK" w:cs="方正仿宋_GBK"/>
                <w:b/>
                <w:bCs/>
                <w:kern w:val="0"/>
                <w:sz w:val="24"/>
                <w:szCs w:val="24"/>
              </w:rPr>
            </w:pPr>
          </w:p>
        </w:tc>
        <w:tc>
          <w:tcPr>
            <w:tcW w:w="1760" w:type="dxa"/>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701" w:type="dxa"/>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842" w:type="dxa"/>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530" w:type="dxa"/>
            <w:shd w:val="clear" w:color="auto" w:fill="auto"/>
            <w:tcMar>
              <w:top w:w="10" w:type="dxa"/>
              <w:left w:w="10" w:type="dxa"/>
              <w:right w:w="10"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496" w:type="dxa"/>
            <w:shd w:val="clear" w:color="auto" w:fill="auto"/>
            <w:tcMar>
              <w:top w:w="10" w:type="dxa"/>
              <w:left w:w="10" w:type="dxa"/>
              <w:right w:w="10" w:type="dxa"/>
            </w:tcMar>
            <w:vAlign w:val="bottom"/>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德清县</w:t>
            </w:r>
          </w:p>
        </w:tc>
        <w:tc>
          <w:tcPr>
            <w:tcW w:w="1760" w:type="dxa"/>
            <w:shd w:val="clear" w:color="auto" w:fill="auto"/>
            <w:tcMar>
              <w:top w:w="10" w:type="dxa"/>
              <w:left w:w="10" w:type="dxa"/>
              <w:right w:w="10" w:type="dxa"/>
            </w:tcMar>
            <w:vAlign w:val="bottom"/>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701" w:type="dxa"/>
            <w:shd w:val="clear" w:color="auto" w:fill="auto"/>
            <w:tcMar>
              <w:top w:w="10" w:type="dxa"/>
              <w:left w:w="10" w:type="dxa"/>
              <w:right w:w="10" w:type="dxa"/>
            </w:tcMar>
            <w:vAlign w:val="bottom"/>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842" w:type="dxa"/>
            <w:shd w:val="clear" w:color="auto" w:fill="auto"/>
            <w:tcMar>
              <w:top w:w="10" w:type="dxa"/>
              <w:left w:w="10" w:type="dxa"/>
              <w:right w:w="10" w:type="dxa"/>
            </w:tcMar>
            <w:vAlign w:val="bottom"/>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530" w:type="dxa"/>
            <w:shd w:val="clear" w:color="auto" w:fill="auto"/>
            <w:tcMar>
              <w:top w:w="10" w:type="dxa"/>
              <w:left w:w="10" w:type="dxa"/>
              <w:right w:w="10" w:type="dxa"/>
            </w:tcMar>
            <w:vAlign w:val="bottom"/>
          </w:tcPr>
          <w:p>
            <w:pPr>
              <w:widowControl/>
              <w:jc w:val="center"/>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val="en-US" w:eastAsia="zh-CN"/>
              </w:rPr>
              <w:t>2</w:t>
            </w:r>
          </w:p>
        </w:tc>
      </w:tr>
    </w:tbl>
    <w:p>
      <w:pPr>
        <w:spacing w:line="560" w:lineRule="exact"/>
        <w:ind w:firstLine="643" w:firstLineChars="200"/>
        <w:outlineLvl w:val="2"/>
        <w:rPr>
          <w:rFonts w:ascii="方正仿宋_GBK" w:hAnsi="方正仿宋_GBK" w:eastAsia="方正仿宋_GBK" w:cs="方正仿宋_GBK"/>
          <w:b/>
          <w:sz w:val="32"/>
          <w:szCs w:val="32"/>
        </w:rPr>
      </w:pPr>
      <w:bookmarkStart w:id="131" w:name="_Toc26173"/>
      <w:r>
        <w:rPr>
          <w:rFonts w:hint="eastAsia" w:ascii="方正仿宋_GBK" w:hAnsi="方正仿宋_GBK" w:eastAsia="方正仿宋_GBK" w:cs="方正仿宋_GBK"/>
          <w:b/>
          <w:sz w:val="32"/>
          <w:szCs w:val="32"/>
        </w:rPr>
        <w:t>6.自用充电桩</w:t>
      </w:r>
      <w:bookmarkEnd w:id="131"/>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针对</w:t>
      </w:r>
      <w:r>
        <w:rPr>
          <w:rFonts w:ascii="方正仿宋_GBK" w:hAnsi="方正仿宋_GBK" w:eastAsia="方正仿宋_GBK" w:cs="方正仿宋_GBK"/>
          <w:sz w:val="32"/>
          <w:szCs w:val="32"/>
        </w:rPr>
        <w:t>私人乘用车</w:t>
      </w:r>
      <w:r>
        <w:rPr>
          <w:rFonts w:hint="eastAsia" w:ascii="方正仿宋_GBK" w:hAnsi="方正仿宋_GBK" w:eastAsia="方正仿宋_GBK" w:cs="方正仿宋_GBK"/>
          <w:sz w:val="32"/>
          <w:szCs w:val="32"/>
        </w:rPr>
        <w:t>、网约车，用户根据需求配置自用充电桩。202</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年自用充电桩配置率为</w:t>
      </w:r>
      <w:r>
        <w:rPr>
          <w:rFonts w:ascii="方正仿宋_GBK" w:hAnsi="方正仿宋_GBK" w:eastAsia="方正仿宋_GBK" w:cs="方正仿宋_GBK"/>
          <w:sz w:val="32"/>
          <w:szCs w:val="32"/>
        </w:rPr>
        <w:t>62.8</w:t>
      </w:r>
      <w:r>
        <w:rPr>
          <w:rFonts w:hint="eastAsia" w:ascii="方正仿宋_GBK" w:hAnsi="方正仿宋_GBK" w:eastAsia="方正仿宋_GBK" w:cs="方正仿宋_GBK"/>
          <w:sz w:val="32"/>
          <w:szCs w:val="32"/>
        </w:rPr>
        <w:t>%，预测随着住宅小区充电设施配置条件改善，“十四五”期间自用充电桩配置比例逐年提高，2025年达到10</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%，新增自用充电桩累计新增共计1</w:t>
      </w:r>
      <w:r>
        <w:rPr>
          <w:rFonts w:ascii="方正仿宋_GBK" w:hAnsi="方正仿宋_GBK" w:eastAsia="方正仿宋_GBK" w:cs="方正仿宋_GBK"/>
          <w:sz w:val="32"/>
          <w:szCs w:val="32"/>
        </w:rPr>
        <w:t>0130</w:t>
      </w:r>
      <w:r>
        <w:rPr>
          <w:rFonts w:hint="eastAsia" w:ascii="方正仿宋_GBK" w:hAnsi="方正仿宋_GBK" w:eastAsia="方正仿宋_GBK" w:cs="方正仿宋_GBK"/>
          <w:sz w:val="32"/>
          <w:szCs w:val="32"/>
        </w:rPr>
        <w:t>桩。</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表4.13  充电桩需求预测</w:t>
      </w:r>
    </w:p>
    <w:tbl>
      <w:tblPr>
        <w:tblStyle w:val="26"/>
        <w:tblW w:w="8523" w:type="dxa"/>
        <w:tblInd w:w="0" w:type="dxa"/>
        <w:tblLayout w:type="fixed"/>
        <w:tblCellMar>
          <w:top w:w="0" w:type="dxa"/>
          <w:left w:w="108" w:type="dxa"/>
          <w:bottom w:w="0" w:type="dxa"/>
          <w:right w:w="108" w:type="dxa"/>
        </w:tblCellMar>
      </w:tblPr>
      <w:tblGrid>
        <w:gridCol w:w="2197"/>
        <w:gridCol w:w="1767"/>
        <w:gridCol w:w="1560"/>
        <w:gridCol w:w="1559"/>
        <w:gridCol w:w="1440"/>
      </w:tblGrid>
      <w:tr>
        <w:tblPrEx>
          <w:tblCellMar>
            <w:top w:w="0" w:type="dxa"/>
            <w:left w:w="108" w:type="dxa"/>
            <w:bottom w:w="0" w:type="dxa"/>
            <w:right w:w="108" w:type="dxa"/>
          </w:tblCellMar>
        </w:tblPrEx>
        <w:trPr>
          <w:trHeight w:val="300" w:hRule="atLeast"/>
        </w:trPr>
        <w:tc>
          <w:tcPr>
            <w:tcW w:w="219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bookmarkStart w:id="132" w:name="_Toc4742"/>
            <w:bookmarkStart w:id="133" w:name="_Toc21404"/>
            <w:r>
              <w:rPr>
                <w:rFonts w:hint="eastAsia" w:ascii="方正仿宋_GBK" w:hAnsi="方正仿宋_GBK" w:eastAsia="方正仿宋_GBK" w:cs="方正仿宋_GBK"/>
                <w:b/>
                <w:bCs/>
                <w:kern w:val="0"/>
                <w:sz w:val="24"/>
                <w:szCs w:val="24"/>
              </w:rPr>
              <w:t>分类</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现状（桩）</w:t>
            </w:r>
          </w:p>
        </w:tc>
        <w:tc>
          <w:tcPr>
            <w:tcW w:w="45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预测新增（桩）</w:t>
            </w:r>
          </w:p>
        </w:tc>
      </w:tr>
      <w:tr>
        <w:tblPrEx>
          <w:tblCellMar>
            <w:top w:w="0" w:type="dxa"/>
            <w:left w:w="108" w:type="dxa"/>
            <w:bottom w:w="0" w:type="dxa"/>
            <w:right w:w="108" w:type="dxa"/>
          </w:tblCellMar>
        </w:tblPrEx>
        <w:trPr>
          <w:trHeight w:val="300" w:hRule="atLeast"/>
        </w:trPr>
        <w:tc>
          <w:tcPr>
            <w:tcW w:w="219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 xml:space="preserve">2025年 </w:t>
            </w:r>
          </w:p>
        </w:tc>
      </w:tr>
      <w:tr>
        <w:tblPrEx>
          <w:tblCellMar>
            <w:top w:w="0" w:type="dxa"/>
            <w:left w:w="108" w:type="dxa"/>
            <w:bottom w:w="0" w:type="dxa"/>
            <w:right w:w="108" w:type="dxa"/>
          </w:tblCellMar>
        </w:tblPrEx>
        <w:trPr>
          <w:trHeight w:val="400" w:hRule="atLeast"/>
        </w:trPr>
        <w:tc>
          <w:tcPr>
            <w:tcW w:w="2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私人乘用车</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3006</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w:t>
            </w:r>
            <w:r>
              <w:rPr>
                <w:rFonts w:ascii="方正仿宋_GBK" w:hAnsi="方正仿宋_GBK" w:eastAsia="方正仿宋_GBK" w:cs="方正仿宋_GBK"/>
                <w:kern w:val="0"/>
                <w:sz w:val="24"/>
                <w:szCs w:val="24"/>
              </w:rPr>
              <w:t>200</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3650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4150</w:t>
            </w:r>
          </w:p>
        </w:tc>
      </w:tr>
      <w:tr>
        <w:tblPrEx>
          <w:tblCellMar>
            <w:top w:w="0" w:type="dxa"/>
            <w:left w:w="108" w:type="dxa"/>
            <w:bottom w:w="0" w:type="dxa"/>
            <w:right w:w="108" w:type="dxa"/>
          </w:tblCellMar>
        </w:tblPrEx>
        <w:trPr>
          <w:trHeight w:val="300" w:hRule="atLeast"/>
        </w:trPr>
        <w:tc>
          <w:tcPr>
            <w:tcW w:w="2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网约车</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180</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50</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50</w:t>
            </w:r>
          </w:p>
        </w:tc>
      </w:tr>
      <w:tr>
        <w:tblPrEx>
          <w:tblCellMar>
            <w:top w:w="0" w:type="dxa"/>
            <w:left w:w="108" w:type="dxa"/>
            <w:bottom w:w="0" w:type="dxa"/>
            <w:right w:w="108" w:type="dxa"/>
          </w:tblCellMar>
        </w:tblPrEx>
        <w:trPr>
          <w:trHeight w:val="300" w:hRule="atLeast"/>
        </w:trPr>
        <w:tc>
          <w:tcPr>
            <w:tcW w:w="2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两类电动车总计</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3186</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1450</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2700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3200</w:t>
            </w:r>
          </w:p>
        </w:tc>
      </w:tr>
      <w:tr>
        <w:tblPrEx>
          <w:tblCellMar>
            <w:top w:w="0" w:type="dxa"/>
            <w:left w:w="108" w:type="dxa"/>
            <w:bottom w:w="0" w:type="dxa"/>
            <w:right w:w="108" w:type="dxa"/>
          </w:tblCellMar>
        </w:tblPrEx>
        <w:trPr>
          <w:trHeight w:val="300" w:hRule="atLeast"/>
        </w:trPr>
        <w:tc>
          <w:tcPr>
            <w:tcW w:w="2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自用充电桩配置率</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62.8</w:t>
            </w:r>
            <w:r>
              <w:rPr>
                <w:rFonts w:hint="eastAsia" w:ascii="方正仿宋_GBK" w:hAnsi="方正仿宋_GBK" w:eastAsia="方正仿宋_GBK" w:cs="方正仿宋_GBK"/>
                <w:kern w:val="0"/>
                <w:sz w:val="24"/>
                <w:szCs w:val="24"/>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80%</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90%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100%</w:t>
            </w:r>
          </w:p>
        </w:tc>
      </w:tr>
      <w:tr>
        <w:tblPrEx>
          <w:tblCellMar>
            <w:top w:w="0" w:type="dxa"/>
            <w:left w:w="108" w:type="dxa"/>
            <w:bottom w:w="0" w:type="dxa"/>
            <w:right w:w="108" w:type="dxa"/>
          </w:tblCellMar>
        </w:tblPrEx>
        <w:trPr>
          <w:trHeight w:val="300" w:hRule="atLeast"/>
        </w:trPr>
        <w:tc>
          <w:tcPr>
            <w:tcW w:w="2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自用充电桩</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2002</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2600 </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3330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4200 </w:t>
            </w:r>
          </w:p>
        </w:tc>
      </w:tr>
    </w:tbl>
    <w:p>
      <w:pPr>
        <w:spacing w:line="560" w:lineRule="exact"/>
        <w:ind w:firstLine="643" w:firstLineChars="200"/>
        <w:outlineLvl w:val="2"/>
        <w:rPr>
          <w:rFonts w:ascii="方正仿宋_GBK" w:hAnsi="方正仿宋_GBK" w:eastAsia="方正仿宋_GBK" w:cs="方正仿宋_GBK"/>
          <w:b/>
          <w:sz w:val="32"/>
          <w:szCs w:val="32"/>
        </w:rPr>
      </w:pPr>
      <w:r>
        <w:rPr>
          <w:rFonts w:ascii="方正仿宋_GBK" w:hAnsi="方正仿宋_GBK" w:eastAsia="方正仿宋_GBK" w:cs="方正仿宋_GBK"/>
          <w:b/>
          <w:sz w:val="32"/>
          <w:szCs w:val="32"/>
        </w:rPr>
        <w:t>7</w:t>
      </w:r>
      <w:r>
        <w:rPr>
          <w:rFonts w:hint="eastAsia" w:ascii="方正仿宋_GBK" w:hAnsi="方正仿宋_GBK" w:eastAsia="方正仿宋_GBK" w:cs="方正仿宋_GBK"/>
          <w:b/>
          <w:sz w:val="32"/>
          <w:szCs w:val="32"/>
        </w:rPr>
        <w:t>.充电设施汇总</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根据不同类型电动汽车保有量预测结果，以及充电设施配置原则，各类充电设施需求预测结果如表4.</w:t>
      </w:r>
      <w:r>
        <w:rPr>
          <w:rFonts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t>4所示：</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“十四五”期间，新增各类站共计</w:t>
      </w:r>
      <w:r>
        <w:rPr>
          <w:rFonts w:ascii="方正仿宋_GBK" w:hAnsi="方正仿宋_GBK" w:eastAsia="方正仿宋_GBK" w:cs="方正仿宋_GBK"/>
          <w:sz w:val="32"/>
          <w:szCs w:val="32"/>
        </w:rPr>
        <w:t>72</w:t>
      </w:r>
      <w:r>
        <w:rPr>
          <w:rFonts w:hint="eastAsia" w:ascii="方正仿宋_GBK" w:hAnsi="方正仿宋_GBK" w:eastAsia="方正仿宋_GBK" w:cs="方正仿宋_GBK"/>
          <w:sz w:val="32"/>
          <w:szCs w:val="32"/>
        </w:rPr>
        <w:t>座，自用充电桩1</w:t>
      </w:r>
      <w:r>
        <w:rPr>
          <w:rFonts w:ascii="方正仿宋_GBK" w:hAnsi="方正仿宋_GBK" w:eastAsia="方正仿宋_GBK" w:cs="方正仿宋_GBK"/>
          <w:sz w:val="32"/>
          <w:szCs w:val="32"/>
        </w:rPr>
        <w:t>0130</w:t>
      </w:r>
      <w:r>
        <w:rPr>
          <w:rFonts w:hint="eastAsia" w:ascii="方正仿宋_GBK" w:hAnsi="方正仿宋_GBK" w:eastAsia="方正仿宋_GBK" w:cs="方正仿宋_GBK"/>
          <w:sz w:val="32"/>
          <w:szCs w:val="32"/>
        </w:rPr>
        <w:t>桩。</w:t>
      </w:r>
    </w:p>
    <w:p>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br w:type="page"/>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w:t>
      </w:r>
      <w:r>
        <w:rPr>
          <w:rFonts w:ascii="方正仿宋_GBK" w:hAnsi="方正仿宋_GBK" w:eastAsia="方正仿宋_GBK" w:cs="方正仿宋_GBK"/>
          <w:b/>
          <w:sz w:val="28"/>
          <w:szCs w:val="28"/>
        </w:rPr>
        <w:t>4.1</w:t>
      </w:r>
      <w:r>
        <w:rPr>
          <w:rFonts w:hint="eastAsia" w:ascii="方正仿宋_GBK" w:hAnsi="方正仿宋_GBK" w:eastAsia="方正仿宋_GBK" w:cs="方正仿宋_GBK"/>
          <w:b/>
          <w:sz w:val="28"/>
          <w:szCs w:val="28"/>
        </w:rPr>
        <w:t>4</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 xml:space="preserve"> “十四五”德清县充电基础设施建设需求预测</w:t>
      </w:r>
    </w:p>
    <w:tbl>
      <w:tblPr>
        <w:tblStyle w:val="26"/>
        <w:tblW w:w="8500" w:type="dxa"/>
        <w:tblInd w:w="98" w:type="dxa"/>
        <w:tblLayout w:type="fixed"/>
        <w:tblCellMar>
          <w:top w:w="0" w:type="dxa"/>
          <w:left w:w="108" w:type="dxa"/>
          <w:bottom w:w="0" w:type="dxa"/>
          <w:right w:w="108" w:type="dxa"/>
        </w:tblCellMar>
      </w:tblPr>
      <w:tblGrid>
        <w:gridCol w:w="1114"/>
        <w:gridCol w:w="1335"/>
        <w:gridCol w:w="1701"/>
        <w:gridCol w:w="1701"/>
        <w:gridCol w:w="1606"/>
        <w:gridCol w:w="1043"/>
      </w:tblGrid>
      <w:tr>
        <w:tblPrEx>
          <w:tblCellMar>
            <w:top w:w="0" w:type="dxa"/>
            <w:left w:w="108" w:type="dxa"/>
            <w:bottom w:w="0" w:type="dxa"/>
            <w:right w:w="108" w:type="dxa"/>
          </w:tblCellMar>
        </w:tblPrEx>
        <w:trPr>
          <w:trHeight w:val="600" w:hRule="atLeast"/>
        </w:trPr>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充电站分类</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现状（座）</w:t>
            </w:r>
          </w:p>
        </w:tc>
        <w:tc>
          <w:tcPr>
            <w:tcW w:w="50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预测新增（座）</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“十四五”累计新增</w:t>
            </w:r>
          </w:p>
        </w:tc>
      </w:tr>
      <w:tr>
        <w:tblPrEx>
          <w:tblCellMar>
            <w:top w:w="0" w:type="dxa"/>
            <w:left w:w="108" w:type="dxa"/>
            <w:bottom w:w="0" w:type="dxa"/>
            <w:right w:w="108" w:type="dxa"/>
          </w:tblCellMar>
        </w:tblPrEx>
        <w:trPr>
          <w:trHeight w:val="300" w:hRule="atLeast"/>
        </w:trPr>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2022年</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2023年</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2024年</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2025年</w:t>
            </w: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方正仿宋_GBK" w:hAnsi="方正仿宋_GBK" w:eastAsia="方正仿宋_GBK" w:cs="方正仿宋_GBK"/>
                <w:kern w:val="0"/>
                <w:sz w:val="24"/>
                <w:szCs w:val="24"/>
              </w:rPr>
            </w:pPr>
          </w:p>
        </w:tc>
      </w:tr>
      <w:tr>
        <w:tblPrEx>
          <w:tblCellMar>
            <w:top w:w="0" w:type="dxa"/>
            <w:left w:w="108" w:type="dxa"/>
            <w:bottom w:w="0" w:type="dxa"/>
            <w:right w:w="108" w:type="dxa"/>
          </w:tblCellMar>
        </w:tblPrEx>
        <w:trPr>
          <w:trHeight w:val="561"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公交车充电站</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w:t>
            </w:r>
          </w:p>
        </w:tc>
      </w:tr>
      <w:tr>
        <w:tblPrEx>
          <w:tblCellMar>
            <w:top w:w="0" w:type="dxa"/>
            <w:left w:w="108" w:type="dxa"/>
            <w:bottom w:w="0" w:type="dxa"/>
            <w:right w:w="108" w:type="dxa"/>
          </w:tblCellMar>
        </w:tblPrEx>
        <w:trPr>
          <w:trHeight w:val="561"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出租车充电站</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1 </w:t>
            </w:r>
          </w:p>
        </w:tc>
      </w:tr>
      <w:tr>
        <w:tblPrEx>
          <w:tblCellMar>
            <w:top w:w="0" w:type="dxa"/>
            <w:left w:w="108" w:type="dxa"/>
            <w:bottom w:w="0" w:type="dxa"/>
            <w:right w:w="108" w:type="dxa"/>
          </w:tblCellMar>
        </w:tblPrEx>
        <w:trPr>
          <w:trHeight w:val="561"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专用车充电站</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r>
              <w:rPr>
                <w:rFonts w:hint="eastAsia" w:ascii="方正仿宋_GBK" w:hAnsi="方正仿宋_GBK" w:eastAsia="方正仿宋_GBK" w:cs="方正仿宋_GBK"/>
                <w:kern w:val="0"/>
                <w:sz w:val="24"/>
                <w:szCs w:val="24"/>
              </w:rPr>
              <w:t xml:space="preserve"> </w:t>
            </w:r>
          </w:p>
        </w:tc>
      </w:tr>
      <w:tr>
        <w:tblPrEx>
          <w:tblCellMar>
            <w:top w:w="0" w:type="dxa"/>
            <w:left w:w="108" w:type="dxa"/>
            <w:bottom w:w="0" w:type="dxa"/>
            <w:right w:w="108" w:type="dxa"/>
          </w:tblCellMar>
        </w:tblPrEx>
        <w:trPr>
          <w:trHeight w:val="561"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r>
              <w:rPr>
                <w:rFonts w:ascii="方正仿宋_GBK" w:hAnsi="方正仿宋_GBK" w:eastAsia="方正仿宋_GBK" w:cs="方正仿宋_GBK"/>
                <w:kern w:val="0"/>
                <w:sz w:val="24"/>
                <w:szCs w:val="24"/>
              </w:rPr>
              <w:t>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17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21</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24</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62</w:t>
            </w:r>
          </w:p>
        </w:tc>
      </w:tr>
      <w:tr>
        <w:tblPrEx>
          <w:tblCellMar>
            <w:top w:w="0" w:type="dxa"/>
            <w:left w:w="108" w:type="dxa"/>
            <w:bottom w:w="0" w:type="dxa"/>
            <w:right w:w="108" w:type="dxa"/>
          </w:tblCellMar>
        </w:tblPrEx>
        <w:trPr>
          <w:trHeight w:val="561"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高速充电站</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val="en-US" w:eastAsia="zh-CN"/>
              </w:rPr>
              <w:t>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val="en-US" w:eastAsia="zh-CN"/>
              </w:rPr>
              <w:t>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val="en-US" w:eastAsia="zh-CN"/>
              </w:rPr>
              <w:t>4</w:t>
            </w:r>
          </w:p>
        </w:tc>
      </w:tr>
      <w:tr>
        <w:tblPrEx>
          <w:tblCellMar>
            <w:top w:w="0" w:type="dxa"/>
            <w:left w:w="108" w:type="dxa"/>
            <w:bottom w:w="0" w:type="dxa"/>
            <w:right w:w="108" w:type="dxa"/>
          </w:tblCellMar>
        </w:tblPrEx>
        <w:trPr>
          <w:trHeight w:val="561"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充电站总计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25</w:t>
            </w:r>
            <w:r>
              <w:rPr>
                <w:rFonts w:hint="eastAsia" w:ascii="方正仿宋_GBK" w:hAnsi="方正仿宋_GBK" w:eastAsia="方正仿宋_GBK" w:cs="方正仿宋_GBK"/>
                <w:kern w:val="0"/>
                <w:sz w:val="24"/>
                <w:szCs w:val="24"/>
              </w:rPr>
              <w:t xml:space="preserve"> </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方正仿宋_GBK" w:hAnsi="方正仿宋_GBK" w:eastAsia="方正仿宋_GBK" w:cs="方正仿宋_GBK"/>
                <w:kern w:val="0"/>
                <w:sz w:val="24"/>
                <w:szCs w:val="24"/>
                <w:lang w:eastAsia="zh-CN"/>
              </w:rPr>
            </w:pPr>
            <w:r>
              <w:rPr>
                <w:rFonts w:ascii="方正仿宋_GBK" w:hAnsi="方正仿宋_GBK" w:eastAsia="方正仿宋_GBK" w:cs="方正仿宋_GBK"/>
                <w:kern w:val="0"/>
                <w:sz w:val="24"/>
                <w:szCs w:val="24"/>
              </w:rPr>
              <w:t>2</w:t>
            </w:r>
            <w:r>
              <w:rPr>
                <w:rFonts w:hint="eastAsia" w:ascii="方正仿宋_GBK" w:hAnsi="方正仿宋_GBK" w:eastAsia="方正仿宋_GBK" w:cs="方正仿宋_GBK"/>
                <w:kern w:val="0"/>
                <w:sz w:val="24"/>
                <w:szCs w:val="24"/>
                <w:lang w:val="en-US" w:eastAsia="zh-CN"/>
              </w:rPr>
              <w:t>8</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方正仿宋_GBK" w:hAnsi="方正仿宋_GBK" w:eastAsia="方正仿宋_GBK" w:cs="方正仿宋_GBK"/>
                <w:kern w:val="0"/>
                <w:sz w:val="24"/>
                <w:szCs w:val="24"/>
                <w:lang w:eastAsia="zh-CN"/>
              </w:rPr>
            </w:pPr>
            <w:r>
              <w:rPr>
                <w:rFonts w:ascii="方正仿宋_GBK" w:hAnsi="方正仿宋_GBK" w:eastAsia="方正仿宋_GBK" w:cs="方正仿宋_GBK"/>
                <w:kern w:val="0"/>
                <w:sz w:val="24"/>
                <w:szCs w:val="24"/>
              </w:rPr>
              <w:t>7</w:t>
            </w:r>
            <w:r>
              <w:rPr>
                <w:rFonts w:hint="eastAsia" w:ascii="方正仿宋_GBK" w:hAnsi="方正仿宋_GBK" w:eastAsia="方正仿宋_GBK" w:cs="方正仿宋_GBK"/>
                <w:kern w:val="0"/>
                <w:sz w:val="24"/>
                <w:szCs w:val="24"/>
                <w:lang w:val="en-US" w:eastAsia="zh-CN"/>
              </w:rPr>
              <w:t>2</w:t>
            </w:r>
          </w:p>
        </w:tc>
      </w:tr>
      <w:tr>
        <w:tblPrEx>
          <w:tblCellMar>
            <w:top w:w="0" w:type="dxa"/>
            <w:left w:w="108" w:type="dxa"/>
            <w:bottom w:w="0" w:type="dxa"/>
            <w:right w:w="108" w:type="dxa"/>
          </w:tblCellMar>
        </w:tblPrEx>
        <w:trPr>
          <w:trHeight w:val="561"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自用充电桩</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2002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2600 </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3330 </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4200 </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10130 </w:t>
            </w:r>
          </w:p>
        </w:tc>
      </w:tr>
    </w:tbl>
    <w:p>
      <w:pPr>
        <w:snapToGrid w:val="0"/>
        <w:jc w:val="left"/>
        <w:rPr>
          <w:rFonts w:ascii="Times New Roman" w:hAnsi="Times New Roman" w:eastAsia="仿宋_GB2312" w:cs="Times New Roman"/>
          <w:sz w:val="32"/>
          <w:szCs w:val="32"/>
        </w:rPr>
      </w:pPr>
      <w:r>
        <w:rPr>
          <w:rFonts w:hint="eastAsia" w:ascii="Times New Roman" w:hAnsi="Times New Roman" w:eastAsia="仿宋_GB2312" w:cs="Times New Roman"/>
          <w:sz w:val="24"/>
          <w:szCs w:val="32"/>
        </w:rPr>
        <w:t>注：换电站数量未包含在内，规划为预留位置。</w:t>
      </w:r>
    </w:p>
    <w:bookmarkEnd w:id="132"/>
    <w:bookmarkEnd w:id="133"/>
    <w:p>
      <w:pPr>
        <w:rPr>
          <w:rFonts w:ascii="方正黑体_GBK" w:hAnsi="方正黑体_GBK" w:eastAsia="方正黑体_GBK" w:cs="方正黑体_GBK"/>
          <w:b/>
          <w:bCs/>
          <w:sz w:val="32"/>
          <w:szCs w:val="32"/>
        </w:rPr>
      </w:pPr>
      <w:bookmarkStart w:id="134" w:name="_Toc2576"/>
      <w:bookmarkStart w:id="135" w:name="_Toc28917"/>
      <w:bookmarkStart w:id="136" w:name="_Toc23262"/>
      <w:r>
        <w:rPr>
          <w:rFonts w:hint="eastAsia" w:ascii="方正黑体_GBK" w:hAnsi="方正黑体_GBK" w:eastAsia="方正黑体_GBK" w:cs="方正黑体_GBK"/>
          <w:b/>
          <w:bCs/>
          <w:sz w:val="32"/>
          <w:szCs w:val="32"/>
        </w:rPr>
        <w:br w:type="page"/>
      </w:r>
    </w:p>
    <w:p>
      <w:pPr>
        <w:spacing w:line="560" w:lineRule="exact"/>
        <w:ind w:firstLine="640" w:firstLineChars="200"/>
        <w:outlineLvl w:val="0"/>
        <w:rPr>
          <w:rFonts w:ascii="方正黑体_GBK" w:hAnsi="方正黑体_GBK" w:eastAsia="方正黑体_GBK" w:cs="方正黑体_GBK"/>
          <w:b/>
          <w:bCs/>
          <w:sz w:val="32"/>
          <w:szCs w:val="32"/>
        </w:rPr>
      </w:pPr>
      <w:bookmarkStart w:id="137" w:name="_Toc23001"/>
      <w:bookmarkStart w:id="138" w:name="_Toc17844"/>
      <w:bookmarkStart w:id="139" w:name="_Toc16882"/>
      <w:r>
        <w:rPr>
          <w:rFonts w:hint="eastAsia" w:ascii="方正黑体_GBK" w:hAnsi="方正黑体_GBK" w:eastAsia="方正黑体_GBK" w:cs="方正黑体_GBK"/>
          <w:b/>
          <w:bCs/>
          <w:sz w:val="32"/>
          <w:szCs w:val="32"/>
        </w:rPr>
        <w:t>五、电动汽车充电基础设施发展目标</w:t>
      </w:r>
      <w:bookmarkEnd w:id="134"/>
      <w:bookmarkEnd w:id="135"/>
      <w:bookmarkEnd w:id="136"/>
      <w:bookmarkEnd w:id="137"/>
      <w:bookmarkEnd w:id="138"/>
      <w:bookmarkEnd w:id="139"/>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40" w:name="_Toc3895"/>
      <w:bookmarkStart w:id="141" w:name="_Toc2099"/>
      <w:bookmarkStart w:id="142" w:name="_Toc16386"/>
      <w:bookmarkStart w:id="143" w:name="_Toc5707"/>
      <w:bookmarkStart w:id="144" w:name="_Toc27272"/>
      <w:bookmarkStart w:id="145" w:name="_Toc14513"/>
      <w:r>
        <w:rPr>
          <w:rFonts w:hint="eastAsia" w:ascii="方正楷体_GBK" w:hAnsi="方正楷体_GBK" w:eastAsia="方正楷体_GBK" w:cs="方正楷体_GBK"/>
          <w:b/>
          <w:bCs/>
          <w:sz w:val="32"/>
          <w:szCs w:val="32"/>
        </w:rPr>
        <w:t>（一）总体目标</w:t>
      </w:r>
      <w:bookmarkEnd w:id="140"/>
      <w:bookmarkEnd w:id="141"/>
      <w:bookmarkEnd w:id="142"/>
      <w:bookmarkEnd w:id="143"/>
      <w:bookmarkEnd w:id="144"/>
      <w:bookmarkEnd w:id="145"/>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构建“主导快充、兼顾慢充、引导换电，经济实用”充电服务模式，建设具备网络化、智能化、标准化特征，符合电动汽车产业发展需要，充电基础设施布局合理的智能充电服务网络，在电动汽车产业发展中发挥基础性和引领性作用。</w:t>
      </w:r>
    </w:p>
    <w:p>
      <w:pPr>
        <w:adjustRightInd w:val="0"/>
        <w:snapToGrid w:val="0"/>
        <w:spacing w:line="560" w:lineRule="exact"/>
        <w:ind w:firstLine="640" w:firstLineChars="200"/>
        <w:rPr>
          <w:rFonts w:ascii="方正仿宋_GBK" w:hAnsi="方正仿宋_GBK" w:eastAsia="方正仿宋_GBK" w:cs="方正仿宋_GBK"/>
          <w:sz w:val="32"/>
          <w:szCs w:val="32"/>
        </w:rPr>
      </w:pPr>
      <w:bookmarkStart w:id="146" w:name="_Toc27591"/>
      <w:bookmarkStart w:id="147" w:name="_Toc25178"/>
      <w:bookmarkStart w:id="148" w:name="_Toc22945"/>
      <w:bookmarkStart w:id="149" w:name="_Toc2367"/>
      <w:bookmarkStart w:id="150" w:name="_Toc26"/>
      <w:r>
        <w:rPr>
          <w:rFonts w:hint="eastAsia" w:ascii="方正仿宋_GBK" w:hAnsi="方正仿宋_GBK" w:eastAsia="方正仿宋_GBK" w:cs="方正仿宋_GBK"/>
          <w:sz w:val="32"/>
          <w:szCs w:val="32"/>
        </w:rPr>
        <w:t>至2025年底，德清县高质量新能源汽车充电基础设施网络体系基本建成，助推实现繁华美丽新江南，湖光山色生态城。城市地区大力推进充电基础设施与停车设施一体规划，实现城市各类停车场景全面覆盖，重点突出“两区”（居住区、办公区）和“三中心”（商业中心、工业中心、休闲中心）;农村地区构建公共充电站“全县覆盖”、公共充电桩“全乡覆盖”，形成布局合理、智能 便捷、快慢互济的城乡半小时充电圈。</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专用网方面，公交车充电站新增6座，全部布置在公交公司场站内；出租车充电站新增1座，布置在出租车运营服务公司场地内，由其自行建设；专用车充电站新增</w:t>
      </w:r>
      <w:r>
        <w:rPr>
          <w:rFonts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t>座，由相关物流、邮政、电力企业自行建设。</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自用网方面，自用充电桩按照充电设施和停车位的合理比例配建，考虑住宅小区接入容量和电能质量限制，自用充电桩以发展小功率慢充桩为主，预计新增</w:t>
      </w:r>
      <w:r>
        <w:rPr>
          <w:rFonts w:ascii="方正仿宋_GBK" w:hAnsi="方正仿宋_GBK" w:eastAsia="方正仿宋_GBK" w:cs="方正仿宋_GBK"/>
          <w:sz w:val="32"/>
          <w:szCs w:val="32"/>
        </w:rPr>
        <w:t>10130</w:t>
      </w:r>
      <w:r>
        <w:rPr>
          <w:rFonts w:hint="eastAsia" w:ascii="方正仿宋_GBK" w:hAnsi="方正仿宋_GBK" w:eastAsia="方正仿宋_GBK" w:cs="方正仿宋_GBK"/>
          <w:sz w:val="32"/>
          <w:szCs w:val="32"/>
        </w:rPr>
        <w:t>桩，由私人在个人停车位配建。</w:t>
      </w:r>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公用网方面，公共充电设施以集中式快充站为主，加油站配建部分慢充桩。但考虑电网接入容量的限制，集中式充电站的规划的快充桩和慢充桩的比例暂按1:2配置。公共充电规划新建</w:t>
      </w:r>
      <w:r>
        <w:rPr>
          <w:rFonts w:ascii="方正仿宋_GBK" w:hAnsi="方正仿宋_GBK" w:eastAsia="方正仿宋_GBK" w:cs="方正仿宋_GBK"/>
          <w:sz w:val="32"/>
          <w:szCs w:val="32"/>
        </w:rPr>
        <w:t>62</w:t>
      </w:r>
      <w:r>
        <w:rPr>
          <w:rFonts w:hint="eastAsia" w:ascii="方正仿宋_GBK" w:hAnsi="方正仿宋_GBK" w:eastAsia="方正仿宋_GBK" w:cs="方正仿宋_GBK"/>
          <w:sz w:val="32"/>
          <w:szCs w:val="32"/>
        </w:rPr>
        <w:t>座。</w:t>
      </w:r>
    </w:p>
    <w:p>
      <w:pPr>
        <w:adjustRightInd w:val="0"/>
        <w:snapToGrid w:val="0"/>
        <w:spacing w:line="360" w:lineRule="auto"/>
        <w:jc w:val="center"/>
        <w:rPr>
          <w:rFonts w:ascii="方正仿宋_GBK" w:hAnsi="方正仿宋_GBK" w:eastAsia="方正仿宋_GBK" w:cs="方正仿宋_GBK"/>
          <w:b/>
          <w:sz w:val="28"/>
          <w:szCs w:val="28"/>
        </w:rPr>
        <w:sectPr>
          <w:pgSz w:w="11909" w:h="16834"/>
          <w:pgMar w:top="1440" w:right="1800" w:bottom="1440" w:left="1800" w:header="850" w:footer="994" w:gutter="0"/>
          <w:cols w:space="425" w:num="1"/>
          <w:docGrid w:linePitch="408" w:charSpace="0"/>
        </w:sectPr>
      </w:pP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w:t>
      </w:r>
      <w:r>
        <w:rPr>
          <w:rFonts w:ascii="方正仿宋_GBK" w:hAnsi="方正仿宋_GBK" w:eastAsia="方正仿宋_GBK" w:cs="方正仿宋_GBK"/>
          <w:b/>
          <w:sz w:val="28"/>
          <w:szCs w:val="28"/>
        </w:rPr>
        <w:t>5.</w:t>
      </w:r>
      <w:r>
        <w:rPr>
          <w:rFonts w:hint="eastAsia" w:ascii="方正仿宋_GBK" w:hAnsi="方正仿宋_GBK" w:eastAsia="方正仿宋_GBK" w:cs="方正仿宋_GBK"/>
          <w:b/>
          <w:sz w:val="28"/>
          <w:szCs w:val="28"/>
        </w:rPr>
        <w:t>1</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充电服务网络发展总体目标</w:t>
      </w:r>
    </w:p>
    <w:p>
      <w:pPr>
        <w:adjustRightInd w:val="0"/>
        <w:snapToGrid w:val="0"/>
        <w:spacing w:line="360" w:lineRule="auto"/>
        <w:jc w:val="righ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单位：座、桩</w:t>
      </w:r>
    </w:p>
    <w:tbl>
      <w:tblPr>
        <w:tblStyle w:val="26"/>
        <w:tblW w:w="8522" w:type="dxa"/>
        <w:tblInd w:w="0" w:type="dxa"/>
        <w:tblLayout w:type="fixed"/>
        <w:tblCellMar>
          <w:top w:w="0" w:type="dxa"/>
          <w:left w:w="108" w:type="dxa"/>
          <w:bottom w:w="0" w:type="dxa"/>
          <w:right w:w="108" w:type="dxa"/>
        </w:tblCellMar>
      </w:tblPr>
      <w:tblGrid>
        <w:gridCol w:w="500"/>
        <w:gridCol w:w="818"/>
        <w:gridCol w:w="1299"/>
        <w:gridCol w:w="1206"/>
        <w:gridCol w:w="1275"/>
        <w:gridCol w:w="1276"/>
        <w:gridCol w:w="1134"/>
        <w:gridCol w:w="1014"/>
      </w:tblGrid>
      <w:tr>
        <w:tblPrEx>
          <w:tblCellMar>
            <w:top w:w="0" w:type="dxa"/>
            <w:left w:w="108" w:type="dxa"/>
            <w:bottom w:w="0" w:type="dxa"/>
            <w:right w:w="108" w:type="dxa"/>
          </w:tblCellMar>
        </w:tblPrEx>
        <w:trPr>
          <w:trHeight w:val="330" w:hRule="atLeast"/>
        </w:trPr>
        <w:tc>
          <w:tcPr>
            <w:tcW w:w="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序号</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网络</w:t>
            </w:r>
          </w:p>
        </w:tc>
        <w:tc>
          <w:tcPr>
            <w:tcW w:w="12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充电设施分类</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现状</w:t>
            </w:r>
          </w:p>
        </w:tc>
        <w:tc>
          <w:tcPr>
            <w:tcW w:w="36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新增</w:t>
            </w:r>
          </w:p>
        </w:tc>
        <w:tc>
          <w:tcPr>
            <w:tcW w:w="10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累计新增</w:t>
            </w:r>
          </w:p>
        </w:tc>
      </w:tr>
      <w:tr>
        <w:tblPrEx>
          <w:tblCellMar>
            <w:top w:w="0" w:type="dxa"/>
            <w:left w:w="108" w:type="dxa"/>
            <w:bottom w:w="0" w:type="dxa"/>
            <w:right w:w="108" w:type="dxa"/>
          </w:tblCellMar>
        </w:tblPrEx>
        <w:trPr>
          <w:trHeight w:val="600" w:hRule="atLeast"/>
        </w:trPr>
        <w:tc>
          <w:tcPr>
            <w:tcW w:w="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b/>
                <w:bCs/>
                <w:sz w:val="24"/>
                <w:szCs w:val="24"/>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b/>
                <w:bCs/>
                <w:sz w:val="24"/>
                <w:szCs w:val="24"/>
              </w:rPr>
            </w:pPr>
          </w:p>
        </w:tc>
        <w:tc>
          <w:tcPr>
            <w:tcW w:w="12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b/>
                <w:bCs/>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2022年</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2023年</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2024年</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2025年</w:t>
            </w:r>
          </w:p>
        </w:tc>
        <w:tc>
          <w:tcPr>
            <w:tcW w:w="10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b/>
                <w:bCs/>
                <w:sz w:val="24"/>
                <w:szCs w:val="24"/>
              </w:rPr>
            </w:pPr>
          </w:p>
        </w:tc>
      </w:tr>
      <w:tr>
        <w:tblPrEx>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1</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专用网</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公交车充电站</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w:t>
            </w:r>
          </w:p>
        </w:tc>
      </w:tr>
      <w:tr>
        <w:tblPrEx>
          <w:tblCellMar>
            <w:top w:w="0" w:type="dxa"/>
            <w:left w:w="108" w:type="dxa"/>
            <w:bottom w:w="0" w:type="dxa"/>
            <w:right w:w="108" w:type="dxa"/>
          </w:tblCellMar>
        </w:tblPrEx>
        <w:trPr>
          <w:trHeight w:val="944"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2</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sz w:val="24"/>
                <w:szCs w:val="24"/>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出租车充电站</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r>
      <w:tr>
        <w:tblPrEx>
          <w:tblCellMar>
            <w:top w:w="0" w:type="dxa"/>
            <w:left w:w="108" w:type="dxa"/>
            <w:bottom w:w="0" w:type="dxa"/>
            <w:right w:w="108" w:type="dxa"/>
          </w:tblCellMar>
        </w:tblPrEx>
        <w:trPr>
          <w:trHeight w:val="971" w:hRule="atLeast"/>
        </w:trPr>
        <w:tc>
          <w:tcPr>
            <w:tcW w:w="500"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3</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sz w:val="24"/>
                <w:szCs w:val="24"/>
              </w:rPr>
            </w:pPr>
          </w:p>
        </w:tc>
        <w:tc>
          <w:tcPr>
            <w:tcW w:w="129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专用车充电站</w:t>
            </w:r>
          </w:p>
        </w:tc>
        <w:tc>
          <w:tcPr>
            <w:tcW w:w="1206"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275"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276"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113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0</w:t>
            </w:r>
          </w:p>
        </w:tc>
        <w:tc>
          <w:tcPr>
            <w:tcW w:w="1014"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r>
      <w:tr>
        <w:tblPrEx>
          <w:tblCellMar>
            <w:top w:w="0" w:type="dxa"/>
            <w:left w:w="108" w:type="dxa"/>
            <w:bottom w:w="0" w:type="dxa"/>
            <w:right w:w="108" w:type="dxa"/>
          </w:tblCellMar>
        </w:tblPrEx>
        <w:trPr>
          <w:trHeight w:val="63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4</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自用网</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私人乘用车充电桩</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2002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2600 </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3330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4200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 xml:space="preserve">10130 </w:t>
            </w:r>
          </w:p>
        </w:tc>
      </w:tr>
      <w:tr>
        <w:tblPrEx>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5</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公用网</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公共充电站</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27 </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21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24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62</w:t>
            </w:r>
            <w:r>
              <w:rPr>
                <w:rFonts w:hint="eastAsia" w:ascii="方正仿宋_GBK" w:hAnsi="方正仿宋_GBK" w:eastAsia="方正仿宋_GBK" w:cs="方正仿宋_GBK"/>
                <w:kern w:val="0"/>
                <w:sz w:val="24"/>
                <w:szCs w:val="24"/>
              </w:rPr>
              <w:t xml:space="preserve"> </w:t>
            </w:r>
          </w:p>
        </w:tc>
      </w:tr>
      <w:tr>
        <w:tblPrEx>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6</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方正仿宋_GBK"/>
                <w:sz w:val="24"/>
                <w:szCs w:val="24"/>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rPr>
              <w:t>高速快充站</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0</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r>
    </w:tbl>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51" w:name="_Toc5042"/>
      <w:r>
        <w:rPr>
          <w:rFonts w:hint="eastAsia" w:ascii="方正楷体_GBK" w:hAnsi="方正楷体_GBK" w:eastAsia="方正楷体_GBK" w:cs="方正楷体_GBK"/>
          <w:b/>
          <w:bCs/>
          <w:sz w:val="32"/>
          <w:szCs w:val="32"/>
        </w:rPr>
        <w:t>（二）分区域目标</w:t>
      </w:r>
      <w:bookmarkEnd w:id="146"/>
      <w:bookmarkEnd w:id="147"/>
      <w:bookmarkEnd w:id="148"/>
      <w:bookmarkEnd w:id="149"/>
      <w:bookmarkEnd w:id="150"/>
      <w:bookmarkEnd w:id="151"/>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湖州德清县作为首批列入国家新能源汽车示范推广城市，属于加快发展地区。中心城区公共充电服务半径目标小于1.5公里，乡镇目标不超过3公里，以此作为充电设施数量规划布局的约束条件之一。2025年底，充电设施分区域发展目标如表5.2所示：</w:t>
      </w:r>
    </w:p>
    <w:p>
      <w:pPr>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br w:type="page"/>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表5.2  德清县公共充电站分区域目标</w:t>
      </w:r>
    </w:p>
    <w:p>
      <w:pPr>
        <w:adjustRightInd w:val="0"/>
        <w:snapToGrid w:val="0"/>
        <w:spacing w:line="360" w:lineRule="auto"/>
        <w:jc w:val="right"/>
        <w:rPr>
          <w:rFonts w:ascii="仿宋_GB2312" w:hAnsi="仿宋" w:eastAsia="方正仿宋_GBK"/>
          <w:b/>
          <w:sz w:val="28"/>
          <w:szCs w:val="28"/>
        </w:rPr>
      </w:pPr>
      <w:r>
        <w:rPr>
          <w:rFonts w:hint="eastAsia" w:ascii="方正仿宋_GBK" w:hAnsi="方正仿宋_GBK" w:eastAsia="方正仿宋_GBK" w:cs="方正仿宋_GBK"/>
          <w:b/>
          <w:sz w:val="28"/>
          <w:szCs w:val="28"/>
        </w:rPr>
        <w:t>单位：</w:t>
      </w:r>
      <w:r>
        <w:rPr>
          <w:rFonts w:ascii="方正仿宋_GBK" w:hAnsi="方正仿宋_GBK" w:eastAsia="方正仿宋_GBK" w:cs="方正仿宋_GBK"/>
          <w:b/>
          <w:bCs/>
          <w:kern w:val="0"/>
          <w:sz w:val="24"/>
          <w:szCs w:val="24"/>
        </w:rPr>
        <w:t>km</w:t>
      </w:r>
      <w:r>
        <w:rPr>
          <w:rFonts w:ascii="方正仿宋_GBK" w:hAnsi="方正仿宋_GBK" w:eastAsia="方正仿宋_GBK" w:cs="方正仿宋_GBK"/>
          <w:b/>
          <w:bCs/>
          <w:kern w:val="0"/>
          <w:sz w:val="24"/>
          <w:szCs w:val="24"/>
          <w:vertAlign w:val="superscript"/>
        </w:rPr>
        <w:t>2</w:t>
      </w:r>
      <w:r>
        <w:rPr>
          <w:rFonts w:hint="eastAsia" w:ascii="方正仿宋_GBK" w:hAnsi="方正仿宋_GBK" w:eastAsia="方正仿宋_GBK" w:cs="方正仿宋_GBK"/>
          <w:b/>
          <w:bCs/>
          <w:kern w:val="0"/>
          <w:sz w:val="24"/>
          <w:szCs w:val="24"/>
        </w:rPr>
        <w:t>、</w:t>
      </w:r>
      <w:r>
        <w:rPr>
          <w:rFonts w:ascii="方正仿宋_GBK" w:hAnsi="方正仿宋_GBK" w:eastAsia="方正仿宋_GBK" w:cs="方正仿宋_GBK"/>
          <w:b/>
          <w:bCs/>
          <w:kern w:val="0"/>
          <w:sz w:val="24"/>
          <w:szCs w:val="24"/>
        </w:rPr>
        <w:t>km</w:t>
      </w:r>
      <w:r>
        <w:rPr>
          <w:rFonts w:hint="eastAsia" w:ascii="方正仿宋_GBK" w:hAnsi="方正仿宋_GBK" w:eastAsia="方正仿宋_GBK" w:cs="方正仿宋_GBK"/>
          <w:b/>
          <w:sz w:val="28"/>
          <w:szCs w:val="28"/>
        </w:rPr>
        <w:t>、座</w:t>
      </w:r>
    </w:p>
    <w:tbl>
      <w:tblPr>
        <w:tblStyle w:val="26"/>
        <w:tblW w:w="8522" w:type="dxa"/>
        <w:tblInd w:w="0" w:type="dxa"/>
        <w:tblLayout w:type="fixed"/>
        <w:tblCellMar>
          <w:top w:w="0" w:type="dxa"/>
          <w:left w:w="108" w:type="dxa"/>
          <w:bottom w:w="0" w:type="dxa"/>
          <w:right w:w="108" w:type="dxa"/>
        </w:tblCellMar>
      </w:tblPr>
      <w:tblGrid>
        <w:gridCol w:w="1789"/>
        <w:gridCol w:w="1607"/>
        <w:gridCol w:w="1628"/>
        <w:gridCol w:w="1628"/>
        <w:gridCol w:w="1870"/>
      </w:tblGrid>
      <w:tr>
        <w:tblPrEx>
          <w:tblCellMar>
            <w:top w:w="0" w:type="dxa"/>
            <w:left w:w="108" w:type="dxa"/>
            <w:bottom w:w="0" w:type="dxa"/>
            <w:right w:w="108" w:type="dxa"/>
          </w:tblCellMar>
        </w:tblPrEx>
        <w:trPr>
          <w:trHeight w:val="33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sz w:val="24"/>
                <w:szCs w:val="24"/>
              </w:rPr>
            </w:pPr>
            <w:bookmarkStart w:id="152" w:name="_Toc21811"/>
            <w:bookmarkStart w:id="153" w:name="_Toc21414"/>
            <w:bookmarkStart w:id="154" w:name="_Toc28006"/>
            <w:r>
              <w:rPr>
                <w:rFonts w:ascii="方正仿宋_GBK" w:hAnsi="方正仿宋_GBK" w:eastAsia="方正仿宋_GBK" w:cs="方正仿宋_GBK"/>
                <w:b/>
                <w:bCs/>
                <w:kern w:val="0"/>
                <w:sz w:val="24"/>
                <w:szCs w:val="24"/>
              </w:rPr>
              <w:t>名称</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分类</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区域面积</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服务半径</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b/>
                <w:bCs/>
                <w:sz w:val="24"/>
                <w:szCs w:val="24"/>
              </w:rPr>
            </w:pPr>
            <w:r>
              <w:rPr>
                <w:rFonts w:ascii="方正仿宋_GBK" w:hAnsi="方正仿宋_GBK" w:eastAsia="方正仿宋_GBK" w:cs="方正仿宋_GBK"/>
                <w:b/>
                <w:bCs/>
                <w:kern w:val="0"/>
                <w:sz w:val="24"/>
                <w:szCs w:val="24"/>
              </w:rPr>
              <w:t>最小规划目标</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武康街道</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中心城区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59</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8 </w:t>
            </w:r>
          </w:p>
        </w:tc>
      </w:tr>
      <w:tr>
        <w:tblPrEx>
          <w:tblCellMar>
            <w:top w:w="0" w:type="dxa"/>
            <w:left w:w="108" w:type="dxa"/>
            <w:bottom w:w="0" w:type="dxa"/>
            <w:right w:w="108" w:type="dxa"/>
          </w:tblCellMar>
        </w:tblPrEx>
        <w:trPr>
          <w:trHeight w:val="276"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舞阳街道</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中心城区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96</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14 </w:t>
            </w:r>
          </w:p>
        </w:tc>
      </w:tr>
      <w:tr>
        <w:tblPrEx>
          <w:tblCellMar>
            <w:top w:w="0" w:type="dxa"/>
            <w:left w:w="108" w:type="dxa"/>
            <w:bottom w:w="0" w:type="dxa"/>
            <w:right w:w="108" w:type="dxa"/>
          </w:tblCellMar>
        </w:tblPrEx>
        <w:trPr>
          <w:trHeight w:val="276"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阜溪街道</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中心城区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81.79</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12 </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下渚湖街道</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中心城区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63.35</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9 </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康乾街道</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中心城区</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 xml:space="preserve">4 </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乾元镇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54.38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新市镇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92</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钟管镇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78</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洛舍镇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47.2</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雷甸镇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54</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禹越镇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39</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新安镇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57</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r>
      <w:tr>
        <w:tblPrEx>
          <w:tblCellMar>
            <w:top w:w="0" w:type="dxa"/>
            <w:left w:w="108" w:type="dxa"/>
            <w:bottom w:w="0" w:type="dxa"/>
            <w:right w:w="108" w:type="dxa"/>
          </w:tblCellMar>
        </w:tblPrEx>
        <w:trPr>
          <w:trHeight w:val="300" w:hRule="atLeast"/>
        </w:trPr>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莫干山镇</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乡镇</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188.2</w:t>
            </w:r>
          </w:p>
        </w:tc>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w:t>
            </w:r>
          </w:p>
        </w:tc>
      </w:tr>
    </w:tbl>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按照供电服务半径要求，德清县总计投运不少于6</w:t>
      </w:r>
      <w:r>
        <w:rPr>
          <w:rFonts w:ascii="方正仿宋_GBK" w:hAnsi="方正仿宋_GBK" w:eastAsia="方正仿宋_GBK" w:cs="方正仿宋_GBK"/>
          <w:sz w:val="32"/>
          <w:szCs w:val="32"/>
        </w:rPr>
        <w:t>0</w:t>
      </w:r>
      <w:r>
        <w:rPr>
          <w:rFonts w:hint="eastAsia" w:ascii="方正仿宋_GBK" w:hAnsi="方正仿宋_GBK" w:eastAsia="方正仿宋_GBK" w:cs="方正仿宋_GBK"/>
          <w:sz w:val="32"/>
          <w:szCs w:val="32"/>
        </w:rPr>
        <w:t>座，其中，中心城区累计投运不小于4</w:t>
      </w:r>
      <w:r>
        <w:rPr>
          <w:rFonts w:ascii="方正仿宋_GBK" w:hAnsi="方正仿宋_GBK" w:eastAsia="方正仿宋_GBK" w:cs="方正仿宋_GBK"/>
          <w:sz w:val="32"/>
          <w:szCs w:val="32"/>
        </w:rPr>
        <w:t>6</w:t>
      </w:r>
      <w:r>
        <w:rPr>
          <w:rFonts w:hint="eastAsia" w:ascii="方正仿宋_GBK" w:hAnsi="方正仿宋_GBK" w:eastAsia="方正仿宋_GBK" w:cs="方正仿宋_GBK"/>
          <w:sz w:val="32"/>
          <w:szCs w:val="32"/>
        </w:rPr>
        <w:t>座，乡镇不小于1</w:t>
      </w:r>
      <w:r>
        <w:rPr>
          <w:rFonts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t>座。根据总体目标，“十四五</w:t>
      </w:r>
      <w:r>
        <w:rPr>
          <w:rFonts w:ascii="方正仿宋_GBK" w:hAnsi="方正仿宋_GBK" w:eastAsia="方正仿宋_GBK" w:cs="方正仿宋_GBK"/>
          <w:sz w:val="32"/>
          <w:szCs w:val="32"/>
        </w:rPr>
        <w:t>”</w:t>
      </w:r>
      <w:r>
        <w:rPr>
          <w:rFonts w:hint="eastAsia" w:ascii="方正仿宋_GBK" w:hAnsi="方正仿宋_GBK" w:eastAsia="方正仿宋_GBK" w:cs="方正仿宋_GBK"/>
          <w:sz w:val="32"/>
          <w:szCs w:val="32"/>
        </w:rPr>
        <w:t>期间德清县规划公共充电站</w:t>
      </w:r>
      <w:r>
        <w:rPr>
          <w:rFonts w:ascii="方正仿宋_GBK" w:hAnsi="方正仿宋_GBK" w:eastAsia="方正仿宋_GBK" w:cs="方正仿宋_GBK"/>
          <w:sz w:val="32"/>
          <w:szCs w:val="32"/>
        </w:rPr>
        <w:t>62</w:t>
      </w:r>
      <w:r>
        <w:rPr>
          <w:rFonts w:hint="eastAsia" w:ascii="方正仿宋_GBK" w:hAnsi="方正仿宋_GBK" w:eastAsia="方正仿宋_GBK" w:cs="方正仿宋_GBK"/>
          <w:sz w:val="32"/>
          <w:szCs w:val="32"/>
        </w:rPr>
        <w:t>座（＞60座），满足供电服务半径要求。</w:t>
      </w:r>
    </w:p>
    <w:bookmarkEnd w:id="152"/>
    <w:bookmarkEnd w:id="153"/>
    <w:bookmarkEnd w:id="154"/>
    <w:p>
      <w:pPr>
        <w:rPr>
          <w:rFonts w:ascii="方正黑体_GBK" w:hAnsi="方正黑体_GBK" w:eastAsia="方正黑体_GBK" w:cs="方正黑体_GBK"/>
          <w:b/>
          <w:bCs/>
          <w:sz w:val="32"/>
          <w:szCs w:val="32"/>
        </w:rPr>
      </w:pPr>
      <w:bookmarkStart w:id="155" w:name="_Toc18062"/>
      <w:bookmarkStart w:id="156" w:name="_Toc26425"/>
      <w:bookmarkStart w:id="157" w:name="_Toc5992"/>
      <w:bookmarkStart w:id="158" w:name="_Toc32078"/>
      <w:bookmarkStart w:id="159" w:name="_Toc28406"/>
      <w:r>
        <w:rPr>
          <w:rFonts w:hint="eastAsia" w:ascii="方正黑体_GBK" w:hAnsi="方正黑体_GBK" w:eastAsia="方正黑体_GBK" w:cs="方正黑体_GBK"/>
          <w:b/>
          <w:bCs/>
          <w:sz w:val="32"/>
          <w:szCs w:val="32"/>
        </w:rPr>
        <w:br w:type="page"/>
      </w:r>
    </w:p>
    <w:p>
      <w:pPr>
        <w:spacing w:line="560" w:lineRule="exact"/>
        <w:ind w:firstLine="640" w:firstLineChars="200"/>
        <w:outlineLvl w:val="0"/>
        <w:rPr>
          <w:rFonts w:ascii="方正黑体_GBK" w:hAnsi="方正黑体_GBK" w:eastAsia="方正黑体_GBK" w:cs="方正黑体_GBK"/>
          <w:b/>
          <w:bCs/>
          <w:sz w:val="32"/>
          <w:szCs w:val="32"/>
        </w:rPr>
      </w:pPr>
      <w:bookmarkStart w:id="160" w:name="_Toc23238"/>
      <w:r>
        <w:rPr>
          <w:rFonts w:hint="eastAsia" w:ascii="方正黑体_GBK" w:hAnsi="方正黑体_GBK" w:eastAsia="方正黑体_GBK" w:cs="方正黑体_GBK"/>
          <w:b/>
          <w:bCs/>
          <w:sz w:val="32"/>
          <w:szCs w:val="32"/>
        </w:rPr>
        <w:t>六、</w:t>
      </w:r>
      <w:bookmarkEnd w:id="155"/>
      <w:bookmarkEnd w:id="156"/>
      <w:bookmarkEnd w:id="157"/>
      <w:r>
        <w:rPr>
          <w:rFonts w:hint="eastAsia" w:ascii="方正黑体_GBK" w:hAnsi="方正黑体_GBK" w:eastAsia="方正黑体_GBK" w:cs="方正黑体_GBK"/>
          <w:b/>
          <w:bCs/>
          <w:sz w:val="32"/>
          <w:szCs w:val="32"/>
        </w:rPr>
        <w:t>电动汽车充电基础设施布局</w:t>
      </w:r>
      <w:bookmarkEnd w:id="158"/>
      <w:bookmarkEnd w:id="159"/>
      <w:bookmarkEnd w:id="160"/>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61" w:name="_Toc15593"/>
      <w:bookmarkStart w:id="162" w:name="_Toc24914"/>
      <w:bookmarkStart w:id="163" w:name="_Toc22449"/>
      <w:bookmarkStart w:id="164" w:name="_Toc26230"/>
      <w:r>
        <w:rPr>
          <w:rFonts w:hint="eastAsia" w:ascii="方正楷体_GBK" w:hAnsi="方正楷体_GBK" w:eastAsia="方正楷体_GBK" w:cs="方正楷体_GBK"/>
          <w:b/>
          <w:bCs/>
          <w:sz w:val="32"/>
          <w:szCs w:val="32"/>
        </w:rPr>
        <w:t>（一）布局重点</w:t>
      </w:r>
      <w:bookmarkEnd w:id="161"/>
      <w:bookmarkEnd w:id="162"/>
      <w:bookmarkEnd w:id="163"/>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建站点解决电动汽车“里程焦虑”，重点在公共停车场、旅游风景区、高速公路服务区、国省道沿线停车场（休息站）、乡镇（街道）公共场所等场所建设公共充电桩；新建住宅小区严格执行100%预留充电设施建设安装条件，老旧小区因地制宜布局，配建老旧小区公共充电桩，解决充电桩建设难问题，为老旧住宅居民新能源汽车充电创造条件。</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1.加快公共充电桩建设。</w:t>
      </w:r>
      <w:r>
        <w:rPr>
          <w:rFonts w:hint="eastAsia" w:ascii="方正仿宋_GBK" w:hAnsi="方正仿宋_GBK" w:eastAsia="方正仿宋_GBK" w:cs="方正仿宋_GBK"/>
          <w:sz w:val="32"/>
          <w:szCs w:val="32"/>
        </w:rPr>
        <w:t>按照“桩站先行、适度超前”的理念，坚持“市场主导、政策保底”的原则，优化县主城区充电桩布局，加强乡镇覆盖，推进商场、停车场、商务楼宇、交通枢纽、旅游景区、高速公路、国省道、乡镇（街道）公共场所的公共充电桩建设，形成城乡布局均衡、便民利民的充电体系。</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2.落实新建小区充电桩要求。</w:t>
      </w:r>
      <w:r>
        <w:rPr>
          <w:rFonts w:hint="eastAsia" w:ascii="方正仿宋_GBK" w:hAnsi="方正仿宋_GBK" w:eastAsia="方正仿宋_GBK" w:cs="方正仿宋_GBK"/>
          <w:sz w:val="32"/>
          <w:szCs w:val="32"/>
        </w:rPr>
        <w:t>严格执行“新建住宅配建停车位应100%预留充电设施建设安装条件，建设充电基础设施比例不低于总停车位数量10%”布局建设要求。自然资源和规划部门在供地阶段将新建住宅小区和公共建筑（公共停车场）充电设施要求纳入规划设计条件，在规划方案审查阶段对预留充电设施配套进行审查，指导施工图、电力设计图落实。探索将充电基础设施配套验收纳入规划条件核实验收范围，落实“统一出让条件、统一设计规范、统一验收规范”。</w:t>
      </w:r>
    </w:p>
    <w:p>
      <w:pPr>
        <w:adjustRightInd w:val="0"/>
        <w:snapToGrid w:val="0"/>
        <w:spacing w:line="56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3.推进老小区充电桩建设。</w:t>
      </w:r>
      <w:r>
        <w:rPr>
          <w:rFonts w:hint="eastAsia" w:ascii="方正仿宋_GBK" w:hAnsi="方正仿宋_GBK" w:eastAsia="方正仿宋_GBK" w:cs="方正仿宋_GBK"/>
          <w:sz w:val="32"/>
          <w:szCs w:val="32"/>
        </w:rPr>
        <w:t>对具备安装条件的小区，根据电力容量、车位数量等条件，一区一策，推进公共和自用充电桩建设。对不具备安装条件的小区，结合老小区群众需求，因地制宜、整合资源、共享互联，推进公共充电桩建设，逐步解决充电桩进小区难问题。结合未来社区、老旧小区综合改造工作，布置落点。</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65" w:name="_Toc1286"/>
      <w:bookmarkStart w:id="166" w:name="_Toc5062"/>
      <w:bookmarkStart w:id="167" w:name="_Toc4335"/>
      <w:r>
        <w:rPr>
          <w:rFonts w:hint="eastAsia" w:ascii="方正楷体_GBK" w:hAnsi="方正楷体_GBK" w:eastAsia="方正楷体_GBK" w:cs="方正楷体_GBK"/>
          <w:b/>
          <w:bCs/>
          <w:sz w:val="32"/>
          <w:szCs w:val="32"/>
        </w:rPr>
        <w:t>（二）区域划分</w:t>
      </w:r>
      <w:bookmarkEnd w:id="165"/>
      <w:bookmarkEnd w:id="166"/>
      <w:bookmarkEnd w:id="167"/>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德清电动汽车充电设施采取区域差别化策略，根据电动汽车保有量和对外交通联系，将德清县划分为两类区域分别为中心城区（德清主城区）和乡镇。中心城区，全面覆盖，形成多点分散、密度较高的服务网络，公共充电服务半径小于2.5公里；乡镇鼓励支持，形成分级明确、适当预留的服务网络，公共充电服务半径小于不超过3.5公里。</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68" w:name="_Toc3807"/>
      <w:bookmarkStart w:id="169" w:name="_Toc504029386"/>
      <w:bookmarkStart w:id="170" w:name="_Toc24015"/>
      <w:bookmarkStart w:id="171" w:name="_Toc21894"/>
      <w:r>
        <w:rPr>
          <w:rFonts w:hint="eastAsia" w:ascii="方正楷体_GBK" w:hAnsi="方正楷体_GBK" w:eastAsia="方正楷体_GBK" w:cs="方正楷体_GBK"/>
          <w:b/>
          <w:bCs/>
          <w:sz w:val="32"/>
          <w:szCs w:val="32"/>
        </w:rPr>
        <w:t>（三）站点要求</w:t>
      </w:r>
      <w:bookmarkEnd w:id="168"/>
      <w:bookmarkEnd w:id="169"/>
      <w:bookmarkEnd w:id="170"/>
      <w:bookmarkEnd w:id="171"/>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应急充电站点主要为电动汽车提供临时的充电服务，一般公交充电场站的占地面积约为1200平方米，应急充电站点的占地面积一般在50-100平方米。服务点不影响附近交通，避免交叉口与主干道；站点选址时需考虑土地利用经济性，尽量利用用现有的停车场、加油站以及路边空间，同时还应具有供电、通信等条件。</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72" w:name="_Toc18236"/>
      <w:bookmarkStart w:id="173" w:name="_Toc27559"/>
      <w:bookmarkStart w:id="174" w:name="_Toc118"/>
      <w:r>
        <w:rPr>
          <w:rFonts w:hint="eastAsia" w:ascii="方正楷体_GBK" w:hAnsi="方正楷体_GBK" w:eastAsia="方正楷体_GBK" w:cs="方正楷体_GBK"/>
          <w:b/>
          <w:bCs/>
          <w:sz w:val="32"/>
          <w:szCs w:val="32"/>
        </w:rPr>
        <w:t>（四）服务公共设施规划布点</w:t>
      </w:r>
      <w:bookmarkEnd w:id="172"/>
      <w:bookmarkEnd w:id="173"/>
      <w:bookmarkEnd w:id="174"/>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公共设施人员密集，车流量较大，且公建自身配备了大容量的停车场所，所以结合重要公建布局充电站，利用率高、示范性强。规划结合各级政府、医院、学校等场所布置充电站，共计</w:t>
      </w:r>
      <w:r>
        <w:rPr>
          <w:rFonts w:ascii="方正仿宋_GBK" w:hAnsi="方正仿宋_GBK" w:eastAsia="方正仿宋_GBK" w:cs="方正仿宋_GBK"/>
          <w:sz w:val="32"/>
          <w:szCs w:val="32"/>
        </w:rPr>
        <w:t>35</w:t>
      </w:r>
      <w:r>
        <w:rPr>
          <w:rFonts w:hint="eastAsia" w:ascii="方正仿宋_GBK" w:hAnsi="方正仿宋_GBK" w:eastAsia="方正仿宋_GBK" w:cs="方正仿宋_GBK"/>
          <w:sz w:val="32"/>
          <w:szCs w:val="32"/>
        </w:rPr>
        <w:t>个站点，1</w:t>
      </w:r>
      <w:r>
        <w:rPr>
          <w:rFonts w:ascii="方正仿宋_GBK" w:hAnsi="方正仿宋_GBK" w:eastAsia="方正仿宋_GBK" w:cs="方正仿宋_GBK"/>
          <w:sz w:val="32"/>
          <w:szCs w:val="32"/>
        </w:rPr>
        <w:t>38</w:t>
      </w:r>
      <w:r>
        <w:rPr>
          <w:rFonts w:hint="eastAsia" w:ascii="方正仿宋_GBK" w:hAnsi="方正仿宋_GBK" w:eastAsia="方正仿宋_GBK" w:cs="方正仿宋_GBK"/>
          <w:sz w:val="32"/>
          <w:szCs w:val="32"/>
        </w:rPr>
        <w:t>个充电桩。</w:t>
      </w:r>
    </w:p>
    <w:p>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br w:type="page"/>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表6</w:t>
      </w:r>
      <w:r>
        <w:rPr>
          <w:rFonts w:ascii="方正仿宋_GBK" w:hAnsi="方正仿宋_GBK" w:eastAsia="方正仿宋_GBK" w:cs="方正仿宋_GBK"/>
          <w:b/>
          <w:sz w:val="28"/>
          <w:szCs w:val="28"/>
        </w:rPr>
        <w:t>.</w:t>
      </w:r>
      <w:r>
        <w:rPr>
          <w:rFonts w:hint="eastAsia" w:ascii="方正仿宋_GBK" w:hAnsi="方正仿宋_GBK" w:eastAsia="方正仿宋_GBK" w:cs="方正仿宋_GBK"/>
          <w:b/>
          <w:sz w:val="28"/>
          <w:szCs w:val="28"/>
        </w:rPr>
        <w:t>1</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服务公共设施规划布点</w:t>
      </w:r>
    </w:p>
    <w:tbl>
      <w:tblPr>
        <w:tblStyle w:val="26"/>
        <w:tblW w:w="4998" w:type="pct"/>
        <w:tblInd w:w="0" w:type="dxa"/>
        <w:tblLayout w:type="autofit"/>
        <w:tblCellMar>
          <w:top w:w="0" w:type="dxa"/>
          <w:left w:w="0" w:type="dxa"/>
          <w:bottom w:w="0" w:type="dxa"/>
          <w:right w:w="0" w:type="dxa"/>
        </w:tblCellMar>
      </w:tblPr>
      <w:tblGrid>
        <w:gridCol w:w="904"/>
        <w:gridCol w:w="5470"/>
        <w:gridCol w:w="1962"/>
      </w:tblGrid>
      <w:tr>
        <w:tblPrEx>
          <w:tblCellMar>
            <w:top w:w="0" w:type="dxa"/>
            <w:left w:w="0" w:type="dxa"/>
            <w:bottom w:w="0" w:type="dxa"/>
            <w:right w:w="0" w:type="dxa"/>
          </w:tblCellMar>
        </w:tblPrEx>
        <w:trPr>
          <w:trHeight w:val="300" w:hRule="atLeast"/>
        </w:trPr>
        <w:tc>
          <w:tcPr>
            <w:tcW w:w="542"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sz w:val="28"/>
                <w:szCs w:val="28"/>
              </w:rPr>
              <w:br w:type="page"/>
            </w:r>
            <w:r>
              <w:rPr>
                <w:rFonts w:ascii="方正仿宋_GBK" w:hAnsi="方正仿宋_GBK" w:eastAsia="方正仿宋_GBK" w:cs="方正仿宋_GBK"/>
                <w:b/>
                <w:color w:val="000000"/>
                <w:kern w:val="0"/>
                <w:sz w:val="24"/>
                <w:szCs w:val="24"/>
                <w:lang w:bidi="ar"/>
              </w:rPr>
              <w:t>编号</w:t>
            </w:r>
          </w:p>
        </w:tc>
        <w:tc>
          <w:tcPr>
            <w:tcW w:w="3281"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kern w:val="0"/>
                <w:sz w:val="24"/>
                <w:szCs w:val="24"/>
                <w:lang w:bidi="ar"/>
              </w:rPr>
              <w:t>充电站位置</w:t>
            </w:r>
          </w:p>
        </w:tc>
        <w:tc>
          <w:tcPr>
            <w:tcW w:w="1177"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所属区域</w:t>
            </w:r>
          </w:p>
        </w:tc>
      </w:tr>
      <w:tr>
        <w:tblPrEx>
          <w:tblCellMar>
            <w:top w:w="0" w:type="dxa"/>
            <w:left w:w="0" w:type="dxa"/>
            <w:bottom w:w="0" w:type="dxa"/>
            <w:right w:w="0" w:type="dxa"/>
          </w:tblCellMar>
        </w:tblPrEx>
        <w:trPr>
          <w:trHeight w:val="315"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德清县中医院（新建）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德清县职业中学专业学校</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浙江广播电视大学德清学院</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276"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w:t>
            </w:r>
          </w:p>
        </w:tc>
        <w:tc>
          <w:tcPr>
            <w:tcW w:w="3281"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双燕村104公路服务站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县人民医院</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下渚湖街道办事处</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浙江省儿保德清院区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358"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w:t>
            </w:r>
          </w:p>
        </w:tc>
        <w:tc>
          <w:tcPr>
            <w:tcW w:w="3281"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高铁站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7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w:t>
            </w:r>
          </w:p>
        </w:tc>
        <w:tc>
          <w:tcPr>
            <w:tcW w:w="3281"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高新区地信广场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10</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阜溪街道办事处</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浙工大附中（德清县高级中学）</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12</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德清县图书馆</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13</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德清县人民政府</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14</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kern w:val="0"/>
                <w:sz w:val="24"/>
                <w:szCs w:val="24"/>
                <w:lang w:bidi="ar"/>
              </w:rPr>
              <w:t>火车西站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15</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kern w:val="0"/>
                <w:sz w:val="24"/>
                <w:szCs w:val="24"/>
                <w:lang w:bidi="ar"/>
              </w:rPr>
              <w:t>武康派出所西停车场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16</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kern w:val="0"/>
                <w:sz w:val="24"/>
                <w:szCs w:val="24"/>
                <w:lang w:bidi="ar"/>
              </w:rPr>
              <w:t>体育中心</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17</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康乾街道办事处</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18</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城西体育馆</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19</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奥体中心地铁站停车场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20</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科技新城地铁站停车场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21</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春晖公园地铁站停车场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22</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杭州二绕高速莫干山服务区（东区）充电站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禹越镇</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23</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杭州二绕高速莫干山服务区（西区）充电站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禹越镇</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24</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新市三中</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25</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新市文体中心</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26</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09省道桥下停车场</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27</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莫干3</w:t>
            </w:r>
            <w:r>
              <w:rPr>
                <w:rFonts w:ascii="方正仿宋_GBK" w:hAnsi="方正仿宋_GBK" w:eastAsia="方正仿宋_GBK" w:cs="方正仿宋_GBK"/>
                <w:kern w:val="0"/>
                <w:sz w:val="24"/>
                <w:szCs w:val="24"/>
                <w:lang w:bidi="ar"/>
              </w:rPr>
              <w:t>04</w:t>
            </w:r>
            <w:r>
              <w:rPr>
                <w:rFonts w:hint="eastAsia" w:ascii="方正仿宋_GBK" w:hAnsi="方正仿宋_GBK" w:eastAsia="方正仿宋_GBK" w:cs="方正仿宋_GBK"/>
                <w:kern w:val="0"/>
                <w:sz w:val="24"/>
                <w:szCs w:val="24"/>
                <w:lang w:bidi="ar"/>
              </w:rPr>
              <w:t>公路服务站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2</w:t>
            </w:r>
            <w:r>
              <w:rPr>
                <w:rFonts w:ascii="方正仿宋_GBK" w:hAnsi="方正仿宋_GBK" w:eastAsia="方正仿宋_GBK" w:cs="方正仿宋_GBK"/>
                <w:color w:val="000000"/>
                <w:kern w:val="0"/>
                <w:sz w:val="24"/>
                <w:szCs w:val="24"/>
                <w:lang w:bidi="ar"/>
              </w:rPr>
              <w:t>8</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莫干山人民政府</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2</w:t>
            </w:r>
            <w:r>
              <w:rPr>
                <w:rFonts w:ascii="方正仿宋_GBK" w:hAnsi="方正仿宋_GBK" w:eastAsia="方正仿宋_GBK" w:cs="方正仿宋_GBK"/>
                <w:color w:val="000000"/>
                <w:kern w:val="0"/>
                <w:sz w:val="24"/>
                <w:szCs w:val="24"/>
                <w:lang w:bidi="ar"/>
              </w:rPr>
              <w:t>9</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双山路城市公共充电站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0</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仁和北站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1</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八字桥站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2</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下渚湖站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3</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莫干山高新区站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4</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千秋广场站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00" w:hRule="atLeast"/>
        </w:trPr>
        <w:tc>
          <w:tcPr>
            <w:tcW w:w="542"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w:t>
            </w:r>
            <w:r>
              <w:rPr>
                <w:rFonts w:ascii="方正仿宋_GBK" w:hAnsi="方正仿宋_GBK" w:eastAsia="方正仿宋_GBK" w:cs="方正仿宋_GBK"/>
                <w:color w:val="000000"/>
                <w:sz w:val="24"/>
                <w:szCs w:val="24"/>
              </w:rPr>
              <w:t>5</w:t>
            </w:r>
          </w:p>
        </w:tc>
        <w:tc>
          <w:tcPr>
            <w:tcW w:w="3281"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kern w:val="0"/>
                <w:sz w:val="24"/>
                <w:szCs w:val="24"/>
                <w:lang w:bidi="ar"/>
              </w:rPr>
              <w:t>下舍场站</w:t>
            </w:r>
          </w:p>
        </w:tc>
        <w:tc>
          <w:tcPr>
            <w:tcW w:w="117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新安镇</w:t>
            </w:r>
          </w:p>
        </w:tc>
      </w:tr>
    </w:tbl>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75" w:name="_Toc26475"/>
      <w:bookmarkStart w:id="176" w:name="_Toc2630"/>
      <w:bookmarkStart w:id="177" w:name="_Toc8278"/>
      <w:r>
        <w:rPr>
          <w:rFonts w:hint="eastAsia" w:ascii="方正楷体_GBK" w:hAnsi="方正楷体_GBK" w:eastAsia="方正楷体_GBK" w:cs="方正楷体_GBK"/>
          <w:b/>
          <w:bCs/>
          <w:sz w:val="32"/>
          <w:szCs w:val="32"/>
        </w:rPr>
        <w:t>（五）服务产业发展规划布点</w:t>
      </w:r>
      <w:bookmarkEnd w:id="175"/>
      <w:bookmarkEnd w:id="176"/>
      <w:bookmarkEnd w:id="177"/>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立足产业发展向开发区、园区集聚的现状，把握地理信息、金融后台、休闲旅游、现代物流、科技服务等现代服务业领域的重大平台开发建设的趋势，充电设施服务德清县经济开发区、莫干山高新区等产业发展规划。结合产业规划发展布置充电站，共计</w:t>
      </w:r>
      <w:r>
        <w:rPr>
          <w:rFonts w:ascii="方正仿宋_GBK" w:hAnsi="方正仿宋_GBK" w:eastAsia="方正仿宋_GBK" w:cs="方正仿宋_GBK"/>
          <w:sz w:val="32"/>
          <w:szCs w:val="32"/>
        </w:rPr>
        <w:t>27</w:t>
      </w:r>
      <w:r>
        <w:rPr>
          <w:rFonts w:hint="eastAsia" w:ascii="方正仿宋_GBK" w:hAnsi="方正仿宋_GBK" w:eastAsia="方正仿宋_GBK" w:cs="方正仿宋_GBK"/>
          <w:sz w:val="32"/>
          <w:szCs w:val="32"/>
        </w:rPr>
        <w:t>个站点，1</w:t>
      </w:r>
      <w:r>
        <w:rPr>
          <w:rFonts w:ascii="方正仿宋_GBK" w:hAnsi="方正仿宋_GBK" w:eastAsia="方正仿宋_GBK" w:cs="方正仿宋_GBK"/>
          <w:sz w:val="32"/>
          <w:szCs w:val="32"/>
        </w:rPr>
        <w:t>32</w:t>
      </w:r>
      <w:r>
        <w:rPr>
          <w:rFonts w:hint="eastAsia" w:ascii="方正仿宋_GBK" w:hAnsi="方正仿宋_GBK" w:eastAsia="方正仿宋_GBK" w:cs="方正仿宋_GBK"/>
          <w:sz w:val="32"/>
          <w:szCs w:val="32"/>
        </w:rPr>
        <w:t>个充电桩。</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表6</w:t>
      </w:r>
      <w:r>
        <w:rPr>
          <w:rFonts w:ascii="方正仿宋_GBK" w:hAnsi="方正仿宋_GBK" w:eastAsia="方正仿宋_GBK" w:cs="方正仿宋_GBK"/>
          <w:b/>
          <w:sz w:val="28"/>
          <w:szCs w:val="28"/>
        </w:rPr>
        <w:t>.</w:t>
      </w:r>
      <w:r>
        <w:rPr>
          <w:rFonts w:hint="eastAsia" w:ascii="方正仿宋_GBK" w:hAnsi="方正仿宋_GBK" w:eastAsia="方正仿宋_GBK" w:cs="方正仿宋_GBK"/>
          <w:b/>
          <w:sz w:val="28"/>
          <w:szCs w:val="28"/>
        </w:rPr>
        <w:t>2</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服务产业发展规划布点</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4"/>
        <w:gridCol w:w="5470"/>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sz w:val="28"/>
                <w:szCs w:val="28"/>
              </w:rPr>
              <w:br w:type="page"/>
            </w:r>
            <w:r>
              <w:rPr>
                <w:rFonts w:ascii="方正仿宋_GBK" w:hAnsi="方正仿宋_GBK" w:eastAsia="方正仿宋_GBK" w:cs="方正仿宋_GBK"/>
                <w:b/>
                <w:color w:val="000000"/>
                <w:kern w:val="0"/>
                <w:sz w:val="24"/>
                <w:szCs w:val="24"/>
                <w:lang w:bidi="ar"/>
              </w:rPr>
              <w:t>编号</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kern w:val="0"/>
                <w:sz w:val="24"/>
                <w:szCs w:val="24"/>
                <w:lang w:bidi="ar"/>
              </w:rPr>
              <w:t>充电站位置</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所属区域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正翔商业广场停车场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德清佳得利商贸城停车场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德清卢球商贸中心停车场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w:t>
            </w:r>
          </w:p>
        </w:tc>
        <w:tc>
          <w:tcPr>
            <w:tcW w:w="3281" w:type="pct"/>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德清国际会议中心停车场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德清县科技创业园三区停车场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德清汽车城</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欧诗漫珍珠生物产业园</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w:t>
            </w:r>
          </w:p>
        </w:tc>
        <w:tc>
          <w:tcPr>
            <w:tcW w:w="3281" w:type="pct"/>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芯片大楼地面停车场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w:t>
            </w:r>
          </w:p>
        </w:tc>
        <w:tc>
          <w:tcPr>
            <w:tcW w:w="3281" w:type="pct"/>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中创科技园地面停车场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10</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旗杆广场地面停车场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云创科技大楼地面停车场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12</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洛舍木皮市场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13</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城南杭州银泰</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14</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德清县开发区产业园停车场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15</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德清农贸城</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16</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原汽车总站地块商业综合体</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7</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德蓝广场东北侧停车场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18</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曼城南侧停车场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19</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德清大道以南明月星城以北(4S店区域）</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康乾街道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20</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智能生态城地面停车场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康乾街道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21</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水产社区停车场</w:t>
            </w:r>
          </w:p>
        </w:tc>
        <w:tc>
          <w:tcPr>
            <w:tcW w:w="1177" w:type="pct"/>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雷甸镇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22</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通航产业大楼地下停车场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23</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莫干山国际旅游度假区莫干山集镇</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24</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莫干山庾村广场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25</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新市镇华盛达广场停车场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26</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德清县经开区产业园停车场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42"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27</w:t>
            </w:r>
          </w:p>
        </w:tc>
        <w:tc>
          <w:tcPr>
            <w:tcW w:w="3281"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新安围巾市场</w:t>
            </w:r>
          </w:p>
        </w:tc>
        <w:tc>
          <w:tcPr>
            <w:tcW w:w="1177" w:type="pct"/>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r>
    </w:tbl>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78" w:name="_Toc4675"/>
      <w:bookmarkStart w:id="179" w:name="_Toc5930"/>
      <w:bookmarkStart w:id="180" w:name="_Toc344"/>
      <w:r>
        <w:rPr>
          <w:rFonts w:hint="eastAsia" w:ascii="方正楷体_GBK" w:hAnsi="方正楷体_GBK" w:eastAsia="方正楷体_GBK" w:cs="方正楷体_GBK"/>
          <w:b/>
          <w:bCs/>
          <w:sz w:val="32"/>
          <w:szCs w:val="32"/>
        </w:rPr>
        <w:t>（六）服务</w:t>
      </w:r>
      <w:bookmarkEnd w:id="164"/>
      <w:r>
        <w:rPr>
          <w:rFonts w:hint="eastAsia" w:ascii="方正楷体_GBK" w:hAnsi="方正楷体_GBK" w:eastAsia="方正楷体_GBK" w:cs="方正楷体_GBK"/>
          <w:b/>
          <w:bCs/>
          <w:sz w:val="32"/>
          <w:szCs w:val="32"/>
          <w:lang w:val="en-US" w:eastAsia="zh-CN"/>
        </w:rPr>
        <w:t>景点民宿</w:t>
      </w:r>
      <w:r>
        <w:rPr>
          <w:rFonts w:hint="eastAsia" w:ascii="方正楷体_GBK" w:hAnsi="方正楷体_GBK" w:eastAsia="方正楷体_GBK" w:cs="方正楷体_GBK"/>
          <w:b/>
          <w:bCs/>
          <w:sz w:val="32"/>
          <w:szCs w:val="32"/>
        </w:rPr>
        <w:t>规划布点</w:t>
      </w:r>
      <w:bookmarkEnd w:id="178"/>
      <w:bookmarkEnd w:id="179"/>
      <w:bookmarkEnd w:id="180"/>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德清县是全国县域旅游综合实力百强县，全县拥有国家级风景名胜区1家、国家级旅游度假区1家、国家4A级旅游景区5个、3A级旅游景区10个、旅游风情小镇1个、省5A级景区镇1个、省4A级景区镇3个、省3A级景区村庄30个。全县拥有省级工业旅游示范基地5家、省级运动休闲示范基地2家、省级果蔬采摘基地4家、省级休闲渔业示范基地2家。着力服务旅游产业绿色出行，满足4A级以上旅游景点、重点旅游线路、星级酒店等电动汽车充电设施全覆盖，助推德清成为中国一流、世界知名的休闲度假旅游目的地。规划结合旅游业发展布置充电站，共计</w:t>
      </w:r>
      <w:r>
        <w:rPr>
          <w:rFonts w:ascii="方正仿宋_GBK" w:hAnsi="方正仿宋_GBK" w:eastAsia="方正仿宋_GBK" w:cs="方正仿宋_GBK"/>
          <w:sz w:val="32"/>
          <w:szCs w:val="32"/>
        </w:rPr>
        <w:t>27</w:t>
      </w:r>
      <w:r>
        <w:rPr>
          <w:rFonts w:hint="eastAsia" w:ascii="方正仿宋_GBK" w:hAnsi="方正仿宋_GBK" w:eastAsia="方正仿宋_GBK" w:cs="方正仿宋_GBK"/>
          <w:sz w:val="32"/>
          <w:szCs w:val="32"/>
        </w:rPr>
        <w:t>个站点，1</w:t>
      </w:r>
      <w:r>
        <w:rPr>
          <w:rFonts w:ascii="方正仿宋_GBK" w:hAnsi="方正仿宋_GBK" w:eastAsia="方正仿宋_GBK" w:cs="方正仿宋_GBK"/>
          <w:sz w:val="32"/>
          <w:szCs w:val="32"/>
        </w:rPr>
        <w:t>08</w:t>
      </w:r>
      <w:r>
        <w:rPr>
          <w:rFonts w:hint="eastAsia" w:ascii="方正仿宋_GBK" w:hAnsi="方正仿宋_GBK" w:eastAsia="方正仿宋_GBK" w:cs="方正仿宋_GBK"/>
          <w:sz w:val="32"/>
          <w:szCs w:val="32"/>
        </w:rPr>
        <w:t>个充电桩。</w:t>
      </w:r>
    </w:p>
    <w:p>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br w:type="page"/>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表6</w:t>
      </w:r>
      <w:r>
        <w:rPr>
          <w:rFonts w:ascii="方正仿宋_GBK" w:hAnsi="方正仿宋_GBK" w:eastAsia="方正仿宋_GBK" w:cs="方正仿宋_GBK"/>
          <w:b/>
          <w:sz w:val="28"/>
          <w:szCs w:val="28"/>
        </w:rPr>
        <w:t>.</w:t>
      </w:r>
      <w:r>
        <w:rPr>
          <w:rFonts w:hint="eastAsia" w:ascii="方正仿宋_GBK" w:hAnsi="方正仿宋_GBK" w:eastAsia="方正仿宋_GBK" w:cs="方正仿宋_GBK"/>
          <w:b/>
          <w:sz w:val="28"/>
          <w:szCs w:val="28"/>
        </w:rPr>
        <w:t>3</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服务旅游景点规划布点</w:t>
      </w:r>
    </w:p>
    <w:tbl>
      <w:tblPr>
        <w:tblStyle w:val="26"/>
        <w:tblW w:w="8336" w:type="dxa"/>
        <w:tblInd w:w="0" w:type="dxa"/>
        <w:tblLayout w:type="fixed"/>
        <w:tblCellMar>
          <w:top w:w="0" w:type="dxa"/>
          <w:left w:w="0" w:type="dxa"/>
          <w:bottom w:w="0" w:type="dxa"/>
          <w:right w:w="0" w:type="dxa"/>
        </w:tblCellMar>
      </w:tblPr>
      <w:tblGrid>
        <w:gridCol w:w="865"/>
        <w:gridCol w:w="4712"/>
        <w:gridCol w:w="2759"/>
      </w:tblGrid>
      <w:tr>
        <w:tblPrEx>
          <w:tblCellMar>
            <w:top w:w="0" w:type="dxa"/>
            <w:left w:w="0" w:type="dxa"/>
            <w:bottom w:w="0" w:type="dxa"/>
            <w:right w:w="0" w:type="dxa"/>
          </w:tblCellMar>
        </w:tblPrEx>
        <w:trPr>
          <w:trHeight w:val="397" w:hRule="exact"/>
          <w:tblHeader/>
        </w:trPr>
        <w:tc>
          <w:tcPr>
            <w:tcW w:w="8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序号</w:t>
            </w:r>
          </w:p>
        </w:tc>
        <w:tc>
          <w:tcPr>
            <w:tcW w:w="4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充电站位置</w:t>
            </w:r>
          </w:p>
        </w:tc>
        <w:tc>
          <w:tcPr>
            <w:tcW w:w="27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所属区域</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1</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上渚山奇幻谷P1停车场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2</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上渚山奇幻谷P3停车场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3</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kern w:val="0"/>
                <w:sz w:val="24"/>
                <w:szCs w:val="24"/>
                <w:lang w:bidi="ar"/>
              </w:rPr>
              <w:t>下渚湖桔子酒店项目</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4</w:t>
            </w:r>
          </w:p>
        </w:tc>
        <w:tc>
          <w:tcPr>
            <w:tcW w:w="4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kern w:val="0"/>
                <w:sz w:val="24"/>
                <w:szCs w:val="24"/>
                <w:lang w:bidi="ar"/>
              </w:rPr>
              <w:t>龙山湖国际高尔夫俱乐部停车场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5</w:t>
            </w:r>
          </w:p>
        </w:tc>
        <w:tc>
          <w:tcPr>
            <w:tcW w:w="4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kern w:val="0"/>
                <w:sz w:val="24"/>
                <w:szCs w:val="24"/>
                <w:lang w:bidi="ar"/>
              </w:rPr>
              <w:t>德清县“源文化”项目</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6</w:t>
            </w:r>
          </w:p>
        </w:tc>
        <w:tc>
          <w:tcPr>
            <w:tcW w:w="4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kern w:val="0"/>
                <w:sz w:val="24"/>
                <w:szCs w:val="24"/>
                <w:lang w:bidi="ar"/>
              </w:rPr>
              <w:t>城西公园绿地</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7</w:t>
            </w:r>
          </w:p>
        </w:tc>
        <w:tc>
          <w:tcPr>
            <w:tcW w:w="4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kern w:val="0"/>
                <w:sz w:val="24"/>
                <w:szCs w:val="24"/>
                <w:lang w:bidi="ar"/>
              </w:rPr>
              <w:t>春晖公园</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8</w:t>
            </w:r>
          </w:p>
        </w:tc>
        <w:tc>
          <w:tcPr>
            <w:tcW w:w="4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kern w:val="0"/>
                <w:sz w:val="24"/>
                <w:szCs w:val="24"/>
                <w:lang w:bidi="ar"/>
              </w:rPr>
              <w:t>英溪公园</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9</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kern w:val="0"/>
                <w:sz w:val="24"/>
                <w:szCs w:val="24"/>
                <w:lang w:bidi="ar"/>
              </w:rPr>
              <w:t>凯悦嘉轩停车场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10</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kern w:val="0"/>
                <w:sz w:val="24"/>
                <w:szCs w:val="24"/>
                <w:lang w:bidi="ar"/>
              </w:rPr>
              <w:t>皇冠假日大酒店</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11</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kern w:val="0"/>
                <w:sz w:val="24"/>
                <w:szCs w:val="24"/>
                <w:lang w:bidi="ar"/>
              </w:rPr>
              <w:t>国贸酒店西面</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12</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kern w:val="0"/>
                <w:sz w:val="24"/>
                <w:szCs w:val="24"/>
                <w:lang w:bidi="ar"/>
              </w:rPr>
              <w:t>德蓝君庭酒店充电站</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rPr>
              <w:t>13</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kern w:val="0"/>
                <w:sz w:val="24"/>
                <w:szCs w:val="24"/>
                <w:lang w:bidi="ar"/>
              </w:rPr>
              <w:t>诺富特酒店充电站</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14</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裸心堡停车场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15</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裸心谷停车场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16</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仙潭村景区停车场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7</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莫干山筏头景区停车场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18</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莫干山郡安里度假区停车场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19</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雷迪森</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20</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裸心生态村项目停车场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21</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阜溪水街项目停车场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22</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莫干黄芽·习茶所项目</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23</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雷甸镇白云北路旁停车场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24</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雷甸璟澜府停车场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25</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新市古镇游客中心停车场</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26</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kern w:val="0"/>
                <w:sz w:val="24"/>
                <w:szCs w:val="24"/>
                <w:lang w:bidi="ar"/>
              </w:rPr>
              <w:t>新市洲际假日酒店</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397" w:hRule="exact"/>
        </w:trPr>
        <w:tc>
          <w:tcPr>
            <w:tcW w:w="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27</w:t>
            </w:r>
          </w:p>
        </w:tc>
        <w:tc>
          <w:tcPr>
            <w:tcW w:w="47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钟管兴华酒店</w:t>
            </w:r>
          </w:p>
        </w:tc>
        <w:tc>
          <w:tcPr>
            <w:tcW w:w="27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钟管镇</w:t>
            </w:r>
          </w:p>
        </w:tc>
      </w:tr>
    </w:tbl>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81" w:name="_Toc21049"/>
      <w:bookmarkStart w:id="182" w:name="_Toc386"/>
      <w:bookmarkStart w:id="183" w:name="_Toc19781"/>
      <w:r>
        <w:rPr>
          <w:rFonts w:hint="eastAsia" w:ascii="方正楷体_GBK" w:hAnsi="方正楷体_GBK" w:eastAsia="方正楷体_GBK" w:cs="方正楷体_GBK"/>
          <w:b/>
          <w:bCs/>
          <w:sz w:val="32"/>
          <w:szCs w:val="32"/>
        </w:rPr>
        <w:t>（七）服务</w:t>
      </w:r>
      <w:r>
        <w:rPr>
          <w:rFonts w:hint="eastAsia" w:ascii="方正楷体_GBK" w:hAnsi="方正楷体_GBK" w:eastAsia="方正楷体_GBK" w:cs="方正楷体_GBK"/>
          <w:b/>
          <w:bCs/>
          <w:sz w:val="32"/>
          <w:szCs w:val="32"/>
          <w:lang w:val="en-US" w:eastAsia="zh-CN"/>
        </w:rPr>
        <w:t>美丽</w:t>
      </w:r>
      <w:r>
        <w:rPr>
          <w:rFonts w:hint="eastAsia" w:ascii="方正楷体_GBK" w:hAnsi="方正楷体_GBK" w:eastAsia="方正楷体_GBK" w:cs="方正楷体_GBK"/>
          <w:b/>
          <w:bCs/>
          <w:sz w:val="32"/>
          <w:szCs w:val="32"/>
        </w:rPr>
        <w:t>农村规划布点</w:t>
      </w:r>
      <w:bookmarkEnd w:id="181"/>
      <w:bookmarkEnd w:id="182"/>
      <w:bookmarkEnd w:id="183"/>
    </w:p>
    <w:p>
      <w:pPr>
        <w:ind w:firstLine="640" w:firstLineChars="200"/>
        <w:jc w:val="left"/>
        <w:rPr>
          <w:rFonts w:ascii="仿宋_GB2312" w:eastAsia="仿宋_GB2312"/>
          <w:sz w:val="32"/>
          <w:szCs w:val="32"/>
        </w:rPr>
      </w:pPr>
      <w:r>
        <w:rPr>
          <w:rFonts w:hint="eastAsia" w:ascii="方正仿宋_GBK" w:hAnsi="方正仿宋_GBK" w:eastAsia="方正仿宋_GBK" w:cs="方正仿宋_GBK"/>
          <w:sz w:val="32"/>
          <w:szCs w:val="32"/>
        </w:rPr>
        <w:t>德清县151个行政村分为38个城中村、10个城边村、3个景中村和100个外围村，共形成41+208个农村居民点。近年来，</w:t>
      </w:r>
      <w:r>
        <w:rPr>
          <w:rFonts w:hint="eastAsia" w:ascii="方正仿宋_GBK" w:hAnsi="方正仿宋_GBK" w:eastAsia="方正仿宋_GBK" w:cs="方正仿宋_GBK"/>
          <w:sz w:val="32"/>
          <w:szCs w:val="32"/>
          <w:lang w:val="en-US" w:eastAsia="zh-CN"/>
        </w:rPr>
        <w:t>德清县</w:t>
      </w:r>
      <w:r>
        <w:rPr>
          <w:rFonts w:hint="eastAsia" w:ascii="方正仿宋_GBK" w:hAnsi="方正仿宋_GBK" w:eastAsia="方正仿宋_GBK" w:cs="方正仿宋_GBK"/>
          <w:sz w:val="32"/>
          <w:szCs w:val="32"/>
        </w:rPr>
        <w:t>坚持“绿水青山就是金山银山”的理念，大力发展以“洋家乐”为代表的乡村民宿新业态，突出“原生态养生、国际化休闲”主题，走出了一条独具特色的乡村旅游发展之路。莫干山民宿主要分布在仙潭村、后坞村、燎原村，分别为158家、143家、115家</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共计416家</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同时，也呈现了一些服务</w:t>
      </w:r>
      <w:r>
        <w:rPr>
          <w:rFonts w:hint="eastAsia" w:ascii="方正仿宋_GBK" w:hAnsi="方正仿宋_GBK" w:eastAsia="方正仿宋_GBK" w:cs="方正仿宋_GBK"/>
          <w:sz w:val="32"/>
          <w:szCs w:val="32"/>
        </w:rPr>
        <w:t>特色精品村</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如</w:t>
      </w:r>
      <w:r>
        <w:rPr>
          <w:rFonts w:hint="eastAsia" w:ascii="方正仿宋_GBK" w:hAnsi="方正仿宋_GBK" w:eastAsia="方正仿宋_GBK" w:cs="方正仿宋_GBK"/>
          <w:sz w:val="32"/>
          <w:szCs w:val="32"/>
        </w:rPr>
        <w:t>城北村</w:t>
      </w:r>
      <w:r>
        <w:rPr>
          <w:rFonts w:hint="eastAsia" w:ascii="方正仿宋_GBK" w:hAnsi="方正仿宋_GBK" w:eastAsia="方正仿宋_GBK" w:cs="方正仿宋_GBK"/>
          <w:sz w:val="32"/>
          <w:szCs w:val="32"/>
          <w:lang w:eastAsia="zh-CN"/>
        </w:rPr>
        <w:t>。</w:t>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规划完善在乡镇、农村地区充电设施配套电网建设，覆盖41+208个农村居民点，结合</w:t>
      </w:r>
      <w:r>
        <w:rPr>
          <w:rFonts w:hint="eastAsia" w:ascii="方正仿宋_GBK" w:hAnsi="方正仿宋_GBK" w:eastAsia="方正仿宋_GBK" w:cs="方正仿宋_GBK"/>
          <w:sz w:val="32"/>
          <w:szCs w:val="32"/>
          <w:lang w:val="en-US" w:eastAsia="zh-CN"/>
        </w:rPr>
        <w:t>美丽农村</w:t>
      </w:r>
      <w:r>
        <w:rPr>
          <w:rFonts w:hint="eastAsia" w:ascii="方正仿宋_GBK" w:hAnsi="方正仿宋_GBK" w:eastAsia="方正仿宋_GBK" w:cs="方正仿宋_GBK"/>
          <w:sz w:val="32"/>
          <w:szCs w:val="32"/>
        </w:rPr>
        <w:t>布局充电站，共计22个站点，62个充电桩</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满足农村地区电动汽车充电需求</w:t>
      </w:r>
      <w:r>
        <w:rPr>
          <w:rFonts w:hint="eastAsia" w:ascii="方正仿宋_GBK" w:hAnsi="方正仿宋_GBK" w:eastAsia="方正仿宋_GBK" w:cs="方正仿宋_GBK"/>
          <w:sz w:val="32"/>
          <w:szCs w:val="32"/>
        </w:rPr>
        <w:t>。</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表6.4  服务农村规划布点</w:t>
      </w:r>
    </w:p>
    <w:tbl>
      <w:tblPr>
        <w:tblStyle w:val="26"/>
        <w:tblW w:w="8336" w:type="dxa"/>
        <w:tblInd w:w="0" w:type="dxa"/>
        <w:tblLayout w:type="fixed"/>
        <w:tblCellMar>
          <w:top w:w="0" w:type="dxa"/>
          <w:left w:w="0" w:type="dxa"/>
          <w:bottom w:w="0" w:type="dxa"/>
          <w:right w:w="0" w:type="dxa"/>
        </w:tblCellMar>
      </w:tblPr>
      <w:tblGrid>
        <w:gridCol w:w="719"/>
        <w:gridCol w:w="5178"/>
        <w:gridCol w:w="2439"/>
      </w:tblGrid>
      <w:tr>
        <w:tblPrEx>
          <w:tblCellMar>
            <w:top w:w="0" w:type="dxa"/>
            <w:left w:w="0" w:type="dxa"/>
            <w:bottom w:w="0" w:type="dxa"/>
            <w:right w:w="0" w:type="dxa"/>
          </w:tblCellMar>
        </w:tblPrEx>
        <w:trPr>
          <w:trHeight w:val="397" w:hRule="exact"/>
          <w:tblHeader/>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bookmarkStart w:id="184" w:name="_Toc7962"/>
            <w:bookmarkStart w:id="185" w:name="_Toc20338"/>
            <w:bookmarkStart w:id="186" w:name="_Toc5033"/>
            <w:bookmarkStart w:id="187" w:name="_Toc29884"/>
            <w:r>
              <w:rPr>
                <w:rFonts w:hint="eastAsia" w:ascii="方正仿宋_GBK" w:hAnsi="方正仿宋_GBK" w:eastAsia="方正仿宋_GBK" w:cs="方正仿宋_GBK"/>
                <w:b/>
                <w:bCs/>
                <w:kern w:val="0"/>
                <w:sz w:val="24"/>
                <w:szCs w:val="24"/>
              </w:rPr>
              <w:t>序号</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充电站位置</w:t>
            </w:r>
          </w:p>
        </w:tc>
        <w:tc>
          <w:tcPr>
            <w:tcW w:w="2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所属区域</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新市汽车站</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莫干山镇政府</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3</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新安镇政府</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4</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落舍镇卫生院</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5</w:t>
            </w:r>
          </w:p>
        </w:tc>
        <w:tc>
          <w:tcPr>
            <w:tcW w:w="517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雷甸镇政府</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6</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德清县委党校</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乾元</w:t>
            </w:r>
            <w:r>
              <w:rPr>
                <w:rStyle w:val="69"/>
                <w:lang w:bidi="ar"/>
              </w:rPr>
              <w:t>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7</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后坞村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8</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上柏村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9</w:t>
            </w:r>
          </w:p>
        </w:tc>
        <w:tc>
          <w:tcPr>
            <w:tcW w:w="517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对河口村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10</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五四村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11</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三桥村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12</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联合村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13</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新琪村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14</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二都村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15</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联星村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16</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干山村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钟管镇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17</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杨墩村</w:t>
            </w:r>
          </w:p>
        </w:tc>
        <w:tc>
          <w:tcPr>
            <w:tcW w:w="243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18</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东衡村</w:t>
            </w:r>
          </w:p>
        </w:tc>
        <w:tc>
          <w:tcPr>
            <w:tcW w:w="2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洛舍镇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19</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下舍村</w:t>
            </w:r>
          </w:p>
        </w:tc>
        <w:tc>
          <w:tcPr>
            <w:tcW w:w="2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20</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白彪村</w:t>
            </w:r>
          </w:p>
        </w:tc>
        <w:tc>
          <w:tcPr>
            <w:tcW w:w="2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21</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韶村</w:t>
            </w:r>
          </w:p>
        </w:tc>
        <w:tc>
          <w:tcPr>
            <w:tcW w:w="2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397" w:hRule="exact"/>
        </w:trPr>
        <w:tc>
          <w:tcPr>
            <w:tcW w:w="71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22</w:t>
            </w:r>
          </w:p>
        </w:tc>
        <w:tc>
          <w:tcPr>
            <w:tcW w:w="5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三林村</w:t>
            </w:r>
          </w:p>
        </w:tc>
        <w:tc>
          <w:tcPr>
            <w:tcW w:w="2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lang w:bidi="ar"/>
              </w:rPr>
              <w:t>禹越镇</w:t>
            </w:r>
          </w:p>
        </w:tc>
      </w:tr>
    </w:tbl>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88" w:name="_Toc26587"/>
      <w:bookmarkStart w:id="189" w:name="_Toc6542"/>
      <w:r>
        <w:rPr>
          <w:rFonts w:hint="eastAsia" w:ascii="方正楷体_GBK" w:hAnsi="方正楷体_GBK" w:eastAsia="方正楷体_GBK" w:cs="方正楷体_GBK"/>
          <w:b/>
          <w:bCs/>
          <w:sz w:val="32"/>
          <w:szCs w:val="32"/>
        </w:rPr>
        <w:t>（八）服务老旧小区规划布点</w:t>
      </w:r>
      <w:bookmarkEnd w:id="184"/>
      <w:bookmarkEnd w:id="188"/>
      <w:bookmarkEnd w:id="189"/>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优先选取充电桩报装需求较大老旧小区投建公共充电站，因地制宜选择地下车库或地面车位建设充电站，满足老旧小区充电需求。老旧小区改造布点共计1</w:t>
      </w:r>
      <w:r>
        <w:rPr>
          <w:rFonts w:ascii="方正仿宋_GBK" w:hAnsi="方正仿宋_GBK" w:eastAsia="方正仿宋_GBK" w:cs="方正仿宋_GBK"/>
          <w:sz w:val="32"/>
          <w:szCs w:val="32"/>
        </w:rPr>
        <w:t>8</w:t>
      </w:r>
      <w:r>
        <w:rPr>
          <w:rFonts w:hint="eastAsia" w:ascii="方正仿宋_GBK" w:hAnsi="方正仿宋_GBK" w:eastAsia="方正仿宋_GBK" w:cs="方正仿宋_GBK"/>
          <w:sz w:val="32"/>
          <w:szCs w:val="32"/>
        </w:rPr>
        <w:t>座，1</w:t>
      </w:r>
      <w:r>
        <w:rPr>
          <w:rFonts w:ascii="方正仿宋_GBK" w:hAnsi="方正仿宋_GBK" w:eastAsia="方正仿宋_GBK" w:cs="方正仿宋_GBK"/>
          <w:sz w:val="32"/>
          <w:szCs w:val="32"/>
        </w:rPr>
        <w:t>44</w:t>
      </w:r>
      <w:r>
        <w:rPr>
          <w:rFonts w:hint="eastAsia" w:ascii="方正仿宋_GBK" w:hAnsi="方正仿宋_GBK" w:eastAsia="方正仿宋_GBK" w:cs="方正仿宋_GBK"/>
          <w:sz w:val="32"/>
          <w:szCs w:val="32"/>
        </w:rPr>
        <w:t>个充电桩，服务老旧小区改造布点见表6.5:</w:t>
      </w:r>
    </w:p>
    <w:p>
      <w:pP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br w:type="page"/>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表6.5  服务老旧小区规划布点</w:t>
      </w:r>
    </w:p>
    <w:tbl>
      <w:tblPr>
        <w:tblStyle w:val="26"/>
        <w:tblW w:w="4998" w:type="pct"/>
        <w:tblInd w:w="0" w:type="dxa"/>
        <w:tblLayout w:type="autofit"/>
        <w:tblCellMar>
          <w:top w:w="0" w:type="dxa"/>
          <w:left w:w="0" w:type="dxa"/>
          <w:bottom w:w="0" w:type="dxa"/>
          <w:right w:w="0" w:type="dxa"/>
        </w:tblCellMar>
      </w:tblPr>
      <w:tblGrid>
        <w:gridCol w:w="1462"/>
        <w:gridCol w:w="3438"/>
        <w:gridCol w:w="3436"/>
      </w:tblGrid>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序号</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老旧小区名称</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kern w:val="0"/>
                <w:sz w:val="24"/>
                <w:szCs w:val="24"/>
              </w:rPr>
            </w:pPr>
            <w:r>
              <w:rPr>
                <w:rFonts w:hint="eastAsia" w:ascii="方正仿宋_GBK" w:hAnsi="方正仿宋_GBK" w:eastAsia="方正仿宋_GBK" w:cs="方正仿宋_GBK"/>
                <w:b/>
                <w:bCs/>
                <w:kern w:val="0"/>
                <w:sz w:val="24"/>
                <w:szCs w:val="24"/>
              </w:rPr>
              <w:t>所属区域</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新市木行拆迁安置小区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2</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新市紫荆家园</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3</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宝塔山安置小区二期</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4</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乾龙花园东南侧停车场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5</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莫干山镇国有安置房项目</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6</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德清中铁莫干山语城小区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7</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民心小区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8</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祥和一区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9</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祥和二区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10</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康乐小区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11</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吉祥一区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color w:val="000000"/>
                <w:kern w:val="0"/>
                <w:sz w:val="24"/>
                <w:szCs w:val="24"/>
              </w:rPr>
              <w:t>12</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吉祥二区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13</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莫干新村</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14</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群安一区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15</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群安二区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16</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东兴小区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17</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余英小区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8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rPr>
              <w:t>18</w:t>
            </w:r>
          </w:p>
        </w:tc>
        <w:tc>
          <w:tcPr>
            <w:tcW w:w="20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营盘小区</w:t>
            </w:r>
          </w:p>
        </w:tc>
        <w:tc>
          <w:tcPr>
            <w:tcW w:w="20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bookmarkEnd w:id="185"/>
      <w:bookmarkEnd w:id="186"/>
      <w:bookmarkEnd w:id="187"/>
    </w:tbl>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190" w:name="_Toc27894"/>
      <w:bookmarkStart w:id="191" w:name="_Toc10764"/>
      <w:bookmarkStart w:id="192" w:name="_Toc16688"/>
      <w:bookmarkStart w:id="193" w:name="_Toc19249"/>
      <w:r>
        <w:rPr>
          <w:rFonts w:hint="eastAsia" w:ascii="方正楷体_GBK" w:hAnsi="方正楷体_GBK" w:eastAsia="方正楷体_GBK" w:cs="方正楷体_GBK"/>
          <w:b/>
          <w:bCs/>
          <w:sz w:val="32"/>
          <w:szCs w:val="32"/>
        </w:rPr>
        <w:t>（九）服务公交车规划布点</w:t>
      </w:r>
      <w:bookmarkEnd w:id="190"/>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由公交车运营公司统筹安排公交车站场地落实公交专用充电站建设，主要布点见表6.6:</w:t>
      </w:r>
    </w:p>
    <w:p>
      <w:pPr>
        <w:adjustRightInd w:val="0"/>
        <w:snapToGrid w:val="0"/>
        <w:spacing w:line="360" w:lineRule="auto"/>
        <w:jc w:val="center"/>
        <w:outlineLvl w:val="5"/>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表6.6  服务公交车规划布点</w:t>
      </w:r>
    </w:p>
    <w:tbl>
      <w:tblPr>
        <w:tblStyle w:val="26"/>
        <w:tblW w:w="4998" w:type="pct"/>
        <w:tblInd w:w="0" w:type="dxa"/>
        <w:tblLayout w:type="autofit"/>
        <w:tblCellMar>
          <w:top w:w="0" w:type="dxa"/>
          <w:left w:w="0" w:type="dxa"/>
          <w:bottom w:w="0" w:type="dxa"/>
          <w:right w:w="0" w:type="dxa"/>
        </w:tblCellMar>
      </w:tblPr>
      <w:tblGrid>
        <w:gridCol w:w="2585"/>
        <w:gridCol w:w="2803"/>
        <w:gridCol w:w="2948"/>
      </w:tblGrid>
      <w:tr>
        <w:tblPrEx>
          <w:tblCellMar>
            <w:top w:w="0" w:type="dxa"/>
            <w:left w:w="0" w:type="dxa"/>
            <w:bottom w:w="0" w:type="dxa"/>
            <w:right w:w="0" w:type="dxa"/>
          </w:tblCellMar>
        </w:tblPrEx>
        <w:trPr>
          <w:trHeight w:val="283" w:hRule="atLeast"/>
          <w:tblHeader/>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b/>
                <w:bCs/>
                <w:color w:val="000000"/>
                <w:kern w:val="0"/>
                <w:sz w:val="24"/>
                <w:szCs w:val="24"/>
              </w:rPr>
            </w:pPr>
            <w:r>
              <w:rPr>
                <w:rFonts w:hint="eastAsia" w:ascii="方正黑体_GBK" w:hAnsi="方正黑体_GBK" w:eastAsia="方正黑体_GBK" w:cs="方正黑体_GBK"/>
                <w:b/>
                <w:bCs/>
                <w:sz w:val="32"/>
                <w:szCs w:val="32"/>
              </w:rPr>
              <w:br w:type="page"/>
            </w:r>
            <w:r>
              <w:rPr>
                <w:rFonts w:hint="eastAsia" w:ascii="方正仿宋_GBK" w:hAnsi="方正仿宋_GBK" w:eastAsia="方正仿宋_GBK" w:cs="方正仿宋_GBK"/>
                <w:b/>
                <w:bCs/>
                <w:color w:val="000000"/>
                <w:kern w:val="0"/>
                <w:sz w:val="24"/>
                <w:szCs w:val="24"/>
              </w:rPr>
              <w:t>序号</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color w:val="000000"/>
                <w:kern w:val="0"/>
                <w:sz w:val="24"/>
                <w:szCs w:val="24"/>
              </w:rPr>
            </w:pPr>
            <w:r>
              <w:rPr>
                <w:rFonts w:hint="eastAsia" w:ascii="方正仿宋_GBK" w:hAnsi="方正仿宋_GBK" w:eastAsia="方正仿宋_GBK" w:cs="方正仿宋_GBK"/>
                <w:b/>
                <w:color w:val="000000"/>
                <w:kern w:val="0"/>
                <w:sz w:val="24"/>
                <w:szCs w:val="24"/>
                <w:lang w:bidi="ar"/>
              </w:rPr>
              <w:t>充电站位置</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b/>
                <w:bCs/>
                <w:color w:val="000000"/>
                <w:kern w:val="0"/>
                <w:sz w:val="24"/>
                <w:szCs w:val="24"/>
              </w:rPr>
            </w:pPr>
            <w:r>
              <w:rPr>
                <w:rFonts w:hint="eastAsia" w:ascii="方正仿宋_GBK" w:hAnsi="方正仿宋_GBK" w:eastAsia="方正仿宋_GBK" w:cs="方正仿宋_GBK"/>
                <w:b/>
                <w:bCs/>
                <w:color w:val="000000"/>
                <w:kern w:val="0"/>
                <w:sz w:val="24"/>
                <w:szCs w:val="24"/>
              </w:rPr>
              <w:t>所属区域</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乾元车站1</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2</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乾元车站2</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3</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三合车站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4</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雷甸车站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5</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新市车站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6</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禹越车站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禹越镇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7</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钟管车站2</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钟管镇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8</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洛舍车站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洛舍镇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9</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筏头车站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10</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莫干车站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11</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公交东站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12</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新市临时</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13</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城中首末</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3" w:hRule="atLeast"/>
        </w:trPr>
        <w:tc>
          <w:tcPr>
            <w:tcW w:w="155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w:t>
            </w:r>
            <w:r>
              <w:rPr>
                <w:rFonts w:ascii="方正仿宋_GBK" w:hAnsi="方正仿宋_GBK" w:eastAsia="方正仿宋_GBK" w:cs="方正仿宋_GBK"/>
                <w:color w:val="000000"/>
                <w:kern w:val="0"/>
                <w:sz w:val="24"/>
                <w:szCs w:val="24"/>
              </w:rPr>
              <w:t>4</w:t>
            </w:r>
          </w:p>
        </w:tc>
        <w:tc>
          <w:tcPr>
            <w:tcW w:w="16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德清城乡智慧公交中心站</w:t>
            </w:r>
          </w:p>
        </w:tc>
        <w:tc>
          <w:tcPr>
            <w:tcW w:w="17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武康街道</w:t>
            </w:r>
          </w:p>
        </w:tc>
      </w:tr>
    </w:tbl>
    <w:p>
      <w:pPr>
        <w:adjustRightInd w:val="0"/>
        <w:snapToGrid w:val="0"/>
        <w:spacing w:line="560" w:lineRule="exact"/>
        <w:ind w:firstLine="640" w:firstLineChars="200"/>
        <w:outlineLvl w:val="1"/>
        <w:rPr>
          <w:rFonts w:hint="default" w:ascii="方正楷体_GBK" w:hAnsi="方正楷体_GBK" w:eastAsia="方正楷体_GBK" w:cs="方正楷体_GBK"/>
          <w:b/>
          <w:bCs/>
          <w:sz w:val="32"/>
          <w:szCs w:val="32"/>
          <w:lang w:val="en-US" w:eastAsia="zh-CN"/>
        </w:rPr>
      </w:pPr>
      <w:bookmarkStart w:id="194" w:name="_Toc31071"/>
      <w:bookmarkStart w:id="195" w:name="_Toc16764"/>
      <w:bookmarkStart w:id="196" w:name="_Toc8755"/>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lang w:val="en-US" w:eastAsia="zh-CN"/>
        </w:rPr>
        <w:t>十）服务公路沿线规划布点</w:t>
      </w:r>
      <w:bookmarkEnd w:id="194"/>
    </w:p>
    <w:p>
      <w:pPr>
        <w:pStyle w:val="70"/>
        <w:bidi w:val="0"/>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结合“四好农村路”“美丽公路”建设，稳步推进普通公路沿线、交通枢纽站场、高速公路出入口、服务站、驿站、加油站、停车点、养护道班等布局充电设施建设。在车流量较大区域、重点节假日期间适度投放移动充电设施。</w:t>
      </w:r>
    </w:p>
    <w:p>
      <w:pPr>
        <w:ind w:firstLine="640" w:firstLineChars="200"/>
        <w:rPr>
          <w:rFonts w:hint="default" w:ascii="仿宋_GB2312" w:hAnsi="仿宋_GB2312" w:eastAsia="仿宋_GB2312" w:cs="仿宋_GB2312"/>
          <w:sz w:val="28"/>
          <w:szCs w:val="28"/>
          <w:lang w:val="en-US" w:eastAsia="zh-CN"/>
        </w:rPr>
      </w:pPr>
      <w:r>
        <w:rPr>
          <w:rFonts w:hint="eastAsia" w:ascii="方正仿宋_GBK" w:hAnsi="方正仿宋_GBK" w:eastAsia="方正仿宋_GBK" w:cs="方正仿宋_GBK"/>
          <w:kern w:val="2"/>
          <w:sz w:val="32"/>
          <w:szCs w:val="32"/>
          <w:lang w:val="en-US" w:eastAsia="zh-CN" w:bidi="ar-SA"/>
        </w:rPr>
        <w:t>加快普通公路沿线充电设施建设，合理布局普通公路沿线充电站，在普通公路沿线服务站、停车场、交通站所、加油站等适宜区域设置充电设施，便民利民，缓解里程焦虑。至2025年增设普通公路沿线充电桩20个,包括G104舞阳街道双燕村委已建成6个充电桩，S304公路服务站已建成6个充电桩;计划G104三桥公路服务站建设6个充电桩，下渚湖下仁公路旁水精灵酒店建设6个充电桩，莫干山镇于烂线旁停车场建设8个充电桩。</w:t>
      </w:r>
    </w:p>
    <w:p>
      <w:pPr>
        <w:spacing w:line="560" w:lineRule="exact"/>
        <w:ind w:firstLine="640" w:firstLineChars="200"/>
        <w:outlineLvl w:val="0"/>
        <w:rPr>
          <w:rFonts w:ascii="方正黑体_GBK" w:hAnsi="方正黑体_GBK" w:eastAsia="方正黑体_GBK" w:cs="方正黑体_GBK"/>
          <w:b/>
          <w:bCs/>
          <w:sz w:val="32"/>
          <w:szCs w:val="32"/>
        </w:rPr>
      </w:pPr>
      <w:bookmarkStart w:id="197" w:name="_Toc29171"/>
      <w:r>
        <w:rPr>
          <w:rFonts w:hint="eastAsia" w:ascii="方正黑体_GBK" w:hAnsi="方正黑体_GBK" w:eastAsia="方正黑体_GBK" w:cs="方正黑体_GBK"/>
          <w:b/>
          <w:bCs/>
          <w:sz w:val="32"/>
          <w:szCs w:val="32"/>
        </w:rPr>
        <w:t>七、规划实施保障措施</w:t>
      </w:r>
      <w:bookmarkEnd w:id="191"/>
      <w:bookmarkEnd w:id="192"/>
      <w:bookmarkEnd w:id="193"/>
      <w:bookmarkEnd w:id="195"/>
      <w:bookmarkEnd w:id="196"/>
      <w:bookmarkEnd w:id="197"/>
    </w:p>
    <w:p>
      <w:pPr>
        <w:adjustRightInd w:val="0"/>
        <w:snapToGrid w:val="0"/>
        <w:spacing w:line="560" w:lineRule="exact"/>
        <w:ind w:firstLine="640" w:firstLineChars="200"/>
        <w:jc w:val="left"/>
        <w:rPr>
          <w:rFonts w:ascii="方正仿宋_GBK" w:hAnsi="方正仿宋_GBK" w:eastAsia="方正仿宋_GBK" w:cs="方正仿宋_GBK"/>
          <w:sz w:val="32"/>
          <w:szCs w:val="32"/>
        </w:rPr>
      </w:pPr>
      <w:bookmarkStart w:id="198" w:name="_Toc2453"/>
      <w:bookmarkStart w:id="199" w:name="_Toc17096"/>
      <w:bookmarkStart w:id="200" w:name="_Toc20175"/>
      <w:r>
        <w:rPr>
          <w:rFonts w:hint="eastAsia" w:ascii="方正仿宋_GBK" w:hAnsi="方正仿宋_GBK" w:eastAsia="方正仿宋_GBK" w:cs="方正仿宋_GBK"/>
          <w:sz w:val="32"/>
          <w:szCs w:val="32"/>
        </w:rPr>
        <w:t>坚持以习近平新时代中国特色社会主义思想为指导，深入贯彻党的十九大和十九届二中、三中、四中、五中、六中全会精神，坚定不移落实习近平总书记赋予湖州"照着绿水青山就是金山银山这条路走下去"重要指示，坚持贯彻新发展理念，忠实践行"八八战略"，奋力打造"重要窗口"，遵循能源“四个革命、一个合作"的总方针，积极落实碳达峰、碳中和决策部署，按照"桩站先行、适度超前”的总要求，加快拓展规模、不断优化布局，创新发展模式、完善扶持政策，培育良好的市场服务和应用环境，努力构建满足需求、布局合理、功能完善、使用便捷的充电基础设施体系，保障和促进电动汽车产业健康快速发展，为建设现代生态智慧的滨湖大城市提供要素保障，具体保障措施如下：</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201" w:name="_Toc21085"/>
      <w:bookmarkStart w:id="202" w:name="_Toc10369"/>
      <w:bookmarkStart w:id="203" w:name="_Toc22974"/>
      <w:r>
        <w:rPr>
          <w:rFonts w:hint="eastAsia" w:ascii="方正楷体_GBK" w:hAnsi="方正楷体_GBK" w:eastAsia="方正楷体_GBK" w:cs="方正楷体_GBK"/>
          <w:b/>
          <w:bCs/>
          <w:sz w:val="32"/>
          <w:szCs w:val="32"/>
        </w:rPr>
        <w:t>（一）加强组织领导</w:t>
      </w:r>
      <w:bookmarkEnd w:id="198"/>
      <w:bookmarkEnd w:id="199"/>
      <w:bookmarkEnd w:id="200"/>
      <w:bookmarkEnd w:id="201"/>
      <w:bookmarkEnd w:id="202"/>
      <w:bookmarkEnd w:id="203"/>
    </w:p>
    <w:p>
      <w:pPr>
        <w:adjustRightInd w:val="0"/>
        <w:snapToGrid w:val="0"/>
        <w:spacing w:line="560" w:lineRule="exact"/>
        <w:ind w:firstLine="640" w:firstLineChars="200"/>
        <w:rPr>
          <w:rFonts w:ascii="方正仿宋_GBK" w:hAnsi="方正仿宋_GBK" w:eastAsia="方正仿宋_GBK" w:cs="方正仿宋_GBK"/>
          <w:sz w:val="32"/>
          <w:szCs w:val="32"/>
        </w:rPr>
      </w:pPr>
      <w:bookmarkStart w:id="204" w:name="_Toc1926"/>
      <w:bookmarkStart w:id="205" w:name="_Toc25336"/>
      <w:bookmarkStart w:id="206" w:name="_Toc24814"/>
      <w:r>
        <w:rPr>
          <w:rFonts w:hint="eastAsia" w:ascii="方正仿宋_GBK" w:hAnsi="方正仿宋_GBK" w:eastAsia="方正仿宋_GBK" w:cs="方正仿宋_GBK"/>
          <w:sz w:val="32"/>
          <w:szCs w:val="32"/>
        </w:rPr>
        <w:t>成立县新能源汽车充电</w:t>
      </w:r>
      <w:r>
        <w:rPr>
          <w:rFonts w:hint="eastAsia" w:ascii="方正仿宋_GBK" w:hAnsi="方正仿宋_GBK" w:eastAsia="方正仿宋_GBK" w:cs="方正仿宋_GBK"/>
          <w:sz w:val="32"/>
          <w:szCs w:val="32"/>
          <w:lang w:eastAsia="zh-CN"/>
        </w:rPr>
        <w:t>桩</w:t>
      </w:r>
      <w:r>
        <w:rPr>
          <w:rFonts w:hint="eastAsia" w:ascii="方正仿宋_GBK" w:hAnsi="方正仿宋_GBK" w:eastAsia="方正仿宋_GBK" w:cs="方正仿宋_GBK"/>
          <w:sz w:val="32"/>
          <w:szCs w:val="32"/>
        </w:rPr>
        <w:t>问题专项治理工作领导小组，县府办分管副主任、县经信局局长任组长，发改、财政、交通、建设、自然资源和规划、市场监管、电力等部门为成员的工作推进领导小组，突出问题发现、督办整改，形成联动工作机制。特别是针对老</w:t>
      </w:r>
      <w:r>
        <w:rPr>
          <w:rFonts w:hint="eastAsia" w:ascii="方正仿宋_GBK" w:hAnsi="方正仿宋_GBK" w:eastAsia="方正仿宋_GBK" w:cs="方正仿宋_GBK"/>
          <w:sz w:val="32"/>
          <w:szCs w:val="32"/>
          <w:lang w:eastAsia="zh-CN"/>
        </w:rPr>
        <w:t>旧</w:t>
      </w:r>
      <w:bookmarkStart w:id="248" w:name="_GoBack"/>
      <w:bookmarkEnd w:id="248"/>
      <w:r>
        <w:rPr>
          <w:rFonts w:hint="eastAsia" w:ascii="方正仿宋_GBK" w:hAnsi="方正仿宋_GBK" w:eastAsia="方正仿宋_GBK" w:cs="方正仿宋_GBK"/>
          <w:sz w:val="32"/>
          <w:szCs w:val="32"/>
        </w:rPr>
        <w:t>小区，要加大协调力度，落实乡镇（街道）、居委会等责任，调动小区业主、物业服务企业、充电桩运营企业的积极性。</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207" w:name="_Toc27899"/>
      <w:bookmarkStart w:id="208" w:name="_Toc29053"/>
      <w:bookmarkStart w:id="209" w:name="_Toc2528"/>
      <w:r>
        <w:rPr>
          <w:rFonts w:hint="eastAsia" w:ascii="方正楷体_GBK" w:hAnsi="方正楷体_GBK" w:eastAsia="方正楷体_GBK" w:cs="方正楷体_GBK"/>
          <w:b/>
          <w:bCs/>
          <w:sz w:val="32"/>
          <w:szCs w:val="32"/>
        </w:rPr>
        <w:t>（二）加大政策扶持</w:t>
      </w:r>
      <w:bookmarkEnd w:id="204"/>
      <w:bookmarkEnd w:id="205"/>
      <w:bookmarkEnd w:id="206"/>
      <w:bookmarkEnd w:id="207"/>
      <w:bookmarkEnd w:id="208"/>
      <w:bookmarkEnd w:id="209"/>
    </w:p>
    <w:p>
      <w:pPr>
        <w:adjustRightInd w:val="0"/>
        <w:snapToGrid w:val="0"/>
        <w:spacing w:line="560" w:lineRule="exact"/>
        <w:ind w:firstLine="640" w:firstLineChars="200"/>
        <w:rPr>
          <w:rFonts w:ascii="方正仿宋_GBK" w:hAnsi="方正仿宋_GBK" w:eastAsia="方正仿宋_GBK" w:cs="方正仿宋_GBK"/>
          <w:sz w:val="32"/>
          <w:szCs w:val="32"/>
        </w:rPr>
      </w:pPr>
      <w:bookmarkStart w:id="210" w:name="_Toc12590"/>
      <w:bookmarkStart w:id="211" w:name="_Toc3601"/>
      <w:bookmarkStart w:id="212" w:name="_Toc29131"/>
      <w:r>
        <w:rPr>
          <w:rFonts w:hint="eastAsia" w:ascii="方正仿宋_GBK" w:hAnsi="方正仿宋_GBK" w:eastAsia="方正仿宋_GBK" w:cs="方正仿宋_GBK"/>
          <w:sz w:val="32"/>
          <w:szCs w:val="32"/>
          <w:lang w:val="zh-CN"/>
        </w:rPr>
        <w:t>按照《德清县新能源汽车推广应用地方补助实施办法》</w:t>
      </w:r>
      <w:r>
        <w:rPr>
          <w:rFonts w:hint="eastAsia" w:ascii="方正仿宋_GBK" w:hAnsi="方正仿宋_GBK" w:eastAsia="方正仿宋_GBK" w:cs="方正仿宋_GBK"/>
          <w:sz w:val="32"/>
          <w:szCs w:val="32"/>
        </w:rPr>
        <w:t>文件，确保对建设运营公共充电桩及承诺接入市级监控平台的运营企业，按充电设施功率一次性给与建设补助；对接入市级监控平台的公共充电桩运营企业，给予充电量补助。</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213" w:name="_Toc21978"/>
      <w:bookmarkStart w:id="214" w:name="_Toc23994"/>
      <w:bookmarkStart w:id="215" w:name="_Toc24490"/>
      <w:r>
        <w:rPr>
          <w:rFonts w:hint="eastAsia" w:ascii="方正楷体_GBK" w:hAnsi="方正楷体_GBK" w:eastAsia="方正楷体_GBK" w:cs="方正楷体_GBK"/>
          <w:b/>
          <w:bCs/>
          <w:sz w:val="32"/>
          <w:szCs w:val="32"/>
        </w:rPr>
        <w:t>（三）加强电力配套</w:t>
      </w:r>
      <w:bookmarkEnd w:id="210"/>
      <w:bookmarkEnd w:id="211"/>
      <w:bookmarkEnd w:id="212"/>
      <w:bookmarkEnd w:id="213"/>
      <w:bookmarkEnd w:id="214"/>
      <w:bookmarkEnd w:id="215"/>
    </w:p>
    <w:p>
      <w:pPr>
        <w:adjustRightInd w:val="0"/>
        <w:snapToGrid w:val="0"/>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供电能力。将充电基础设施配套电网新建与改造项目纳入配电网专项规划，切实做到“设施建设、电网先行”。加强充电基础设施配套电网新建与改造，保障充电基础设施无障碍接入，确保电力供应的“畅通无阻”，满足充换电设施运营需求。完善供电服务。推动电网企业为充电基础设施接入电网提供便利条件，开辟绿色通道，优化流程，简化手续，提高效率，限时办结。</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216" w:name="_Toc16877"/>
      <w:bookmarkStart w:id="217" w:name="_Toc6240"/>
      <w:bookmarkStart w:id="218" w:name="_Toc24276"/>
      <w:bookmarkStart w:id="219" w:name="_Toc27689"/>
      <w:bookmarkStart w:id="220" w:name="_Toc12389"/>
      <w:bookmarkStart w:id="221" w:name="_Toc30983"/>
      <w:r>
        <w:rPr>
          <w:rFonts w:hint="eastAsia" w:ascii="方正楷体_GBK" w:hAnsi="方正楷体_GBK" w:eastAsia="方正楷体_GBK" w:cs="方正楷体_GBK"/>
          <w:b/>
          <w:bCs/>
          <w:sz w:val="32"/>
          <w:szCs w:val="32"/>
        </w:rPr>
        <w:t>（四）加强宣传引导</w:t>
      </w:r>
      <w:bookmarkEnd w:id="216"/>
      <w:bookmarkEnd w:id="217"/>
      <w:bookmarkEnd w:id="218"/>
      <w:bookmarkEnd w:id="219"/>
      <w:bookmarkEnd w:id="220"/>
      <w:bookmarkEnd w:id="221"/>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营造全方位的支撑保障环境，通过多种形式加强充电基础设施发展政策、规划布局、便民找桩等动态宣传。加强舆论监督，改善燃油车占位等行为，曝光阻碍充电设施建设、损害消费者权益等行为，形成有利于充电基础设施发展的舆论氛围。</w:t>
      </w:r>
    </w:p>
    <w:p>
      <w:pPr>
        <w:adjustRightInd w:val="0"/>
        <w:snapToGrid w:val="0"/>
        <w:spacing w:line="560" w:lineRule="exact"/>
        <w:ind w:firstLine="640" w:firstLineChars="200"/>
        <w:outlineLvl w:val="1"/>
        <w:rPr>
          <w:rFonts w:ascii="方正楷体_GBK" w:hAnsi="方正楷体_GBK" w:eastAsia="方正楷体_GBK" w:cs="方正楷体_GBK"/>
          <w:b/>
          <w:bCs/>
          <w:sz w:val="32"/>
          <w:szCs w:val="32"/>
        </w:rPr>
      </w:pPr>
      <w:bookmarkStart w:id="222" w:name="_Toc32608"/>
      <w:bookmarkStart w:id="223" w:name="_Toc7155"/>
      <w:bookmarkStart w:id="224" w:name="_Toc21160"/>
      <w:bookmarkStart w:id="225" w:name="_Toc883"/>
      <w:bookmarkStart w:id="226" w:name="_Toc19560"/>
      <w:bookmarkStart w:id="227" w:name="_Toc5525"/>
      <w:r>
        <w:rPr>
          <w:rFonts w:hint="eastAsia" w:ascii="方正楷体_GBK" w:hAnsi="方正楷体_GBK" w:eastAsia="方正楷体_GBK" w:cs="方正楷体_GBK"/>
          <w:b/>
          <w:bCs/>
          <w:sz w:val="32"/>
          <w:szCs w:val="32"/>
        </w:rPr>
        <w:t>（五）</w:t>
      </w:r>
      <w:bookmarkEnd w:id="222"/>
      <w:bookmarkEnd w:id="223"/>
      <w:bookmarkEnd w:id="224"/>
      <w:r>
        <w:rPr>
          <w:rFonts w:hint="eastAsia" w:ascii="方正楷体_GBK" w:hAnsi="方正楷体_GBK" w:eastAsia="方正楷体_GBK" w:cs="方正楷体_GBK"/>
          <w:b/>
          <w:bCs/>
          <w:sz w:val="32"/>
          <w:szCs w:val="32"/>
        </w:rPr>
        <w:t>加强安全管理</w:t>
      </w:r>
      <w:bookmarkEnd w:id="225"/>
      <w:bookmarkEnd w:id="226"/>
      <w:bookmarkEnd w:id="227"/>
    </w:p>
    <w:p>
      <w:pPr>
        <w:adjustRightInd w:val="0"/>
        <w:snapToGrid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按照“谁所有，谁负责”原则，运营单位和个人严格按照规定对充电桩进行维护、保养、计量检定；加快充电桩计量检定能力建设；安装建设单位在施工过程中，要严格遵守电力建设安全施工管理规定和充电设施建设技术标准，做好安全防范措施。消防部门要加强消防安全技术指导，将充电场所消防设施设备完好情况纳入日常监督检查内容。</w:t>
      </w: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p>
    <w:p>
      <w:pPr>
        <w:adjustRightInd w:val="0"/>
        <w:snapToGrid w:val="0"/>
        <w:spacing w:line="560" w:lineRule="exact"/>
        <w:outlineLvl w:val="0"/>
        <w:rPr>
          <w:rFonts w:ascii="Times New Roman" w:hAnsi="Times New Roman" w:eastAsia="方正仿宋_GBK" w:cs="Times New Roman"/>
          <w:b/>
          <w:bCs/>
          <w:sz w:val="32"/>
          <w:szCs w:val="32"/>
        </w:rPr>
      </w:pPr>
      <w:bookmarkStart w:id="228" w:name="_Toc28303"/>
      <w:bookmarkStart w:id="229" w:name="_Toc11417"/>
      <w:bookmarkStart w:id="230" w:name="_Toc13277"/>
      <w:bookmarkStart w:id="231" w:name="_Toc22870"/>
      <w:bookmarkStart w:id="232" w:name="_Toc16477"/>
      <w:bookmarkStart w:id="233" w:name="_Toc21334"/>
      <w:r>
        <w:rPr>
          <w:rFonts w:hint="eastAsia" w:ascii="方正仿宋_GBK" w:hAnsi="方正仿宋_GBK" w:eastAsia="方正仿宋_GBK" w:cs="方正仿宋_GBK"/>
          <w:b/>
          <w:bCs/>
          <w:sz w:val="32"/>
          <w:szCs w:val="32"/>
        </w:rPr>
        <w:t>附录1德清县现状充电站</w:t>
      </w:r>
      <w:bookmarkEnd w:id="228"/>
      <w:bookmarkEnd w:id="229"/>
      <w:bookmarkEnd w:id="230"/>
      <w:bookmarkEnd w:id="231"/>
      <w:r>
        <w:rPr>
          <w:rFonts w:hint="eastAsia" w:ascii="方正仿宋_GBK" w:hAnsi="方正仿宋_GBK" w:eastAsia="方正仿宋_GBK" w:cs="方正仿宋_GBK"/>
          <w:b/>
          <w:bCs/>
          <w:sz w:val="32"/>
          <w:szCs w:val="32"/>
        </w:rPr>
        <w:t>汇总表</w:t>
      </w:r>
      <w:bookmarkEnd w:id="232"/>
      <w:bookmarkEnd w:id="233"/>
    </w:p>
    <w:tbl>
      <w:tblPr>
        <w:tblStyle w:val="26"/>
        <w:tblW w:w="8525" w:type="dxa"/>
        <w:tblInd w:w="0" w:type="dxa"/>
        <w:tblLayout w:type="fixed"/>
        <w:tblCellMar>
          <w:top w:w="0" w:type="dxa"/>
          <w:left w:w="108" w:type="dxa"/>
          <w:bottom w:w="0" w:type="dxa"/>
          <w:right w:w="108" w:type="dxa"/>
        </w:tblCellMar>
      </w:tblPr>
      <w:tblGrid>
        <w:gridCol w:w="888"/>
        <w:gridCol w:w="6074"/>
        <w:gridCol w:w="1563"/>
      </w:tblGrid>
      <w:tr>
        <w:tblPrEx>
          <w:tblCellMar>
            <w:top w:w="0" w:type="dxa"/>
            <w:left w:w="108" w:type="dxa"/>
            <w:bottom w:w="0" w:type="dxa"/>
            <w:right w:w="108" w:type="dxa"/>
          </w:tblCellMar>
        </w:tblPrEx>
        <w:trPr>
          <w:trHeight w:val="290" w:hRule="atLeast"/>
          <w:tblHeader/>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序号</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充电站地址</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b/>
                <w:bCs/>
                <w:kern w:val="0"/>
                <w:sz w:val="24"/>
                <w:szCs w:val="24"/>
              </w:rPr>
            </w:pPr>
            <w:r>
              <w:rPr>
                <w:rFonts w:ascii="方正仿宋_GBK" w:hAnsi="方正仿宋_GBK" w:eastAsia="方正仿宋_GBK" w:cs="方正仿宋_GBK"/>
                <w:b/>
                <w:bCs/>
                <w:kern w:val="0"/>
                <w:sz w:val="24"/>
                <w:szCs w:val="24"/>
              </w:rPr>
              <w:t>站类型</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武康</w:t>
            </w:r>
            <w:r>
              <w:rPr>
                <w:rFonts w:hint="eastAsia" w:ascii="方正仿宋_GBK" w:hAnsi="方正仿宋_GBK" w:eastAsia="方正仿宋_GBK" w:cs="方正仿宋_GBK"/>
                <w:kern w:val="0"/>
                <w:sz w:val="24"/>
                <w:szCs w:val="24"/>
              </w:rPr>
              <w:t>街道</w:t>
            </w:r>
            <w:r>
              <w:rPr>
                <w:rFonts w:ascii="方正仿宋_GBK" w:hAnsi="方正仿宋_GBK" w:eastAsia="方正仿宋_GBK" w:cs="方正仿宋_GBK"/>
                <w:kern w:val="0"/>
                <w:sz w:val="24"/>
                <w:szCs w:val="24"/>
              </w:rPr>
              <w:t>千秋街北侧曲园南路侧东侧行政中心北停车场</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武康</w:t>
            </w:r>
            <w:r>
              <w:rPr>
                <w:rFonts w:hint="eastAsia" w:ascii="方正仿宋_GBK" w:hAnsi="方正仿宋_GBK" w:eastAsia="方正仿宋_GBK" w:cs="方正仿宋_GBK"/>
                <w:kern w:val="0"/>
                <w:sz w:val="24"/>
                <w:szCs w:val="24"/>
              </w:rPr>
              <w:t>街道</w:t>
            </w:r>
            <w:r>
              <w:rPr>
                <w:rFonts w:ascii="方正仿宋_GBK" w:hAnsi="方正仿宋_GBK" w:eastAsia="方正仿宋_GBK" w:cs="方正仿宋_GBK"/>
                <w:kern w:val="0"/>
                <w:sz w:val="24"/>
                <w:szCs w:val="24"/>
              </w:rPr>
              <w:t>城东新区千秋东街奥体壹号小区6号公变旁</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武康</w:t>
            </w:r>
            <w:r>
              <w:rPr>
                <w:rFonts w:hint="eastAsia" w:ascii="方正仿宋_GBK" w:hAnsi="方正仿宋_GBK" w:eastAsia="方正仿宋_GBK" w:cs="方正仿宋_GBK"/>
                <w:kern w:val="0"/>
                <w:sz w:val="24"/>
                <w:szCs w:val="24"/>
              </w:rPr>
              <w:t>街道</w:t>
            </w:r>
            <w:r>
              <w:rPr>
                <w:rFonts w:ascii="方正仿宋_GBK" w:hAnsi="方正仿宋_GBK" w:eastAsia="方正仿宋_GBK" w:cs="方正仿宋_GBK"/>
                <w:kern w:val="0"/>
                <w:sz w:val="24"/>
                <w:szCs w:val="24"/>
              </w:rPr>
              <w:t>志远南路368号金都阳光樾府小区东门北侧</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4</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莫干山镇庾村荫山街莫干山景区停车场</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5</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下渚湖街道</w:t>
            </w:r>
            <w:r>
              <w:rPr>
                <w:rFonts w:ascii="方正仿宋_GBK" w:hAnsi="方正仿宋_GBK" w:eastAsia="方正仿宋_GBK" w:cs="方正仿宋_GBK"/>
                <w:kern w:val="0"/>
                <w:sz w:val="24"/>
                <w:szCs w:val="24"/>
              </w:rPr>
              <w:t>下渚湖景区停车场西侧</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6</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康乾街道</w:t>
            </w:r>
            <w:r>
              <w:rPr>
                <w:rFonts w:ascii="方正仿宋_GBK" w:hAnsi="方正仿宋_GBK" w:eastAsia="方正仿宋_GBK" w:cs="方正仿宋_GBK"/>
                <w:kern w:val="0"/>
                <w:sz w:val="24"/>
                <w:szCs w:val="24"/>
              </w:rPr>
              <w:t>零九省道高铁站南停车场</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7</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莫干山镇庾村莫干山集散中心</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8</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下渚湖街道</w:t>
            </w:r>
            <w:r>
              <w:rPr>
                <w:rFonts w:ascii="方正仿宋_GBK" w:hAnsi="方正仿宋_GBK" w:eastAsia="方正仿宋_GBK" w:cs="方正仿宋_GBK"/>
                <w:kern w:val="0"/>
                <w:sz w:val="24"/>
                <w:szCs w:val="24"/>
              </w:rPr>
              <w:t>宝塔山村开元森泊度假乐园停车大楼</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9</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德清博物馆（春晖公园后）</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10</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美都现代城北停车场</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11</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乾元镇政府</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12</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洛舍镇政府</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13</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钟管镇政府</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14</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新市镇政府</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15</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禹越镇政府</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16</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莫干山大酒店停车场</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17</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德清县</w:t>
            </w:r>
            <w:r>
              <w:rPr>
                <w:rFonts w:ascii="方正仿宋_GBK" w:hAnsi="方正仿宋_GBK" w:eastAsia="方正仿宋_GBK" w:cs="方正仿宋_GBK"/>
                <w:kern w:val="0"/>
                <w:sz w:val="24"/>
                <w:szCs w:val="24"/>
              </w:rPr>
              <w:t>体育中心游泳馆北</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18</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劳岭村</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19</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何村</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20</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仙潭村</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21</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南路村</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22</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兰树坑村</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23</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庙前村</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24</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五四村</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25</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雅兰大酒店停车场</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26</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美都御府</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27</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德清检察院</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公共充电站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28</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停保中心</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w:t>
            </w:r>
            <w:r>
              <w:rPr>
                <w:rFonts w:hint="eastAsia" w:ascii="方正仿宋_GBK" w:hAnsi="方正仿宋_GBK" w:eastAsia="方正仿宋_GBK" w:cs="方正仿宋_GBK"/>
                <w:kern w:val="0"/>
                <w:sz w:val="24"/>
                <w:szCs w:val="24"/>
              </w:rPr>
              <w:t>交</w:t>
            </w:r>
            <w:r>
              <w:rPr>
                <w:rFonts w:ascii="方正仿宋_GBK" w:hAnsi="方正仿宋_GBK" w:eastAsia="方正仿宋_GBK" w:cs="方正仿宋_GBK"/>
                <w:kern w:val="0"/>
                <w:sz w:val="24"/>
                <w:szCs w:val="24"/>
              </w:rPr>
              <w:t>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29</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火车西站1</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公交充电站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30</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火车西站2</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公交充电站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31</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公交北站</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公交充电站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32</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交通水利集团下属客运中心</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公交充电站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33</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禹越镇天皇殿村高速公路服务区2#变</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高速充电站</w:t>
            </w:r>
          </w:p>
        </w:tc>
      </w:tr>
      <w:tr>
        <w:tblPrEx>
          <w:tblCellMar>
            <w:top w:w="0" w:type="dxa"/>
            <w:left w:w="108" w:type="dxa"/>
            <w:bottom w:w="0" w:type="dxa"/>
            <w:right w:w="108" w:type="dxa"/>
          </w:tblCellMar>
        </w:tblPrEx>
        <w:trPr>
          <w:trHeight w:val="2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34</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禹越镇天皇殿村高速公路服务区1#变</w:t>
            </w:r>
          </w:p>
        </w:tc>
        <w:tc>
          <w:tcPr>
            <w:tcW w:w="156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方正仿宋_GBK" w:hAnsi="方正仿宋_GBK" w:eastAsia="方正仿宋_GBK" w:cs="方正仿宋_GBK"/>
                <w:kern w:val="0"/>
                <w:sz w:val="24"/>
                <w:szCs w:val="24"/>
              </w:rPr>
            </w:pPr>
            <w:r>
              <w:rPr>
                <w:rFonts w:ascii="方正仿宋_GBK" w:hAnsi="方正仿宋_GBK" w:eastAsia="方正仿宋_GBK" w:cs="方正仿宋_GBK"/>
                <w:kern w:val="0"/>
                <w:sz w:val="24"/>
                <w:szCs w:val="24"/>
              </w:rPr>
              <w:t>高速充电站</w:t>
            </w:r>
          </w:p>
        </w:tc>
      </w:tr>
    </w:tbl>
    <w:p>
      <w:pPr>
        <w:adjustRightInd w:val="0"/>
        <w:snapToGrid w:val="0"/>
        <w:spacing w:line="560" w:lineRule="exact"/>
        <w:rPr>
          <w:rFonts w:ascii="方正仿宋_GBK" w:hAnsi="方正仿宋_GBK" w:eastAsia="方正仿宋_GBK" w:cs="方正仿宋_GBK"/>
          <w:sz w:val="32"/>
          <w:szCs w:val="32"/>
        </w:rPr>
        <w:sectPr>
          <w:pgSz w:w="11909" w:h="16834"/>
          <w:pgMar w:top="1440" w:right="1800" w:bottom="1440" w:left="1800" w:header="850" w:footer="994" w:gutter="0"/>
          <w:cols w:space="425" w:num="1"/>
          <w:docGrid w:linePitch="408" w:charSpace="0"/>
        </w:sectPr>
      </w:pPr>
    </w:p>
    <w:p>
      <w:pPr>
        <w:adjustRightInd w:val="0"/>
        <w:snapToGrid w:val="0"/>
        <w:spacing w:line="560" w:lineRule="exact"/>
        <w:outlineLvl w:val="0"/>
        <w:rPr>
          <w:rFonts w:ascii="方正仿宋_GBK" w:hAnsi="方正仿宋_GBK" w:eastAsia="方正仿宋_GBK" w:cs="方正仿宋_GBK"/>
          <w:b/>
          <w:bCs/>
          <w:sz w:val="32"/>
          <w:szCs w:val="32"/>
        </w:rPr>
      </w:pPr>
      <w:bookmarkStart w:id="234" w:name="_Toc307"/>
      <w:bookmarkStart w:id="235" w:name="_Toc13337"/>
      <w:bookmarkStart w:id="236" w:name="_Toc15772"/>
      <w:bookmarkStart w:id="237" w:name="_Toc27604"/>
      <w:r>
        <w:rPr>
          <w:rFonts w:hint="eastAsia" w:ascii="方正仿宋_GBK" w:hAnsi="方正仿宋_GBK" w:eastAsia="方正仿宋_GBK" w:cs="方正仿宋_GBK"/>
          <w:b/>
          <w:bCs/>
          <w:sz w:val="32"/>
          <w:szCs w:val="32"/>
        </w:rPr>
        <w:t>附录2德清县规划充电站</w:t>
      </w:r>
      <w:bookmarkEnd w:id="234"/>
      <w:bookmarkEnd w:id="235"/>
      <w:r>
        <w:rPr>
          <w:rFonts w:hint="eastAsia" w:ascii="方正仿宋_GBK" w:hAnsi="方正仿宋_GBK" w:eastAsia="方正仿宋_GBK" w:cs="方正仿宋_GBK"/>
          <w:b/>
          <w:bCs/>
          <w:sz w:val="32"/>
          <w:szCs w:val="32"/>
        </w:rPr>
        <w:t>汇总表</w:t>
      </w:r>
      <w:bookmarkEnd w:id="236"/>
      <w:r>
        <w:rPr>
          <w:rFonts w:hint="eastAsia" w:ascii="方正仿宋_GBK" w:hAnsi="方正仿宋_GBK" w:eastAsia="方正仿宋_GBK" w:cs="方正仿宋_GBK"/>
          <w:b/>
          <w:bCs/>
          <w:sz w:val="32"/>
          <w:szCs w:val="32"/>
        </w:rPr>
        <w:t>（按服务功能排序）</w:t>
      </w:r>
      <w:bookmarkEnd w:id="237"/>
    </w:p>
    <w:tbl>
      <w:tblPr>
        <w:tblStyle w:val="26"/>
        <w:tblW w:w="4998" w:type="pct"/>
        <w:tblInd w:w="0" w:type="dxa"/>
        <w:tblLayout w:type="autofit"/>
        <w:tblCellMar>
          <w:top w:w="0" w:type="dxa"/>
          <w:left w:w="0" w:type="dxa"/>
          <w:bottom w:w="0" w:type="dxa"/>
          <w:right w:w="0" w:type="dxa"/>
        </w:tblCellMar>
      </w:tblPr>
      <w:tblGrid>
        <w:gridCol w:w="512"/>
        <w:gridCol w:w="4590"/>
        <w:gridCol w:w="1539"/>
        <w:gridCol w:w="1695"/>
      </w:tblGrid>
      <w:tr>
        <w:tblPrEx>
          <w:tblCellMar>
            <w:top w:w="0" w:type="dxa"/>
            <w:left w:w="0" w:type="dxa"/>
            <w:bottom w:w="0" w:type="dxa"/>
            <w:right w:w="0" w:type="dxa"/>
          </w:tblCellMar>
        </w:tblPrEx>
        <w:trPr>
          <w:trHeight w:val="285" w:hRule="atLeast"/>
          <w:tblHeader/>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编号</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站址名称</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所属区域</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服务功能</w:t>
            </w: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德清县中医院（新建）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c>
          <w:tcPr>
            <w:tcW w:w="1017"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公共设施</w:t>
            </w: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德清县职业中学专业学校</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浙江广播电视大学德清学院</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双燕村104公路服务站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舞阳街道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w:t>
            </w:r>
          </w:p>
        </w:tc>
        <w:tc>
          <w:tcPr>
            <w:tcW w:w="275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县人民医院</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下渚湖街道办事处</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浙江省儿保德清院区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高铁站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康乾街道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高新区地信广场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10</w:t>
            </w:r>
          </w:p>
        </w:tc>
        <w:tc>
          <w:tcPr>
            <w:tcW w:w="275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阜溪街道办事处</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w:t>
            </w:r>
          </w:p>
        </w:tc>
        <w:tc>
          <w:tcPr>
            <w:tcW w:w="275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浙工大附中（德清县高级中学）</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德清县图书馆</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德清县人民政府</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火车西站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武康派出所西停车场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体育中心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康乾街道办事处</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城西体育馆</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奥体中心地铁站停车场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科技新城地铁站停车场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春晖公园地铁站停车场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杭州二绕高速莫干山服务区（东区）充电站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禹越镇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杭州二绕高速莫干山服务区（西区）充电站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禹越镇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新市三中</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新市文体中心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09省道桥下停车场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乾元镇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莫干3</w:t>
            </w:r>
            <w:r>
              <w:rPr>
                <w:rFonts w:ascii="方正仿宋_GBK" w:hAnsi="方正仿宋_GBK" w:eastAsia="方正仿宋_GBK" w:cs="方正仿宋_GBK"/>
                <w:kern w:val="0"/>
                <w:sz w:val="24"/>
                <w:szCs w:val="24"/>
                <w:lang w:bidi="ar"/>
              </w:rPr>
              <w:t>04</w:t>
            </w:r>
            <w:r>
              <w:rPr>
                <w:rFonts w:hint="eastAsia" w:ascii="方正仿宋_GBK" w:hAnsi="方正仿宋_GBK" w:eastAsia="方正仿宋_GBK" w:cs="方正仿宋_GBK"/>
                <w:kern w:val="0"/>
                <w:sz w:val="24"/>
                <w:szCs w:val="24"/>
                <w:lang w:bidi="ar"/>
              </w:rPr>
              <w:t>公路服务站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莫干山人民政府</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双山路城市公共充电站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阜溪街道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下舍场站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新安镇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仁和北站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八字桥站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下渚湖站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莫干山高新区站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高新区</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千秋广场站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正翔商业广场停车场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产业发展</w:t>
            </w: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德清佳得利商贸城停车场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德清卢球商贸中心停车场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德清国际会议中心停车场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4</w:t>
            </w:r>
            <w:r>
              <w:rPr>
                <w:rFonts w:ascii="方正仿宋_GBK" w:hAnsi="方正仿宋_GBK" w:eastAsia="方正仿宋_GBK" w:cs="方正仿宋_GBK"/>
                <w:color w:val="000000"/>
                <w:kern w:val="0"/>
                <w:sz w:val="24"/>
                <w:szCs w:val="24"/>
                <w:lang w:bidi="ar"/>
              </w:rPr>
              <w:t>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德清县科技创业园三区停车场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4</w:t>
            </w:r>
            <w:r>
              <w:rPr>
                <w:rFonts w:ascii="方正仿宋_GBK" w:hAnsi="方正仿宋_GBK" w:eastAsia="方正仿宋_GBK" w:cs="方正仿宋_GBK"/>
                <w:color w:val="000000"/>
                <w:kern w:val="0"/>
                <w:sz w:val="24"/>
                <w:szCs w:val="24"/>
                <w:lang w:bidi="ar"/>
              </w:rPr>
              <w:t>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德清汽车城</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4</w:t>
            </w:r>
            <w:r>
              <w:rPr>
                <w:rFonts w:ascii="方正仿宋_GBK" w:hAnsi="方正仿宋_GBK" w:eastAsia="方正仿宋_GBK" w:cs="方正仿宋_GBK"/>
                <w:color w:val="000000"/>
                <w:kern w:val="0"/>
                <w:sz w:val="24"/>
                <w:szCs w:val="24"/>
                <w:lang w:bidi="ar"/>
              </w:rPr>
              <w:t>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欧诗漫珍珠生物产业园</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43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芯片大楼地面停车场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44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中创科技园地面停车场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45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旗杆广场地面停车场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46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云创科技大楼地面停车场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洛舍木皮市场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4</w:t>
            </w:r>
            <w:r>
              <w:rPr>
                <w:rFonts w:ascii="方正仿宋_GBK" w:hAnsi="方正仿宋_GBK" w:eastAsia="方正仿宋_GBK" w:cs="方正仿宋_GBK"/>
                <w:color w:val="000000"/>
                <w:kern w:val="0"/>
                <w:sz w:val="24"/>
                <w:szCs w:val="24"/>
                <w:lang w:bidi="ar"/>
              </w:rPr>
              <w:t>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城南杭州银泰</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德清县开发区产业园停车场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德清农贸城</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原汽车总站地块商业综合体</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52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德蓝广场东北侧停车场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53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曼城南侧停车场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54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德清大道以南明月星城以北(4S店区域）</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康乾街道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55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智能生态城地面停车场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康乾街道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56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水产社区停车场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雷甸镇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bidi="ar"/>
              </w:rPr>
              <w:t>通航产业大楼地下停车场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莫干山国际旅游度假区莫干山集镇</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59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莫干山庾村广场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新市镇华盛达广场停车场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德清县经开区产业园停车场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新安围巾市场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上渚山奇幻谷P1停车场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c>
          <w:tcPr>
            <w:tcW w:w="1017"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景点民宿</w:t>
            </w:r>
            <w:r>
              <w:rPr>
                <w:rFonts w:ascii="方正仿宋_GBK" w:hAnsi="方正仿宋_GBK" w:eastAsia="方正仿宋_GBK" w:cs="方正仿宋_GBK"/>
                <w:color w:val="000000"/>
                <w:kern w:val="0"/>
                <w:sz w:val="24"/>
                <w:szCs w:val="24"/>
                <w:lang w:bidi="ar"/>
              </w:rPr>
              <w:t>发展</w:t>
            </w: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64</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上渚山奇幻谷P3停车场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65</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下渚湖桔子酒店项目</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龙山湖国际高尔夫俱乐部停车场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67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德清县“源文化”项目</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阜溪街道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城西公园绿地</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春晖公园</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英溪公园</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7</w:t>
            </w:r>
            <w:r>
              <w:rPr>
                <w:rFonts w:ascii="方正仿宋_GBK" w:hAnsi="方正仿宋_GBK" w:eastAsia="方正仿宋_GBK" w:cs="方正仿宋_GBK"/>
                <w:color w:val="000000"/>
                <w:kern w:val="0"/>
                <w:sz w:val="24"/>
                <w:szCs w:val="24"/>
                <w:lang w:bidi="ar"/>
              </w:rPr>
              <w:t>1</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bidi="ar"/>
              </w:rPr>
              <w:t>凯悦嘉轩停车场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7</w:t>
            </w:r>
            <w:r>
              <w:rPr>
                <w:rFonts w:ascii="方正仿宋_GBK" w:hAnsi="方正仿宋_GBK" w:eastAsia="方正仿宋_GBK" w:cs="方正仿宋_GBK"/>
                <w:color w:val="000000"/>
                <w:kern w:val="0"/>
                <w:sz w:val="24"/>
                <w:szCs w:val="24"/>
                <w:lang w:bidi="ar"/>
              </w:rPr>
              <w:t>2</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皇冠假日大酒店</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7</w:t>
            </w:r>
            <w:r>
              <w:rPr>
                <w:rFonts w:ascii="方正仿宋_GBK" w:hAnsi="方正仿宋_GBK" w:eastAsia="方正仿宋_GBK" w:cs="方正仿宋_GBK"/>
                <w:color w:val="000000"/>
                <w:sz w:val="24"/>
                <w:szCs w:val="24"/>
              </w:rPr>
              <w:t>3</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国贸酒店西面</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7</w:t>
            </w:r>
            <w:r>
              <w:rPr>
                <w:rFonts w:ascii="方正仿宋_GBK" w:hAnsi="方正仿宋_GBK" w:eastAsia="方正仿宋_GBK" w:cs="方正仿宋_GBK"/>
                <w:color w:val="000000"/>
                <w:sz w:val="24"/>
                <w:szCs w:val="24"/>
              </w:rPr>
              <w:t>4</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德蓝君庭酒店充电站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7</w:t>
            </w:r>
            <w:r>
              <w:rPr>
                <w:rFonts w:ascii="方正仿宋_GBK" w:hAnsi="方正仿宋_GBK" w:eastAsia="方正仿宋_GBK" w:cs="方正仿宋_GBK"/>
                <w:color w:val="000000"/>
                <w:sz w:val="24"/>
                <w:szCs w:val="24"/>
              </w:rPr>
              <w:t>5</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诺富特酒店充电站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7</w:t>
            </w:r>
            <w:r>
              <w:rPr>
                <w:rFonts w:ascii="方正仿宋_GBK" w:hAnsi="方正仿宋_GBK" w:eastAsia="方正仿宋_GBK" w:cs="方正仿宋_GBK"/>
                <w:color w:val="000000"/>
                <w:sz w:val="24"/>
                <w:szCs w:val="24"/>
              </w:rPr>
              <w:t>6</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裸心堡停车场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7</w:t>
            </w:r>
            <w:r>
              <w:rPr>
                <w:rFonts w:ascii="方正仿宋_GBK" w:hAnsi="方正仿宋_GBK" w:eastAsia="方正仿宋_GBK" w:cs="方正仿宋_GBK"/>
                <w:color w:val="000000"/>
                <w:sz w:val="24"/>
                <w:szCs w:val="24"/>
              </w:rPr>
              <w:t>7</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裸心谷停车场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7</w:t>
            </w:r>
            <w:r>
              <w:rPr>
                <w:rFonts w:ascii="方正仿宋_GBK" w:hAnsi="方正仿宋_GBK" w:eastAsia="方正仿宋_GBK" w:cs="方正仿宋_GBK"/>
                <w:color w:val="000000"/>
                <w:kern w:val="0"/>
                <w:sz w:val="24"/>
                <w:szCs w:val="24"/>
                <w:lang w:bidi="ar"/>
              </w:rPr>
              <w:t>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仙潭村景区停车场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7</w:t>
            </w:r>
            <w:r>
              <w:rPr>
                <w:rFonts w:ascii="方正仿宋_GBK" w:hAnsi="方正仿宋_GBK" w:eastAsia="方正仿宋_GBK" w:cs="方正仿宋_GBK"/>
                <w:color w:val="000000"/>
                <w:kern w:val="0"/>
                <w:sz w:val="24"/>
                <w:szCs w:val="24"/>
                <w:lang w:bidi="ar"/>
              </w:rPr>
              <w:t>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莫干山筏头景区停车场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8</w:t>
            </w:r>
            <w:r>
              <w:rPr>
                <w:rFonts w:ascii="方正仿宋_GBK" w:hAnsi="方正仿宋_GBK" w:eastAsia="方正仿宋_GBK" w:cs="方正仿宋_GBK"/>
                <w:color w:val="000000"/>
                <w:kern w:val="0"/>
                <w:sz w:val="24"/>
                <w:szCs w:val="24"/>
                <w:lang w:bidi="ar"/>
              </w:rPr>
              <w:t>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莫干山郡安里度假区停车场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8</w:t>
            </w:r>
            <w:r>
              <w:rPr>
                <w:rFonts w:ascii="方正仿宋_GBK" w:hAnsi="方正仿宋_GBK" w:eastAsia="方正仿宋_GBK" w:cs="方正仿宋_GBK"/>
                <w:color w:val="000000"/>
                <w:kern w:val="0"/>
                <w:sz w:val="24"/>
                <w:szCs w:val="24"/>
                <w:lang w:bidi="ar"/>
              </w:rPr>
              <w:t>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雷迪森</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8</w:t>
            </w:r>
            <w:r>
              <w:rPr>
                <w:rFonts w:ascii="方正仿宋_GBK" w:hAnsi="方正仿宋_GBK" w:eastAsia="方正仿宋_GBK" w:cs="方正仿宋_GBK"/>
                <w:color w:val="000000"/>
                <w:kern w:val="0"/>
                <w:sz w:val="24"/>
                <w:szCs w:val="24"/>
                <w:lang w:bidi="ar"/>
              </w:rPr>
              <w:t>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裸心生态村项目停车场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8</w:t>
            </w:r>
            <w:r>
              <w:rPr>
                <w:rFonts w:ascii="方正仿宋_GBK" w:hAnsi="方正仿宋_GBK" w:eastAsia="方正仿宋_GBK" w:cs="方正仿宋_GBK"/>
                <w:color w:val="000000"/>
                <w:kern w:val="0"/>
                <w:sz w:val="24"/>
                <w:szCs w:val="24"/>
                <w:lang w:bidi="ar"/>
              </w:rPr>
              <w:t>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阜溪水街项目停车场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8</w:t>
            </w:r>
            <w:r>
              <w:rPr>
                <w:rFonts w:ascii="方正仿宋_GBK" w:hAnsi="方正仿宋_GBK" w:eastAsia="方正仿宋_GBK" w:cs="方正仿宋_GBK"/>
                <w:color w:val="000000"/>
                <w:sz w:val="24"/>
                <w:szCs w:val="24"/>
              </w:rPr>
              <w:t>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莫干黄芽·习茶所项目</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8</w:t>
            </w:r>
            <w:r>
              <w:rPr>
                <w:rFonts w:ascii="方正仿宋_GBK" w:hAnsi="方正仿宋_GBK" w:eastAsia="方正仿宋_GBK" w:cs="方正仿宋_GBK"/>
                <w:color w:val="000000"/>
                <w:kern w:val="0"/>
                <w:sz w:val="24"/>
                <w:szCs w:val="24"/>
                <w:lang w:bidi="ar"/>
              </w:rPr>
              <w:t>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雷甸镇白云北路旁停车场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雷甸镇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8</w:t>
            </w:r>
            <w:r>
              <w:rPr>
                <w:rFonts w:ascii="方正仿宋_GBK" w:hAnsi="方正仿宋_GBK" w:eastAsia="方正仿宋_GBK" w:cs="方正仿宋_GBK"/>
                <w:color w:val="000000"/>
                <w:kern w:val="0"/>
                <w:sz w:val="24"/>
                <w:szCs w:val="24"/>
                <w:lang w:bidi="ar"/>
              </w:rPr>
              <w:t>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雷甸璟澜府停车场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雷甸镇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w:t>
            </w:r>
            <w:r>
              <w:rPr>
                <w:rFonts w:ascii="方正仿宋_GBK" w:hAnsi="方正仿宋_GBK" w:eastAsia="方正仿宋_GBK" w:cs="方正仿宋_GBK"/>
                <w:color w:val="000000"/>
                <w:sz w:val="24"/>
                <w:szCs w:val="24"/>
              </w:rPr>
              <w:t>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新市古镇游客中心停车场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8</w:t>
            </w:r>
            <w:r>
              <w:rPr>
                <w:rFonts w:ascii="方正仿宋_GBK" w:hAnsi="方正仿宋_GBK" w:eastAsia="方正仿宋_GBK" w:cs="方正仿宋_GBK"/>
                <w:color w:val="000000"/>
                <w:sz w:val="24"/>
                <w:szCs w:val="24"/>
              </w:rPr>
              <w:t>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新市洲际假日酒店</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8</w:t>
            </w:r>
            <w:r>
              <w:rPr>
                <w:rFonts w:ascii="方正仿宋_GBK" w:hAnsi="方正仿宋_GBK" w:eastAsia="方正仿宋_GBK" w:cs="方正仿宋_GBK"/>
                <w:color w:val="000000"/>
                <w:sz w:val="24"/>
                <w:szCs w:val="24"/>
              </w:rPr>
              <w:t>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钟管兴华酒店</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钟管镇</w:t>
            </w:r>
          </w:p>
        </w:tc>
        <w:tc>
          <w:tcPr>
            <w:tcW w:w="1017"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FF0000"/>
                <w:sz w:val="24"/>
                <w:szCs w:val="24"/>
              </w:rPr>
            </w:pPr>
            <w:r>
              <w:rPr>
                <w:rFonts w:ascii="方正仿宋_GBK" w:hAnsi="方正仿宋_GBK" w:eastAsia="方正仿宋_GBK" w:cs="方正仿宋_GBK"/>
                <w:color w:val="000000"/>
                <w:kern w:val="0"/>
                <w:sz w:val="24"/>
                <w:szCs w:val="24"/>
                <w:lang w:bidi="ar"/>
              </w:rPr>
              <w:t>新市汽车站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val="en-US" w:eastAsia="zh-CN"/>
              </w:rPr>
              <w:t>美丽</w:t>
            </w:r>
            <w:r>
              <w:rPr>
                <w:rFonts w:hint="eastAsia" w:ascii="方正仿宋_GBK" w:hAnsi="方正仿宋_GBK" w:eastAsia="方正仿宋_GBK" w:cs="方正仿宋_GBK"/>
                <w:color w:val="000000"/>
                <w:sz w:val="24"/>
                <w:szCs w:val="24"/>
              </w:rPr>
              <w:t>乡村</w:t>
            </w: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FF0000"/>
                <w:sz w:val="24"/>
                <w:szCs w:val="24"/>
              </w:rPr>
            </w:pPr>
            <w:r>
              <w:rPr>
                <w:rFonts w:ascii="方正仿宋_GBK" w:hAnsi="方正仿宋_GBK" w:eastAsia="方正仿宋_GBK" w:cs="方正仿宋_GBK"/>
                <w:color w:val="000000"/>
                <w:kern w:val="0"/>
                <w:sz w:val="24"/>
                <w:szCs w:val="24"/>
                <w:lang w:bidi="ar"/>
              </w:rPr>
              <w:t>莫干山镇政府</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FF0000"/>
                <w:sz w:val="24"/>
                <w:szCs w:val="24"/>
              </w:rPr>
            </w:pPr>
            <w:r>
              <w:rPr>
                <w:rFonts w:ascii="方正仿宋_GBK" w:hAnsi="方正仿宋_GBK" w:eastAsia="方正仿宋_GBK" w:cs="方正仿宋_GBK"/>
                <w:color w:val="000000"/>
                <w:kern w:val="0"/>
                <w:sz w:val="24"/>
                <w:szCs w:val="24"/>
                <w:lang w:bidi="ar"/>
              </w:rPr>
              <w:t>新安镇政府</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落舍镇卫生院</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雷甸镇政府</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德清县委党校</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w:t>
            </w:r>
            <w:r>
              <w:rPr>
                <w:rStyle w:val="69"/>
                <w:lang w:bidi="ar"/>
              </w:rPr>
              <w:t>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后坞村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上柏村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对河口村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r>
              <w:rPr>
                <w:rFonts w:ascii="方正仿宋_GBK" w:hAnsi="方正仿宋_GBK" w:eastAsia="方正仿宋_GBK" w:cs="方正仿宋_GBK"/>
                <w:color w:val="000000"/>
                <w:sz w:val="24"/>
                <w:szCs w:val="24"/>
              </w:rPr>
              <w:t>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FF0000"/>
                <w:sz w:val="24"/>
                <w:szCs w:val="24"/>
              </w:rPr>
            </w:pPr>
            <w:r>
              <w:rPr>
                <w:rFonts w:ascii="方正仿宋_GBK" w:hAnsi="方正仿宋_GBK" w:eastAsia="方正仿宋_GBK" w:cs="方正仿宋_GBK"/>
                <w:color w:val="000000"/>
                <w:kern w:val="0"/>
                <w:sz w:val="24"/>
                <w:szCs w:val="24"/>
                <w:lang w:bidi="ar"/>
              </w:rPr>
              <w:t>五四村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三桥村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01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联合村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新琪村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二都村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联星村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105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干山村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钟管镇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106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杨墩村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东衡村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下舍村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白彪村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韶村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三林村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禹越镇</w:t>
            </w:r>
          </w:p>
        </w:tc>
        <w:tc>
          <w:tcPr>
            <w:tcW w:w="101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新市木行拆迁安置小区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c>
          <w:tcPr>
            <w:tcW w:w="1017"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老旧小区</w:t>
            </w: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新市紫荆家园</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新市镇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textAlignment w:val="center"/>
              <w:rPr>
                <w:rFonts w:ascii="方正仿宋_GBK" w:hAnsi="方正仿宋_GBK" w:eastAsia="方正仿宋_GBK" w:cs="方正仿宋_GBK"/>
                <w:color w:val="000000"/>
                <w:kern w:val="0"/>
                <w:sz w:val="24"/>
                <w:szCs w:val="24"/>
                <w:lang w:bidi="ar"/>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宝塔山安置小区二期</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textAlignment w:val="center"/>
              <w:rPr>
                <w:rFonts w:ascii="方正仿宋_GBK" w:hAnsi="方正仿宋_GBK" w:eastAsia="方正仿宋_GBK" w:cs="方正仿宋_GBK"/>
                <w:color w:val="000000"/>
                <w:kern w:val="0"/>
                <w:sz w:val="24"/>
                <w:szCs w:val="24"/>
                <w:lang w:bidi="ar"/>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乾龙花园东南侧停车场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乾元镇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textAlignment w:val="center"/>
              <w:rPr>
                <w:rFonts w:ascii="方正仿宋_GBK" w:hAnsi="方正仿宋_GBK" w:eastAsia="方正仿宋_GBK" w:cs="方正仿宋_GBK"/>
                <w:color w:val="000000"/>
                <w:kern w:val="0"/>
                <w:sz w:val="24"/>
                <w:szCs w:val="24"/>
                <w:lang w:bidi="ar"/>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16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莫干山镇国有安置房项目</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textAlignment w:val="center"/>
              <w:rPr>
                <w:rFonts w:ascii="方正仿宋_GBK" w:hAnsi="方正仿宋_GBK" w:eastAsia="方正仿宋_GBK" w:cs="方正仿宋_GBK"/>
                <w:color w:val="000000"/>
                <w:kern w:val="0"/>
                <w:sz w:val="24"/>
                <w:szCs w:val="24"/>
                <w:lang w:bidi="ar"/>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17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德清中铁莫干山语城小区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textAlignment w:val="center"/>
              <w:rPr>
                <w:rFonts w:ascii="方正仿宋_GBK" w:hAnsi="方正仿宋_GBK" w:eastAsia="方正仿宋_GBK" w:cs="方正仿宋_GBK"/>
                <w:color w:val="000000"/>
                <w:kern w:val="0"/>
                <w:sz w:val="24"/>
                <w:szCs w:val="24"/>
                <w:lang w:bidi="ar"/>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18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民心小区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祥和一区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祥和二区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康乐小区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吉祥一区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吉祥二区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莫干新村</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群安一区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26</w:t>
            </w:r>
          </w:p>
        </w:tc>
        <w:tc>
          <w:tcPr>
            <w:tcW w:w="27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群安二区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27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东兴小区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28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余英小区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129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营盘小区</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31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FF0000"/>
                <w:sz w:val="24"/>
                <w:szCs w:val="24"/>
              </w:rPr>
            </w:pPr>
            <w:r>
              <w:rPr>
                <w:rFonts w:ascii="方正仿宋_GBK" w:hAnsi="方正仿宋_GBK" w:eastAsia="方正仿宋_GBK" w:cs="方正仿宋_GBK"/>
                <w:color w:val="000000"/>
                <w:kern w:val="0"/>
                <w:sz w:val="24"/>
                <w:szCs w:val="24"/>
                <w:lang w:bidi="ar"/>
              </w:rPr>
              <w:t>乾元车站1</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c>
          <w:tcPr>
            <w:tcW w:w="1017"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专用车辆</w:t>
            </w: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乾元车站2</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三合车站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34</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35</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禹越车站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禹越镇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36</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钟管车站2</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钟管镇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37</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38</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筏头车站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39</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莫干车站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40</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公交东站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41</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新市临时</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42</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城中首末</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r>
        <w:tblPrEx>
          <w:tblCellMar>
            <w:top w:w="0" w:type="dxa"/>
            <w:left w:w="0" w:type="dxa"/>
            <w:bottom w:w="0" w:type="dxa"/>
            <w:right w:w="0" w:type="dxa"/>
          </w:tblCellMar>
        </w:tblPrEx>
        <w:trPr>
          <w:trHeight w:val="285"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43</w:t>
            </w:r>
          </w:p>
        </w:tc>
        <w:tc>
          <w:tcPr>
            <w:tcW w:w="27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德清城乡智慧公交中心站</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武康街道</w:t>
            </w:r>
          </w:p>
        </w:tc>
        <w:tc>
          <w:tcPr>
            <w:tcW w:w="1017"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方正仿宋_GBK" w:hAnsi="方正仿宋_GBK" w:eastAsia="方正仿宋_GBK" w:cs="方正仿宋_GBK"/>
                <w:color w:val="000000"/>
                <w:sz w:val="24"/>
                <w:szCs w:val="24"/>
              </w:rPr>
            </w:pPr>
          </w:p>
        </w:tc>
      </w:tr>
    </w:tbl>
    <w:p>
      <w:pPr>
        <w:adjustRightInd w:val="0"/>
        <w:snapToGrid w:val="0"/>
        <w:spacing w:line="56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备注：表中站点为根据规划部门出让土地清单及各行业需求意向站点清单，根据实际进行建设和补充、调整。</w:t>
      </w:r>
    </w:p>
    <w:p>
      <w:pPr>
        <w:rPr>
          <w:rFonts w:ascii="方正仿宋_GBK" w:hAnsi="方正仿宋_GBK" w:eastAsia="方正仿宋_GBK" w:cs="方正仿宋_GBK"/>
          <w:b/>
          <w:bCs/>
          <w:sz w:val="32"/>
          <w:szCs w:val="32"/>
        </w:rPr>
      </w:pPr>
    </w:p>
    <w:p>
      <w:pPr>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br w:type="page"/>
      </w:r>
    </w:p>
    <w:p>
      <w:pPr>
        <w:adjustRightInd w:val="0"/>
        <w:snapToGrid w:val="0"/>
        <w:spacing w:line="560" w:lineRule="exact"/>
        <w:outlineLvl w:val="0"/>
        <w:rPr>
          <w:rFonts w:ascii="方正仿宋_GBK" w:hAnsi="方正仿宋_GBK" w:eastAsia="方正仿宋_GBK" w:cs="方正仿宋_GBK"/>
          <w:b/>
          <w:bCs/>
          <w:sz w:val="32"/>
          <w:szCs w:val="32"/>
        </w:rPr>
      </w:pPr>
      <w:bookmarkStart w:id="238" w:name="_Toc17175"/>
      <w:r>
        <w:rPr>
          <w:rFonts w:hint="eastAsia" w:ascii="方正仿宋_GBK" w:hAnsi="方正仿宋_GBK" w:eastAsia="方正仿宋_GBK" w:cs="方正仿宋_GBK"/>
          <w:b/>
          <w:bCs/>
          <w:sz w:val="32"/>
          <w:szCs w:val="32"/>
        </w:rPr>
        <w:t>附录3德清县规划充电站汇总表（按乡村排序）</w:t>
      </w:r>
      <w:bookmarkEnd w:id="238"/>
    </w:p>
    <w:tbl>
      <w:tblPr>
        <w:tblStyle w:val="26"/>
        <w:tblW w:w="4998" w:type="pct"/>
        <w:tblInd w:w="0" w:type="dxa"/>
        <w:tblLayout w:type="autofit"/>
        <w:tblCellMar>
          <w:top w:w="0" w:type="dxa"/>
          <w:left w:w="0" w:type="dxa"/>
          <w:bottom w:w="0" w:type="dxa"/>
          <w:right w:w="0" w:type="dxa"/>
        </w:tblCellMar>
      </w:tblPr>
      <w:tblGrid>
        <w:gridCol w:w="819"/>
        <w:gridCol w:w="5228"/>
        <w:gridCol w:w="2289"/>
      </w:tblGrid>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站编号</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站址名称</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b/>
                <w:color w:val="000000"/>
                <w:sz w:val="24"/>
                <w:szCs w:val="24"/>
              </w:rPr>
            </w:pPr>
            <w:r>
              <w:rPr>
                <w:rFonts w:ascii="方正仿宋_GBK" w:hAnsi="方正仿宋_GBK" w:eastAsia="方正仿宋_GBK" w:cs="方正仿宋_GBK"/>
                <w:b/>
                <w:color w:val="000000"/>
                <w:kern w:val="0"/>
                <w:sz w:val="24"/>
                <w:szCs w:val="24"/>
                <w:lang w:bidi="ar"/>
              </w:rPr>
              <w:t>所属区域</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干山村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钟管镇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钟管车站2</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钟管镇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kern w:val="0"/>
                <w:sz w:val="22"/>
              </w:rPr>
            </w:pPr>
            <w:r>
              <w:rPr>
                <w:rFonts w:hint="eastAsia" w:ascii="方正仿宋_GBK" w:hAnsi="方正仿宋_GBK" w:eastAsia="方正仿宋_GBK" w:cs="方正仿宋_GBK"/>
                <w:kern w:val="0"/>
                <w:sz w:val="24"/>
                <w:szCs w:val="24"/>
                <w:lang w:bidi="ar"/>
              </w:rPr>
              <w:t>钟管兴华酒店</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钟管镇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三林村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禹越镇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禹越车站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禹越镇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杭州二绕高速莫干山服务区（东区）充电站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禹越镇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杭州二绕高速莫干山服务区（西区）充电站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禹越镇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新市镇华盛达广场停车场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德清县经开区产业园停车场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新市古镇游客中心停车场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bidi="ar"/>
              </w:rPr>
              <w:t>新市三中</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新市汽车站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白彪村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韶村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新市临时</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新市文体中心</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新市洲际假日酒店</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新市木行拆迁安置小区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新市紫荆家园</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新市镇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新安围巾市场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新安镇政府</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31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落舍镇卫生院</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下舍村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下舍场站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新安镇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26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仁和北站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下渚湖街道办事处</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上渚山奇幻谷P1停车场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29</w:t>
            </w:r>
          </w:p>
        </w:tc>
        <w:tc>
          <w:tcPr>
            <w:tcW w:w="3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上渚山奇幻谷P3停车场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kern w:val="0"/>
                <w:sz w:val="24"/>
                <w:szCs w:val="24"/>
                <w:lang w:bidi="ar"/>
              </w:rPr>
              <w:t>30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二都村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三合车站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宝塔山安置小区二期</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3</w:t>
            </w:r>
            <w:r>
              <w:rPr>
                <w:rFonts w:ascii="方正仿宋_GBK" w:hAnsi="方正仿宋_GBK" w:eastAsia="方正仿宋_GBK" w:cs="方正仿宋_GBK"/>
                <w:color w:val="000000"/>
                <w:kern w:val="0"/>
                <w:sz w:val="24"/>
                <w:szCs w:val="24"/>
                <w:lang w:bidi="ar"/>
              </w:rPr>
              <w:t>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下渚湖桔子酒店项目</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八字桥站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35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下渚湖站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下渚湖街道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浙江广播电视大学德清学院</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德清农贸城</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上柏村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39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公交东站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40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双燕村104公路服务站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舞阳街道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41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kern w:val="0"/>
                <w:sz w:val="22"/>
              </w:rPr>
            </w:pPr>
            <w:r>
              <w:rPr>
                <w:rFonts w:hint="eastAsia" w:ascii="方正仿宋_GBK" w:hAnsi="方正仿宋_GBK" w:eastAsia="方正仿宋_GBK" w:cs="方正仿宋_GBK"/>
                <w:kern w:val="0"/>
                <w:sz w:val="24"/>
                <w:szCs w:val="24"/>
                <w:lang w:bidi="ar"/>
              </w:rPr>
              <w:t>凯悦嘉轩停车场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德清县职业中学专业学校</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43</w:t>
            </w:r>
          </w:p>
        </w:tc>
        <w:tc>
          <w:tcPr>
            <w:tcW w:w="31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县人民医院</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德清县图书馆</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德清县人民政府</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bidi="ar"/>
              </w:rPr>
              <w:t>国贸酒店西面</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城西体育馆</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1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奥体中心地铁站停车场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49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春晖公园地铁站停车场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正翔商业广场停车场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德清佳得利商贸城停车场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德清卢球商贸中心停车场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德清汽车城</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德清县开发区产业园停车场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原汽车总站地块商业综合体</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城西公园绿地</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春晖公园</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英溪公园</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59</w:t>
            </w:r>
          </w:p>
        </w:tc>
        <w:tc>
          <w:tcPr>
            <w:tcW w:w="3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bidi="ar"/>
              </w:rPr>
              <w:t>体育中心</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60</w:t>
            </w:r>
          </w:p>
        </w:tc>
        <w:tc>
          <w:tcPr>
            <w:tcW w:w="3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皇冠假日大酒店</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对河口村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31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民心小区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祥和一区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祥和二区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康乐小区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吉祥一区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吉祥二区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莫干新村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69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群安一区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70</w:t>
            </w:r>
          </w:p>
        </w:tc>
        <w:tc>
          <w:tcPr>
            <w:tcW w:w="3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群安二区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东兴小区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余英小区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营盘小区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bidi="ar"/>
              </w:rPr>
              <w:t>火车西站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75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ascii="方正仿宋_GBK" w:hAnsi="方正仿宋_GBK" w:eastAsia="方正仿宋_GBK" w:cs="方正仿宋_GBK"/>
                <w:kern w:val="0"/>
                <w:sz w:val="24"/>
                <w:szCs w:val="24"/>
                <w:lang w:bidi="ar"/>
              </w:rPr>
              <w:t>城中首末</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B0F0"/>
                <w:kern w:val="0"/>
                <w:sz w:val="24"/>
                <w:szCs w:val="24"/>
                <w:lang w:bidi="ar"/>
              </w:rPr>
            </w:pPr>
            <w:r>
              <w:rPr>
                <w:rFonts w:ascii="方正仿宋_GBK" w:hAnsi="方正仿宋_GBK" w:eastAsia="方正仿宋_GBK" w:cs="方正仿宋_GBK"/>
                <w:color w:val="000000"/>
                <w:kern w:val="0"/>
                <w:sz w:val="24"/>
                <w:szCs w:val="24"/>
                <w:lang w:bidi="ar"/>
              </w:rPr>
              <w:t>76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武康派出所西停车场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B0F0"/>
                <w:kern w:val="0"/>
                <w:sz w:val="24"/>
                <w:szCs w:val="24"/>
                <w:lang w:bidi="ar"/>
              </w:rPr>
            </w:pPr>
            <w:r>
              <w:rPr>
                <w:rFonts w:ascii="方正仿宋_GBK" w:hAnsi="方正仿宋_GBK" w:eastAsia="方正仿宋_GBK" w:cs="方正仿宋_GBK"/>
                <w:color w:val="000000"/>
                <w:kern w:val="0"/>
                <w:sz w:val="24"/>
                <w:szCs w:val="24"/>
                <w:lang w:bidi="ar"/>
              </w:rPr>
              <w:t>77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kern w:val="0"/>
                <w:sz w:val="22"/>
              </w:rPr>
            </w:pPr>
            <w:r>
              <w:rPr>
                <w:rFonts w:hint="eastAsia" w:ascii="方正仿宋_GBK" w:hAnsi="方正仿宋_GBK" w:eastAsia="方正仿宋_GBK" w:cs="方正仿宋_GBK"/>
                <w:kern w:val="0"/>
                <w:sz w:val="24"/>
                <w:szCs w:val="24"/>
                <w:lang w:bidi="ar"/>
              </w:rPr>
              <w:t>德蓝广场东北侧停车场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B0F0"/>
                <w:kern w:val="0"/>
                <w:sz w:val="24"/>
                <w:szCs w:val="24"/>
                <w:lang w:bidi="ar"/>
              </w:rPr>
            </w:pPr>
            <w:r>
              <w:rPr>
                <w:rFonts w:ascii="方正仿宋_GBK" w:hAnsi="方正仿宋_GBK" w:eastAsia="方正仿宋_GBK" w:cs="方正仿宋_GBK"/>
                <w:color w:val="000000"/>
                <w:kern w:val="0"/>
                <w:sz w:val="24"/>
                <w:szCs w:val="24"/>
                <w:lang w:bidi="ar"/>
              </w:rPr>
              <w:t>78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曼城南侧停车场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B0F0"/>
                <w:kern w:val="0"/>
                <w:sz w:val="24"/>
                <w:szCs w:val="24"/>
                <w:lang w:bidi="ar"/>
              </w:rPr>
            </w:pPr>
            <w:r>
              <w:rPr>
                <w:rFonts w:ascii="方正仿宋_GBK" w:hAnsi="方正仿宋_GBK" w:eastAsia="方正仿宋_GBK" w:cs="方正仿宋_GBK"/>
                <w:color w:val="000000"/>
                <w:kern w:val="0"/>
                <w:sz w:val="24"/>
                <w:szCs w:val="24"/>
                <w:lang w:bidi="ar"/>
              </w:rPr>
              <w:t>79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德蓝君庭酒店充电站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B0F0"/>
                <w:kern w:val="0"/>
                <w:sz w:val="24"/>
                <w:szCs w:val="24"/>
                <w:lang w:bidi="ar"/>
              </w:rPr>
            </w:pPr>
            <w:r>
              <w:rPr>
                <w:rFonts w:ascii="方正仿宋_GBK" w:hAnsi="方正仿宋_GBK" w:eastAsia="方正仿宋_GBK" w:cs="方正仿宋_GBK"/>
                <w:color w:val="000000"/>
                <w:kern w:val="0"/>
                <w:sz w:val="24"/>
                <w:szCs w:val="24"/>
                <w:lang w:bidi="ar"/>
              </w:rPr>
              <w:t>80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kern w:val="0"/>
                <w:sz w:val="22"/>
              </w:rPr>
            </w:pPr>
            <w:r>
              <w:rPr>
                <w:rFonts w:hint="eastAsia" w:ascii="方正仿宋_GBK" w:hAnsi="方正仿宋_GBK" w:eastAsia="方正仿宋_GBK" w:cs="方正仿宋_GBK"/>
                <w:kern w:val="0"/>
                <w:sz w:val="24"/>
                <w:szCs w:val="24"/>
                <w:lang w:bidi="ar"/>
              </w:rPr>
              <w:t>诺富特酒店充电站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81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color w:val="000000"/>
                <w:kern w:val="0"/>
                <w:sz w:val="24"/>
                <w:szCs w:val="24"/>
                <w:lang w:bidi="ar"/>
              </w:rPr>
              <w:t>德清城乡智慧公交中心站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82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kern w:val="0"/>
                <w:sz w:val="24"/>
                <w:szCs w:val="24"/>
                <w:lang w:bidi="ar"/>
              </w:rPr>
              <w:t>千秋广场站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武康街道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德清县委党校</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联合村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联星村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乾元车站1</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87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乾元车站2</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88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09省道桥下停车场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89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乾龙花园东南侧停车场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乾元镇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莫干山国际旅游度假区莫干山集镇</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91</w:t>
            </w:r>
          </w:p>
        </w:tc>
        <w:tc>
          <w:tcPr>
            <w:tcW w:w="3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裸心堡停车场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92</w:t>
            </w:r>
          </w:p>
        </w:tc>
        <w:tc>
          <w:tcPr>
            <w:tcW w:w="31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裸心谷停车场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仙潭村景区停车场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莫干山筏头景区停车场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莫干山郡安里度假区停车场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莫干山镇政府</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31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lang w:bidi="ar"/>
              </w:rPr>
              <w:t>莫干3</w:t>
            </w:r>
            <w:r>
              <w:rPr>
                <w:rFonts w:ascii="方正仿宋_GBK" w:hAnsi="方正仿宋_GBK" w:eastAsia="方正仿宋_GBK" w:cs="方正仿宋_GBK"/>
                <w:kern w:val="0"/>
                <w:sz w:val="24"/>
                <w:szCs w:val="24"/>
                <w:lang w:bidi="ar"/>
              </w:rPr>
              <w:t>04</w:t>
            </w:r>
            <w:r>
              <w:rPr>
                <w:rFonts w:hint="eastAsia" w:ascii="方正仿宋_GBK" w:hAnsi="方正仿宋_GBK" w:eastAsia="方正仿宋_GBK" w:cs="方正仿宋_GBK"/>
                <w:kern w:val="0"/>
                <w:sz w:val="24"/>
                <w:szCs w:val="24"/>
                <w:lang w:bidi="ar"/>
              </w:rPr>
              <w:t>公路服务站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后坞村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99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筏头车站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100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01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雷迪森</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裸心生态村项目停车场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阜溪水街项目停车场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莫干山镇国有安置房项目</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105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莫干黄芽·习茶所项目</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106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莫干山庾村广场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莫干山人民政府</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德清中铁莫干山语城小区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莫干山镇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09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洛舍木皮市场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东衡村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洛舍镇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雷甸镇政府</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杨墩村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雷甸车站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15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水产社区停车场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16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雷甸镇白云北路旁停车场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17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kern w:val="0"/>
                <w:sz w:val="22"/>
              </w:rPr>
            </w:pPr>
            <w:r>
              <w:rPr>
                <w:rFonts w:hint="eastAsia" w:ascii="方正仿宋_GBK" w:hAnsi="方正仿宋_GBK" w:eastAsia="方正仿宋_GBK" w:cs="方正仿宋_GBK"/>
                <w:kern w:val="0"/>
                <w:sz w:val="24"/>
                <w:szCs w:val="24"/>
                <w:lang w:bidi="ar"/>
              </w:rPr>
              <w:t>雷甸璟澜府停车场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雷甸镇</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18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德清县中医院（新建）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119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浙江省儿保德清院区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31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20</w:t>
            </w:r>
          </w:p>
        </w:tc>
        <w:tc>
          <w:tcPr>
            <w:tcW w:w="31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浙工大附中（德清县高级中学）</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康乾街道办事处</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新琪村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德清大道以南明月星城以北(4S店区域）</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高铁站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25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智能生态城地面停车场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康乾街道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26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高新区地信广场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27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科技新城地铁站停车场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r>
              <w:rPr>
                <w:rFonts w:ascii="方正仿宋_GBK" w:hAnsi="方正仿宋_GBK" w:eastAsia="方正仿宋_GBK" w:cs="方正仿宋_GBK"/>
                <w:color w:val="000000"/>
                <w:sz w:val="24"/>
                <w:szCs w:val="24"/>
              </w:rPr>
              <w:t>28</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德清国际会议中心停车场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129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德清县科技创业园三区停车场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欧诗漫珍珠生物产业园</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城南杭州银泰</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通航产业大楼地下停车场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芯片大楼地面停车场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34</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中创科技园地面停车场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35</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旗杆广场地面停车场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36</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ascii="方正仿宋_GBK" w:hAnsi="方正仿宋_GBK" w:eastAsia="方正仿宋_GBK" w:cs="方正仿宋_GBK"/>
                <w:kern w:val="0"/>
                <w:sz w:val="24"/>
                <w:szCs w:val="24"/>
                <w:lang w:bidi="ar"/>
              </w:rPr>
              <w:t>云创科技大楼地面停车场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37</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方正仿宋_GBK" w:hAnsi="方正仿宋_GBK" w:eastAsia="方正仿宋_GBK" w:cs="方正仿宋_GBK"/>
                <w:kern w:val="0"/>
                <w:sz w:val="24"/>
                <w:szCs w:val="24"/>
                <w:lang w:bidi="ar"/>
              </w:rPr>
            </w:pPr>
            <w:r>
              <w:rPr>
                <w:rFonts w:hint="eastAsia" w:ascii="方正仿宋_GBK" w:hAnsi="方正仿宋_GBK" w:eastAsia="方正仿宋_GBK" w:cs="方正仿宋_GBK"/>
                <w:kern w:val="0"/>
                <w:sz w:val="24"/>
                <w:szCs w:val="24"/>
                <w:lang w:bidi="ar"/>
              </w:rPr>
              <w:t>莫干山高新区站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高新区</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38</w:t>
            </w:r>
          </w:p>
        </w:tc>
        <w:tc>
          <w:tcPr>
            <w:tcW w:w="313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阜溪街道办事处</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39</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龙山湖国际高尔夫俱乐部停车场</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40</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五四村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41</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三桥村</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24"/>
                <w:szCs w:val="24"/>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42</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hint="eastAsia" w:ascii="方正仿宋_GBK" w:hAnsi="方正仿宋_GBK" w:eastAsia="宋体" w:cs="宋体"/>
                <w:kern w:val="0"/>
                <w:sz w:val="24"/>
                <w:szCs w:val="24"/>
              </w:rPr>
            </w:pPr>
            <w:r>
              <w:rPr>
                <w:rFonts w:ascii="方正仿宋_GBK" w:hAnsi="方正仿宋_GBK" w:eastAsia="方正仿宋_GBK" w:cs="方正仿宋_GBK"/>
                <w:kern w:val="0"/>
                <w:sz w:val="24"/>
                <w:szCs w:val="24"/>
                <w:lang w:bidi="ar"/>
              </w:rPr>
              <w:t>德清县“源文化”项目</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阜溪街道</w:t>
            </w:r>
          </w:p>
        </w:tc>
      </w:tr>
      <w:tr>
        <w:tblPrEx>
          <w:tblCellMar>
            <w:top w:w="0" w:type="dxa"/>
            <w:left w:w="0" w:type="dxa"/>
            <w:bottom w:w="0" w:type="dxa"/>
            <w:right w:w="0" w:type="dxa"/>
          </w:tblCellMar>
        </w:tblPrEx>
        <w:trPr>
          <w:trHeight w:val="285"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hint="eastAsia" w:ascii="方正仿宋_GBK" w:hAnsi="方正仿宋_GBK" w:eastAsia="方正仿宋_GBK" w:cs="方正仿宋_GBK"/>
                <w:color w:val="000000"/>
                <w:kern w:val="0"/>
                <w:sz w:val="24"/>
                <w:szCs w:val="24"/>
                <w:lang w:bidi="ar"/>
              </w:rPr>
              <w:t>1</w:t>
            </w:r>
            <w:r>
              <w:rPr>
                <w:rFonts w:ascii="方正仿宋_GBK" w:hAnsi="方正仿宋_GBK" w:eastAsia="方正仿宋_GBK" w:cs="方正仿宋_GBK"/>
                <w:color w:val="000000"/>
                <w:kern w:val="0"/>
                <w:sz w:val="24"/>
                <w:szCs w:val="24"/>
                <w:lang w:bidi="ar"/>
              </w:rPr>
              <w:t>43</w:t>
            </w:r>
          </w:p>
        </w:tc>
        <w:tc>
          <w:tcPr>
            <w:tcW w:w="31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kern w:val="0"/>
                <w:sz w:val="22"/>
              </w:rPr>
            </w:pPr>
            <w:r>
              <w:rPr>
                <w:rFonts w:hint="eastAsia" w:ascii="方正仿宋_GBK" w:hAnsi="方正仿宋_GBK" w:eastAsia="方正仿宋_GBK" w:cs="方正仿宋_GBK"/>
                <w:kern w:val="0"/>
                <w:sz w:val="24"/>
                <w:szCs w:val="24"/>
                <w:lang w:bidi="ar"/>
              </w:rPr>
              <w:t>双山路城市公共充电站</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kern w:val="0"/>
                <w:sz w:val="24"/>
                <w:szCs w:val="24"/>
                <w:lang w:bidi="ar"/>
              </w:rPr>
            </w:pPr>
            <w:r>
              <w:rPr>
                <w:rFonts w:ascii="方正仿宋_GBK" w:hAnsi="方正仿宋_GBK" w:eastAsia="方正仿宋_GBK" w:cs="方正仿宋_GBK"/>
                <w:color w:val="000000"/>
                <w:kern w:val="0"/>
                <w:sz w:val="24"/>
                <w:szCs w:val="24"/>
                <w:lang w:bidi="ar"/>
              </w:rPr>
              <w:t>阜溪街道</w:t>
            </w:r>
          </w:p>
        </w:tc>
      </w:tr>
    </w:tbl>
    <w:p>
      <w:pPr>
        <w:pStyle w:val="2"/>
        <w:sectPr>
          <w:pgSz w:w="11909" w:h="16834"/>
          <w:pgMar w:top="1440" w:right="1800" w:bottom="1440" w:left="1800" w:header="850" w:footer="994" w:gutter="0"/>
          <w:cols w:space="425" w:num="1"/>
          <w:docGrid w:linePitch="408" w:charSpace="0"/>
        </w:sectPr>
      </w:pPr>
    </w:p>
    <w:p>
      <w:pPr>
        <w:adjustRightInd w:val="0"/>
        <w:snapToGrid w:val="0"/>
        <w:outlineLvl w:val="0"/>
        <w:rPr>
          <w:rFonts w:ascii="方正仿宋_GBK" w:hAnsi="方正仿宋_GBK" w:eastAsia="方正仿宋_GBK" w:cs="方正仿宋_GBK"/>
          <w:b/>
          <w:bCs/>
          <w:sz w:val="32"/>
          <w:szCs w:val="32"/>
        </w:rPr>
      </w:pPr>
      <w:bookmarkStart w:id="239" w:name="_Toc18314"/>
      <w:bookmarkStart w:id="240" w:name="_Toc18424"/>
      <w:r>
        <w:rPr>
          <w:rFonts w:hint="eastAsia" w:ascii="方正仿宋_GBK" w:hAnsi="方正仿宋_GBK" w:eastAsia="方正仿宋_GBK" w:cs="方正仿宋_GBK"/>
          <w:b/>
          <w:bCs/>
          <w:sz w:val="32"/>
          <w:szCs w:val="32"/>
        </w:rPr>
        <w:t>附录4德清县城区现状充电站</w:t>
      </w:r>
      <w:bookmarkEnd w:id="239"/>
      <w:r>
        <w:rPr>
          <w:rFonts w:hint="eastAsia" w:ascii="方正仿宋_GBK" w:hAnsi="方正仿宋_GBK" w:eastAsia="方正仿宋_GBK" w:cs="方正仿宋_GBK"/>
          <w:b/>
          <w:bCs/>
          <w:sz w:val="32"/>
          <w:szCs w:val="32"/>
        </w:rPr>
        <w:t>布点</w:t>
      </w:r>
      <w:bookmarkEnd w:id="240"/>
    </w:p>
    <w:p>
      <w:pPr>
        <w:adjustRightInd w:val="0"/>
        <w:snapToGrid w:val="0"/>
        <w:jc w:val="left"/>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drawing>
          <wp:inline distT="0" distB="0" distL="114300" distR="114300">
            <wp:extent cx="8863965" cy="4565650"/>
            <wp:effectExtent l="0" t="0" r="13335" b="6350"/>
            <wp:docPr id="4" name="图片 4" descr="现有城区09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有城区0930 (1)"/>
                    <pic:cNvPicPr>
                      <a:picLocks noChangeAspect="1"/>
                    </pic:cNvPicPr>
                  </pic:nvPicPr>
                  <pic:blipFill>
                    <a:blip r:embed="rId10" cstate="print"/>
                    <a:stretch>
                      <a:fillRect/>
                    </a:stretch>
                  </pic:blipFill>
                  <pic:spPr>
                    <a:xfrm>
                      <a:off x="0" y="0"/>
                      <a:ext cx="8863965" cy="4565650"/>
                    </a:xfrm>
                    <a:prstGeom prst="rect">
                      <a:avLst/>
                    </a:prstGeom>
                  </pic:spPr>
                </pic:pic>
              </a:graphicData>
            </a:graphic>
          </wp:inline>
        </w:drawing>
      </w:r>
    </w:p>
    <w:p>
      <w:pPr>
        <w:pStyle w:val="2"/>
        <w:numPr>
          <w:ilvl w:val="255"/>
          <w:numId w:val="0"/>
        </w:numPr>
        <w:spacing w:before="0" w:after="0" w:line="240" w:lineRule="auto"/>
        <w:jc w:val="left"/>
        <w:rPr>
          <w:rFonts w:ascii="方正仿宋_GBK" w:hAnsi="方正仿宋_GBK" w:eastAsia="方正仿宋_GBK" w:cs="方正仿宋_GBK"/>
          <w:kern w:val="2"/>
          <w:szCs w:val="32"/>
        </w:rPr>
      </w:pPr>
      <w:r>
        <w:rPr>
          <w:rFonts w:hint="eastAsia" w:ascii="方正仿宋_GBK" w:hAnsi="方正仿宋_GBK" w:eastAsia="方正仿宋_GBK" w:cs="方正仿宋_GBK"/>
          <w:szCs w:val="32"/>
        </w:rPr>
        <w:br w:type="page"/>
      </w:r>
      <w:bookmarkStart w:id="241" w:name="_Toc2192"/>
      <w:bookmarkStart w:id="242" w:name="_Toc17446"/>
      <w:r>
        <w:rPr>
          <w:rFonts w:hint="eastAsia" w:ascii="方正仿宋_GBK" w:hAnsi="方正仿宋_GBK" w:eastAsia="方正仿宋_GBK" w:cs="方正仿宋_GBK"/>
          <w:kern w:val="2"/>
          <w:szCs w:val="32"/>
        </w:rPr>
        <w:t>附录5德清县乡村现状充电站布点</w:t>
      </w:r>
      <w:bookmarkEnd w:id="241"/>
    </w:p>
    <w:p>
      <w:r>
        <w:rPr>
          <w:rFonts w:hint="eastAsia"/>
        </w:rPr>
        <w:drawing>
          <wp:inline distT="0" distB="0" distL="114300" distR="114300">
            <wp:extent cx="8552815" cy="4914900"/>
            <wp:effectExtent l="0" t="0" r="635" b="0"/>
            <wp:docPr id="7" name="图片 7" descr="现有0930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现有0930改"/>
                    <pic:cNvPicPr>
                      <a:picLocks noChangeAspect="1"/>
                    </pic:cNvPicPr>
                  </pic:nvPicPr>
                  <pic:blipFill>
                    <a:blip r:embed="rId11" cstate="print"/>
                    <a:stretch>
                      <a:fillRect/>
                    </a:stretch>
                  </pic:blipFill>
                  <pic:spPr>
                    <a:xfrm>
                      <a:off x="0" y="0"/>
                      <a:ext cx="8552815" cy="4914900"/>
                    </a:xfrm>
                    <a:prstGeom prst="rect">
                      <a:avLst/>
                    </a:prstGeom>
                  </pic:spPr>
                </pic:pic>
              </a:graphicData>
            </a:graphic>
          </wp:inline>
        </w:drawing>
      </w:r>
    </w:p>
    <w:p>
      <w:pPr>
        <w:outlineLvl w:val="0"/>
        <w:rPr>
          <w:rFonts w:ascii="方正仿宋_GBK" w:hAnsi="方正仿宋_GBK" w:eastAsia="方正仿宋_GBK" w:cs="方正仿宋_GBK"/>
          <w:b/>
          <w:bCs/>
          <w:sz w:val="32"/>
          <w:szCs w:val="32"/>
        </w:rPr>
      </w:pPr>
      <w:bookmarkStart w:id="243" w:name="_Toc32645"/>
      <w:r>
        <w:rPr>
          <w:rFonts w:hint="eastAsia" w:ascii="方正仿宋_GBK" w:hAnsi="方正仿宋_GBK" w:eastAsia="方正仿宋_GBK" w:cs="方正仿宋_GBK"/>
          <w:b/>
          <w:bCs/>
          <w:sz w:val="32"/>
          <w:szCs w:val="32"/>
        </w:rPr>
        <w:t>附录6德清县主城区规划充电站</w:t>
      </w:r>
      <w:bookmarkEnd w:id="242"/>
      <w:r>
        <w:rPr>
          <w:rFonts w:hint="eastAsia" w:ascii="方正仿宋_GBK" w:hAnsi="方正仿宋_GBK" w:eastAsia="方正仿宋_GBK" w:cs="方正仿宋_GBK"/>
          <w:b/>
          <w:bCs/>
          <w:sz w:val="32"/>
          <w:szCs w:val="32"/>
        </w:rPr>
        <w:t>布点</w:t>
      </w:r>
      <w:bookmarkEnd w:id="243"/>
      <w:bookmarkStart w:id="244" w:name="_Toc26006"/>
    </w:p>
    <w:p>
      <w:pPr>
        <w:keepNext w:val="0"/>
        <w:keepLines w:val="0"/>
        <w:pageBreakBefore w:val="0"/>
        <w:widowControl w:val="0"/>
        <w:kinsoku/>
        <w:wordWrap/>
        <w:overflowPunct/>
        <w:topLinePunct w:val="0"/>
        <w:autoSpaceDE/>
        <w:autoSpaceDN/>
        <w:bidi w:val="0"/>
        <w:adjustRightInd/>
        <w:snapToGrid/>
        <w:textAlignment w:val="auto"/>
        <w:outlineLvl w:val="9"/>
        <w:rPr>
          <w:rFonts w:eastAsia="方正仿宋_GBK"/>
        </w:rPr>
        <w:sectPr>
          <w:pgSz w:w="16834" w:h="11909" w:orient="landscape"/>
          <w:pgMar w:top="1800" w:right="1440" w:bottom="1800" w:left="1440" w:header="850" w:footer="994" w:gutter="0"/>
          <w:cols w:space="425" w:num="1"/>
          <w:docGrid w:linePitch="408" w:charSpace="0"/>
        </w:sectPr>
      </w:pPr>
      <w:bookmarkStart w:id="245" w:name="_Toc11354"/>
      <w:bookmarkStart w:id="246" w:name="_Toc20523"/>
      <w:r>
        <w:rPr>
          <w:rFonts w:hint="eastAsia" w:eastAsia="方正仿宋_GBK"/>
        </w:rPr>
        <w:drawing>
          <wp:inline distT="0" distB="0" distL="114300" distR="114300">
            <wp:extent cx="8550910" cy="4777740"/>
            <wp:effectExtent l="0" t="0" r="2540" b="3810"/>
            <wp:docPr id="8" name="图片 8" descr="规划城区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规划城区0930"/>
                    <pic:cNvPicPr>
                      <a:picLocks noChangeAspect="1"/>
                    </pic:cNvPicPr>
                  </pic:nvPicPr>
                  <pic:blipFill>
                    <a:blip r:embed="rId12" cstate="print"/>
                    <a:stretch>
                      <a:fillRect/>
                    </a:stretch>
                  </pic:blipFill>
                  <pic:spPr>
                    <a:xfrm>
                      <a:off x="0" y="0"/>
                      <a:ext cx="8550910" cy="4777740"/>
                    </a:xfrm>
                    <a:prstGeom prst="rect">
                      <a:avLst/>
                    </a:prstGeom>
                  </pic:spPr>
                </pic:pic>
              </a:graphicData>
            </a:graphic>
          </wp:inline>
        </w:drawing>
      </w:r>
      <w:bookmarkEnd w:id="245"/>
      <w:bookmarkEnd w:id="246"/>
    </w:p>
    <w:p>
      <w:pPr>
        <w:keepNext/>
        <w:keepLines/>
        <w:pageBreakBefore w:val="0"/>
        <w:widowControl w:val="0"/>
        <w:numPr>
          <w:ilvl w:val="255"/>
          <w:numId w:val="0"/>
        </w:numPr>
        <w:kinsoku/>
        <w:wordWrap/>
        <w:overflowPunct/>
        <w:topLinePunct w:val="0"/>
        <w:autoSpaceDE/>
        <w:autoSpaceDN/>
        <w:bidi w:val="0"/>
        <w:adjustRightInd/>
        <w:snapToGrid/>
        <w:spacing w:before="0" w:after="0" w:line="240" w:lineRule="auto"/>
        <w:jc w:val="left"/>
        <w:textAlignment w:val="auto"/>
        <w:outlineLvl w:val="0"/>
        <w:rPr>
          <w:rFonts w:hint="eastAsia" w:ascii="方正仿宋_GBK" w:hAnsi="方正仿宋_GBK" w:eastAsia="方正仿宋_GBK" w:cs="方正仿宋_GBK"/>
          <w:b/>
          <w:bCs/>
          <w:sz w:val="32"/>
          <w:szCs w:val="32"/>
        </w:rPr>
      </w:pPr>
      <w:bookmarkStart w:id="247" w:name="_Toc31979"/>
      <w:r>
        <w:rPr>
          <w:rFonts w:hint="eastAsia" w:ascii="方正仿宋_GBK" w:hAnsi="方正仿宋_GBK" w:eastAsia="方正仿宋_GBK" w:cs="方正仿宋_GBK"/>
          <w:b/>
          <w:bCs/>
          <w:sz w:val="32"/>
          <w:szCs w:val="32"/>
        </w:rPr>
        <w:t>附录7德清县乡村规划充电站</w:t>
      </w:r>
      <w:bookmarkEnd w:id="244"/>
      <w:r>
        <w:rPr>
          <w:rFonts w:hint="eastAsia" w:ascii="方正仿宋_GBK" w:hAnsi="方正仿宋_GBK" w:eastAsia="方正仿宋_GBK" w:cs="方正仿宋_GBK"/>
          <w:b/>
          <w:bCs/>
          <w:sz w:val="32"/>
          <w:szCs w:val="32"/>
        </w:rPr>
        <w:t>布点</w:t>
      </w:r>
    </w:p>
    <w:p>
      <w:pPr>
        <w:keepNext/>
        <w:keepLines/>
        <w:pageBreakBefore w:val="0"/>
        <w:widowControl w:val="0"/>
        <w:numPr>
          <w:ilvl w:val="255"/>
          <w:numId w:val="0"/>
        </w:numPr>
        <w:kinsoku/>
        <w:wordWrap/>
        <w:overflowPunct/>
        <w:topLinePunct w:val="0"/>
        <w:autoSpaceDE/>
        <w:autoSpaceDN/>
        <w:bidi w:val="0"/>
        <w:adjustRightInd/>
        <w:snapToGrid/>
        <w:spacing w:before="0" w:after="0" w:line="240" w:lineRule="auto"/>
        <w:jc w:val="left"/>
        <w:textAlignment w:val="auto"/>
        <w:outlineLvl w:val="9"/>
        <w:rPr>
          <w:rFonts w:ascii="方正仿宋_GBK" w:hAnsi="方正仿宋_GBK" w:eastAsia="方正仿宋_GBK" w:cs="方正仿宋_GBK"/>
          <w:kern w:val="2"/>
          <w:szCs w:val="32"/>
        </w:rPr>
      </w:pPr>
      <w:r>
        <w:rPr>
          <w:rFonts w:hint="eastAsia" w:ascii="方正仿宋_GBK" w:hAnsi="方正仿宋_GBK" w:eastAsia="方正仿宋_GBK" w:cs="方正仿宋_GBK"/>
          <w:kern w:val="2"/>
          <w:szCs w:val="32"/>
        </w:rPr>
        <w:drawing>
          <wp:inline distT="0" distB="0" distL="114300" distR="114300">
            <wp:extent cx="8630285" cy="4597400"/>
            <wp:effectExtent l="0" t="0" r="18415" b="12700"/>
            <wp:docPr id="9" name="图片 9" descr="规划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规划0930"/>
                    <pic:cNvPicPr>
                      <a:picLocks noChangeAspect="1"/>
                    </pic:cNvPicPr>
                  </pic:nvPicPr>
                  <pic:blipFill>
                    <a:blip r:embed="rId13" cstate="print"/>
                    <a:stretch>
                      <a:fillRect/>
                    </a:stretch>
                  </pic:blipFill>
                  <pic:spPr>
                    <a:xfrm>
                      <a:off x="0" y="0"/>
                      <a:ext cx="8630285" cy="4597400"/>
                    </a:xfrm>
                    <a:prstGeom prst="rect">
                      <a:avLst/>
                    </a:prstGeom>
                  </pic:spPr>
                </pic:pic>
              </a:graphicData>
            </a:graphic>
          </wp:inline>
        </w:drawing>
      </w:r>
      <w:bookmarkEnd w:id="247"/>
    </w:p>
    <w:sectPr>
      <w:pgSz w:w="16834" w:h="11909" w:orient="landscape"/>
      <w:pgMar w:top="1800" w:right="1440" w:bottom="1800" w:left="1440" w:header="850" w:footer="994" w:gutter="0"/>
      <w:cols w:space="425" w:num="1"/>
      <w:docGrid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font>
  <w:font w:name="方正楷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-167640</wp:posOffset>
              </wp:positionV>
              <wp:extent cx="77470" cy="186055"/>
              <wp:effectExtent l="0" t="0" r="0" b="0"/>
              <wp:wrapNone/>
              <wp:docPr id="5" name="文本框 1"/>
              <wp:cNvGraphicFramePr/>
              <a:graphic xmlns:a="http://schemas.openxmlformats.org/drawingml/2006/main">
                <a:graphicData uri="http://schemas.microsoft.com/office/word/2010/wordprocessingShape">
                  <wps:wsp>
                    <wps:cNvSpPr txBox="1"/>
                    <wps:spPr>
                      <a:xfrm>
                        <a:off x="0" y="0"/>
                        <a:ext cx="77470" cy="186055"/>
                      </a:xfrm>
                      <a:prstGeom prst="rect">
                        <a:avLst/>
                      </a:prstGeom>
                      <a:noFill/>
                      <a:ln w="6350">
                        <a:noFill/>
                      </a:ln>
                      <a:effectLst/>
                    </wps:spPr>
                    <wps:txbx>
                      <w:txbxContent>
                        <w:p>
                          <w:pPr>
                            <w:pStyle w:val="15"/>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43</w:t>
                          </w:r>
                          <w:r>
                            <w:rPr>
                              <w:rFonts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13.2pt;height:14.65pt;width:6.1pt;mso-position-horizontal:center;mso-position-horizontal-relative:margin;mso-wrap-style:none;z-index:251659264;mso-width-relative:page;mso-height-relative:page;" filled="f" stroked="f" coordsize="21600,21600" o:gfxdata="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tmt00wAAAAUBAAAPAAAAAAAAAAEAIAAAACIAAABkcnMvZG93bnJldi54bWxQ&#10;SwECFAAUAAAACACHTuJAOuTwpTUCAABgBAAADgAAAAAAAAABACAAAAAiAQAAZHJzL2Uyb0RvYy54&#10;bWxQSwUGAAAAAAYABgBZAQAAyQUAAAAA&#10;">
              <v:fill on="f" focussize="0,0"/>
              <v:stroke on="f" weight="0.5pt"/>
              <v:imagedata o:title=""/>
              <o:lock v:ext="edit" aspectratio="f"/>
              <v:textbox inset="0mm,0mm,0mm,0mm" style="mso-fit-shape-to-text:t;">
                <w:txbxContent>
                  <w:p>
                    <w:pPr>
                      <w:pStyle w:val="15"/>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43</w:t>
                    </w:r>
                    <w:r>
                      <w:rPr>
                        <w:rFonts w:hint="eastAsia"/>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sz w:val="24"/>
        <w:szCs w:val="24"/>
      </w:rPr>
    </w:pPr>
    <w:r>
      <w:rPr>
        <w:rFonts w:hint="eastAsia" w:ascii="黑体" w:hAnsi="黑体" w:eastAsia="黑体" w:cs="Times New Roman"/>
        <w:sz w:val="24"/>
        <w:szCs w:val="24"/>
      </w:rPr>
      <w:t>德清县新能源充电基础设施建设</w:t>
    </w:r>
    <w:r>
      <w:rPr>
        <w:rFonts w:hint="eastAsia" w:ascii="黑体" w:hAnsi="黑体" w:eastAsia="黑体" w:cs="Times New Roman"/>
        <w:sz w:val="24"/>
        <w:szCs w:val="24"/>
        <w:lang w:val="en-US" w:eastAsia="zh-CN"/>
      </w:rPr>
      <w:t>布局</w:t>
    </w:r>
    <w:r>
      <w:rPr>
        <w:rFonts w:hint="eastAsia" w:ascii="黑体" w:hAnsi="黑体" w:eastAsia="黑体" w:cs="Times New Roman"/>
        <w:sz w:val="24"/>
        <w:szCs w:val="24"/>
      </w:rPr>
      <w:t>规划（202</w:t>
    </w:r>
    <w:r>
      <w:rPr>
        <w:rFonts w:hint="eastAsia" w:ascii="黑体" w:hAnsi="黑体" w:eastAsia="黑体" w:cs="Times New Roman"/>
        <w:sz w:val="24"/>
        <w:szCs w:val="24"/>
        <w:lang w:val="en-US" w:eastAsia="zh-CN"/>
      </w:rPr>
      <w:t>3</w:t>
    </w:r>
    <w:r>
      <w:rPr>
        <w:rFonts w:hint="eastAsia" w:ascii="黑体" w:hAnsi="黑体" w:eastAsia="黑体" w:cs="Times New Roman"/>
        <w:sz w:val="24"/>
        <w:szCs w:val="24"/>
      </w:rPr>
      <w:t>-20</w:t>
    </w:r>
    <w:r>
      <w:rPr>
        <w:rFonts w:hint="eastAsia" w:ascii="黑体" w:hAnsi="黑体" w:eastAsia="黑体" w:cs="Times New Roman"/>
        <w:sz w:val="24"/>
        <w:szCs w:val="24"/>
        <w:lang w:val="en-US" w:eastAsia="zh-CN"/>
      </w:rPr>
      <w:t>25</w:t>
    </w:r>
    <w:r>
      <w:rPr>
        <w:rFonts w:hint="eastAsia" w:ascii="黑体" w:hAnsi="黑体" w:eastAsia="黑体" w:cs="Times New Roman"/>
        <w:sz w:val="24"/>
        <w:szCs w:val="24"/>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162804"/>
    <w:multiLevelType w:val="multilevel"/>
    <w:tmpl w:val="2B162804"/>
    <w:lvl w:ilvl="0" w:tentative="0">
      <w:start w:val="1"/>
      <w:numFmt w:val="chineseCountingThousand"/>
      <w:pStyle w:val="2"/>
      <w:lvlText w:val="%1、"/>
      <w:lvlJc w:val="left"/>
      <w:pPr>
        <w:ind w:left="420" w:hanging="420"/>
      </w:pPr>
      <w:rPr>
        <w:rFonts w:ascii="黑体" w:hAnsi="黑体" w:eastAsia="黑体"/>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55B5CC0"/>
    <w:multiLevelType w:val="multilevel"/>
    <w:tmpl w:val="555B5CC0"/>
    <w:lvl w:ilvl="0" w:tentative="0">
      <w:start w:val="1"/>
      <w:numFmt w:val="chineseCountingThousand"/>
      <w:pStyle w:val="3"/>
      <w:lvlText w:val="(%1)"/>
      <w:lvlJc w:val="left"/>
      <w:pPr>
        <w:ind w:left="420" w:hanging="420"/>
      </w:pPr>
      <w:rPr>
        <w:rFonts w:ascii="Times New Roman" w:hAnsi="Times New Roman"/>
        <w:i w:val="0"/>
        <w:i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50"/>
  <w:drawingGridVerticalSpacing w:val="204"/>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wOWJjOWY4YTA2MDg2YzI3MTc5NDYyOTNjNzhjMTAifQ=="/>
  </w:docVars>
  <w:rsids>
    <w:rsidRoot w:val="00172A27"/>
    <w:rsid w:val="000003D1"/>
    <w:rsid w:val="00001291"/>
    <w:rsid w:val="00001555"/>
    <w:rsid w:val="00002EB2"/>
    <w:rsid w:val="0000301F"/>
    <w:rsid w:val="00003B6B"/>
    <w:rsid w:val="00004797"/>
    <w:rsid w:val="000048FC"/>
    <w:rsid w:val="00004B46"/>
    <w:rsid w:val="00004EAE"/>
    <w:rsid w:val="00006836"/>
    <w:rsid w:val="00006AE1"/>
    <w:rsid w:val="00007282"/>
    <w:rsid w:val="00007897"/>
    <w:rsid w:val="00007B8A"/>
    <w:rsid w:val="00010C5E"/>
    <w:rsid w:val="000117BC"/>
    <w:rsid w:val="00012391"/>
    <w:rsid w:val="00014284"/>
    <w:rsid w:val="00014EB3"/>
    <w:rsid w:val="00015022"/>
    <w:rsid w:val="000152D9"/>
    <w:rsid w:val="000154C5"/>
    <w:rsid w:val="0001584E"/>
    <w:rsid w:val="00015F13"/>
    <w:rsid w:val="00016723"/>
    <w:rsid w:val="000204F9"/>
    <w:rsid w:val="00020A82"/>
    <w:rsid w:val="00020BCC"/>
    <w:rsid w:val="000210D6"/>
    <w:rsid w:val="00021284"/>
    <w:rsid w:val="00021A28"/>
    <w:rsid w:val="00023869"/>
    <w:rsid w:val="00023E0E"/>
    <w:rsid w:val="00024794"/>
    <w:rsid w:val="00024A30"/>
    <w:rsid w:val="00025C7F"/>
    <w:rsid w:val="00026568"/>
    <w:rsid w:val="00031FF2"/>
    <w:rsid w:val="0003253C"/>
    <w:rsid w:val="00033D28"/>
    <w:rsid w:val="000342EF"/>
    <w:rsid w:val="000353D9"/>
    <w:rsid w:val="0003678C"/>
    <w:rsid w:val="00041246"/>
    <w:rsid w:val="00041513"/>
    <w:rsid w:val="000419AF"/>
    <w:rsid w:val="00041D20"/>
    <w:rsid w:val="000427B7"/>
    <w:rsid w:val="00042866"/>
    <w:rsid w:val="00044081"/>
    <w:rsid w:val="00044CA9"/>
    <w:rsid w:val="00044E01"/>
    <w:rsid w:val="00045282"/>
    <w:rsid w:val="00045322"/>
    <w:rsid w:val="0004647E"/>
    <w:rsid w:val="00047C8C"/>
    <w:rsid w:val="00050195"/>
    <w:rsid w:val="00051128"/>
    <w:rsid w:val="00051821"/>
    <w:rsid w:val="00051C39"/>
    <w:rsid w:val="0005247B"/>
    <w:rsid w:val="000538D4"/>
    <w:rsid w:val="00054A67"/>
    <w:rsid w:val="000561A7"/>
    <w:rsid w:val="000564DF"/>
    <w:rsid w:val="000566A5"/>
    <w:rsid w:val="00057616"/>
    <w:rsid w:val="00057B2D"/>
    <w:rsid w:val="00063A2E"/>
    <w:rsid w:val="00063B8B"/>
    <w:rsid w:val="00063DA8"/>
    <w:rsid w:val="00064FA0"/>
    <w:rsid w:val="000652BB"/>
    <w:rsid w:val="00065479"/>
    <w:rsid w:val="00066432"/>
    <w:rsid w:val="000666AA"/>
    <w:rsid w:val="00066F28"/>
    <w:rsid w:val="000673B6"/>
    <w:rsid w:val="00067C40"/>
    <w:rsid w:val="000711BB"/>
    <w:rsid w:val="00071347"/>
    <w:rsid w:val="00071527"/>
    <w:rsid w:val="00071E70"/>
    <w:rsid w:val="0007233A"/>
    <w:rsid w:val="00072ABF"/>
    <w:rsid w:val="00073402"/>
    <w:rsid w:val="00074CE7"/>
    <w:rsid w:val="00075600"/>
    <w:rsid w:val="00077633"/>
    <w:rsid w:val="00077B7C"/>
    <w:rsid w:val="00080F59"/>
    <w:rsid w:val="000829B6"/>
    <w:rsid w:val="00082B93"/>
    <w:rsid w:val="00083674"/>
    <w:rsid w:val="000839E0"/>
    <w:rsid w:val="00086273"/>
    <w:rsid w:val="000873A5"/>
    <w:rsid w:val="0008782D"/>
    <w:rsid w:val="000903A8"/>
    <w:rsid w:val="0009077D"/>
    <w:rsid w:val="0009088E"/>
    <w:rsid w:val="00090E93"/>
    <w:rsid w:val="000921A4"/>
    <w:rsid w:val="00093557"/>
    <w:rsid w:val="00093B18"/>
    <w:rsid w:val="00096387"/>
    <w:rsid w:val="00096768"/>
    <w:rsid w:val="00096D2D"/>
    <w:rsid w:val="00096ECB"/>
    <w:rsid w:val="00097929"/>
    <w:rsid w:val="000A175E"/>
    <w:rsid w:val="000A29A8"/>
    <w:rsid w:val="000A2E1E"/>
    <w:rsid w:val="000A3524"/>
    <w:rsid w:val="000A397C"/>
    <w:rsid w:val="000A3A83"/>
    <w:rsid w:val="000A44C0"/>
    <w:rsid w:val="000B0665"/>
    <w:rsid w:val="000B0FC9"/>
    <w:rsid w:val="000B1016"/>
    <w:rsid w:val="000B12B2"/>
    <w:rsid w:val="000B22F8"/>
    <w:rsid w:val="000B2397"/>
    <w:rsid w:val="000B47F9"/>
    <w:rsid w:val="000B4CF8"/>
    <w:rsid w:val="000B6A85"/>
    <w:rsid w:val="000B6FE1"/>
    <w:rsid w:val="000B7B87"/>
    <w:rsid w:val="000C0D11"/>
    <w:rsid w:val="000C1653"/>
    <w:rsid w:val="000C2236"/>
    <w:rsid w:val="000C2747"/>
    <w:rsid w:val="000C32CE"/>
    <w:rsid w:val="000C3D87"/>
    <w:rsid w:val="000C51BA"/>
    <w:rsid w:val="000C55CA"/>
    <w:rsid w:val="000C59BF"/>
    <w:rsid w:val="000C625A"/>
    <w:rsid w:val="000C6970"/>
    <w:rsid w:val="000C7DB8"/>
    <w:rsid w:val="000C7F17"/>
    <w:rsid w:val="000D035F"/>
    <w:rsid w:val="000D0DFA"/>
    <w:rsid w:val="000D18BB"/>
    <w:rsid w:val="000D1BF9"/>
    <w:rsid w:val="000D1C96"/>
    <w:rsid w:val="000D1E0D"/>
    <w:rsid w:val="000D2290"/>
    <w:rsid w:val="000D435F"/>
    <w:rsid w:val="000D4D2E"/>
    <w:rsid w:val="000D5829"/>
    <w:rsid w:val="000D59AF"/>
    <w:rsid w:val="000D70B2"/>
    <w:rsid w:val="000E046E"/>
    <w:rsid w:val="000E16B2"/>
    <w:rsid w:val="000E187D"/>
    <w:rsid w:val="000E1D66"/>
    <w:rsid w:val="000E2330"/>
    <w:rsid w:val="000E236F"/>
    <w:rsid w:val="000E359A"/>
    <w:rsid w:val="000E40EA"/>
    <w:rsid w:val="000E43C6"/>
    <w:rsid w:val="000E440C"/>
    <w:rsid w:val="000E48FA"/>
    <w:rsid w:val="000E679E"/>
    <w:rsid w:val="000E7C9D"/>
    <w:rsid w:val="000F07D0"/>
    <w:rsid w:val="000F1027"/>
    <w:rsid w:val="000F135E"/>
    <w:rsid w:val="000F27A0"/>
    <w:rsid w:val="000F2A81"/>
    <w:rsid w:val="000F304B"/>
    <w:rsid w:val="000F361A"/>
    <w:rsid w:val="000F5142"/>
    <w:rsid w:val="000F5A7F"/>
    <w:rsid w:val="000F5E8D"/>
    <w:rsid w:val="000F68B2"/>
    <w:rsid w:val="0010256D"/>
    <w:rsid w:val="0010393C"/>
    <w:rsid w:val="00103C1B"/>
    <w:rsid w:val="00104B5A"/>
    <w:rsid w:val="00104F10"/>
    <w:rsid w:val="00105A50"/>
    <w:rsid w:val="0011154D"/>
    <w:rsid w:val="001116B7"/>
    <w:rsid w:val="00113427"/>
    <w:rsid w:val="001142B8"/>
    <w:rsid w:val="00114404"/>
    <w:rsid w:val="001160A9"/>
    <w:rsid w:val="00116E03"/>
    <w:rsid w:val="00117005"/>
    <w:rsid w:val="001176F5"/>
    <w:rsid w:val="00117D36"/>
    <w:rsid w:val="00120331"/>
    <w:rsid w:val="00123122"/>
    <w:rsid w:val="001234B9"/>
    <w:rsid w:val="001268E2"/>
    <w:rsid w:val="001270EF"/>
    <w:rsid w:val="00131AAF"/>
    <w:rsid w:val="0013241F"/>
    <w:rsid w:val="00132421"/>
    <w:rsid w:val="001329E4"/>
    <w:rsid w:val="00132B02"/>
    <w:rsid w:val="00132BFD"/>
    <w:rsid w:val="00134436"/>
    <w:rsid w:val="0013535F"/>
    <w:rsid w:val="00135813"/>
    <w:rsid w:val="00135929"/>
    <w:rsid w:val="001378CB"/>
    <w:rsid w:val="00137B20"/>
    <w:rsid w:val="001403FF"/>
    <w:rsid w:val="00140C83"/>
    <w:rsid w:val="00140F28"/>
    <w:rsid w:val="00141FDD"/>
    <w:rsid w:val="0014277E"/>
    <w:rsid w:val="00142A41"/>
    <w:rsid w:val="00142F38"/>
    <w:rsid w:val="00144AE8"/>
    <w:rsid w:val="001456B7"/>
    <w:rsid w:val="0014600B"/>
    <w:rsid w:val="00146D1A"/>
    <w:rsid w:val="001501B0"/>
    <w:rsid w:val="0015120D"/>
    <w:rsid w:val="001529E0"/>
    <w:rsid w:val="001532E4"/>
    <w:rsid w:val="00154453"/>
    <w:rsid w:val="00154C2D"/>
    <w:rsid w:val="00154FF3"/>
    <w:rsid w:val="00155003"/>
    <w:rsid w:val="00155211"/>
    <w:rsid w:val="001556B9"/>
    <w:rsid w:val="0015624D"/>
    <w:rsid w:val="00157C00"/>
    <w:rsid w:val="001600F9"/>
    <w:rsid w:val="00160D8C"/>
    <w:rsid w:val="00161245"/>
    <w:rsid w:val="00161820"/>
    <w:rsid w:val="0016219A"/>
    <w:rsid w:val="0016248F"/>
    <w:rsid w:val="00162B21"/>
    <w:rsid w:val="00164473"/>
    <w:rsid w:val="00165C8E"/>
    <w:rsid w:val="00166311"/>
    <w:rsid w:val="00166388"/>
    <w:rsid w:val="00166480"/>
    <w:rsid w:val="00166836"/>
    <w:rsid w:val="00166FF8"/>
    <w:rsid w:val="0016705C"/>
    <w:rsid w:val="0016711B"/>
    <w:rsid w:val="00167470"/>
    <w:rsid w:val="001677B4"/>
    <w:rsid w:val="00170AEF"/>
    <w:rsid w:val="00172A27"/>
    <w:rsid w:val="001730F3"/>
    <w:rsid w:val="0017342F"/>
    <w:rsid w:val="00175FB3"/>
    <w:rsid w:val="0017709D"/>
    <w:rsid w:val="00177885"/>
    <w:rsid w:val="00177FD9"/>
    <w:rsid w:val="00182C61"/>
    <w:rsid w:val="00183DFE"/>
    <w:rsid w:val="0018500E"/>
    <w:rsid w:val="0018580E"/>
    <w:rsid w:val="00185DD2"/>
    <w:rsid w:val="0018678F"/>
    <w:rsid w:val="0018724E"/>
    <w:rsid w:val="0018754C"/>
    <w:rsid w:val="00190021"/>
    <w:rsid w:val="0019041A"/>
    <w:rsid w:val="001904C1"/>
    <w:rsid w:val="00190ABF"/>
    <w:rsid w:val="00191087"/>
    <w:rsid w:val="00191470"/>
    <w:rsid w:val="001921B3"/>
    <w:rsid w:val="0019262F"/>
    <w:rsid w:val="0019419A"/>
    <w:rsid w:val="00194F2C"/>
    <w:rsid w:val="0019572F"/>
    <w:rsid w:val="00195E99"/>
    <w:rsid w:val="00196C78"/>
    <w:rsid w:val="001974CC"/>
    <w:rsid w:val="00197C65"/>
    <w:rsid w:val="00197E2E"/>
    <w:rsid w:val="001A0061"/>
    <w:rsid w:val="001A0284"/>
    <w:rsid w:val="001A137E"/>
    <w:rsid w:val="001A2254"/>
    <w:rsid w:val="001A2658"/>
    <w:rsid w:val="001A26C1"/>
    <w:rsid w:val="001A302F"/>
    <w:rsid w:val="001A3083"/>
    <w:rsid w:val="001A33D9"/>
    <w:rsid w:val="001A51BA"/>
    <w:rsid w:val="001A7113"/>
    <w:rsid w:val="001A7C8C"/>
    <w:rsid w:val="001B0F0C"/>
    <w:rsid w:val="001B1138"/>
    <w:rsid w:val="001B1B23"/>
    <w:rsid w:val="001B2AA9"/>
    <w:rsid w:val="001B3F62"/>
    <w:rsid w:val="001B4C16"/>
    <w:rsid w:val="001B4E8C"/>
    <w:rsid w:val="001B5457"/>
    <w:rsid w:val="001B5A59"/>
    <w:rsid w:val="001B62A8"/>
    <w:rsid w:val="001B684D"/>
    <w:rsid w:val="001B6A86"/>
    <w:rsid w:val="001B7231"/>
    <w:rsid w:val="001B74F9"/>
    <w:rsid w:val="001B7B68"/>
    <w:rsid w:val="001B7EC5"/>
    <w:rsid w:val="001C0445"/>
    <w:rsid w:val="001C0A38"/>
    <w:rsid w:val="001C141D"/>
    <w:rsid w:val="001C1ADC"/>
    <w:rsid w:val="001C1ECD"/>
    <w:rsid w:val="001C2484"/>
    <w:rsid w:val="001C2999"/>
    <w:rsid w:val="001C32E3"/>
    <w:rsid w:val="001C3C86"/>
    <w:rsid w:val="001C4AED"/>
    <w:rsid w:val="001C503D"/>
    <w:rsid w:val="001C57CC"/>
    <w:rsid w:val="001C6EF5"/>
    <w:rsid w:val="001D00A4"/>
    <w:rsid w:val="001D013A"/>
    <w:rsid w:val="001D0530"/>
    <w:rsid w:val="001D05FC"/>
    <w:rsid w:val="001D24A8"/>
    <w:rsid w:val="001D3042"/>
    <w:rsid w:val="001D3094"/>
    <w:rsid w:val="001D3D8D"/>
    <w:rsid w:val="001D4B69"/>
    <w:rsid w:val="001D5043"/>
    <w:rsid w:val="001D7767"/>
    <w:rsid w:val="001E0533"/>
    <w:rsid w:val="001E07DE"/>
    <w:rsid w:val="001E0FCF"/>
    <w:rsid w:val="001E1715"/>
    <w:rsid w:val="001E3D92"/>
    <w:rsid w:val="001E4A1D"/>
    <w:rsid w:val="001E5C5D"/>
    <w:rsid w:val="001E6A0B"/>
    <w:rsid w:val="001E6A3E"/>
    <w:rsid w:val="001E741E"/>
    <w:rsid w:val="001E7818"/>
    <w:rsid w:val="001E7960"/>
    <w:rsid w:val="001E7A2D"/>
    <w:rsid w:val="001E7B5D"/>
    <w:rsid w:val="001E7ED1"/>
    <w:rsid w:val="001F02D7"/>
    <w:rsid w:val="001F03AC"/>
    <w:rsid w:val="001F09D6"/>
    <w:rsid w:val="001F1132"/>
    <w:rsid w:val="001F2E63"/>
    <w:rsid w:val="001F3D89"/>
    <w:rsid w:val="001F4BEA"/>
    <w:rsid w:val="001F4C5E"/>
    <w:rsid w:val="001F7F3A"/>
    <w:rsid w:val="0020098B"/>
    <w:rsid w:val="002039B7"/>
    <w:rsid w:val="00203ADE"/>
    <w:rsid w:val="00203AE6"/>
    <w:rsid w:val="0020432B"/>
    <w:rsid w:val="00204BA0"/>
    <w:rsid w:val="00204CA1"/>
    <w:rsid w:val="0020660E"/>
    <w:rsid w:val="002072E4"/>
    <w:rsid w:val="002077D5"/>
    <w:rsid w:val="00207F47"/>
    <w:rsid w:val="00211624"/>
    <w:rsid w:val="00212AD2"/>
    <w:rsid w:val="00213B47"/>
    <w:rsid w:val="00213EF6"/>
    <w:rsid w:val="002151DF"/>
    <w:rsid w:val="00216041"/>
    <w:rsid w:val="00216495"/>
    <w:rsid w:val="0021692D"/>
    <w:rsid w:val="00216BE5"/>
    <w:rsid w:val="00217760"/>
    <w:rsid w:val="0021782A"/>
    <w:rsid w:val="00220EF5"/>
    <w:rsid w:val="00221E81"/>
    <w:rsid w:val="0022260F"/>
    <w:rsid w:val="00223F6C"/>
    <w:rsid w:val="00224895"/>
    <w:rsid w:val="00224D34"/>
    <w:rsid w:val="00225407"/>
    <w:rsid w:val="002257C3"/>
    <w:rsid w:val="00226BCF"/>
    <w:rsid w:val="0022755C"/>
    <w:rsid w:val="00230F1D"/>
    <w:rsid w:val="002314D0"/>
    <w:rsid w:val="00231FC1"/>
    <w:rsid w:val="002320D4"/>
    <w:rsid w:val="00233F97"/>
    <w:rsid w:val="00234803"/>
    <w:rsid w:val="00234E92"/>
    <w:rsid w:val="00234F3B"/>
    <w:rsid w:val="0023522E"/>
    <w:rsid w:val="00236EC7"/>
    <w:rsid w:val="002376D2"/>
    <w:rsid w:val="00240542"/>
    <w:rsid w:val="002434EA"/>
    <w:rsid w:val="00243551"/>
    <w:rsid w:val="00243E1D"/>
    <w:rsid w:val="002446ED"/>
    <w:rsid w:val="00244B32"/>
    <w:rsid w:val="00244C8E"/>
    <w:rsid w:val="00245485"/>
    <w:rsid w:val="002461D4"/>
    <w:rsid w:val="002470A0"/>
    <w:rsid w:val="002470B9"/>
    <w:rsid w:val="00247BC8"/>
    <w:rsid w:val="0025152F"/>
    <w:rsid w:val="002524FC"/>
    <w:rsid w:val="00252782"/>
    <w:rsid w:val="00252FD2"/>
    <w:rsid w:val="00255498"/>
    <w:rsid w:val="00255893"/>
    <w:rsid w:val="0025597F"/>
    <w:rsid w:val="00256FAA"/>
    <w:rsid w:val="0025732F"/>
    <w:rsid w:val="00257D03"/>
    <w:rsid w:val="00261CB2"/>
    <w:rsid w:val="0026236B"/>
    <w:rsid w:val="0026273B"/>
    <w:rsid w:val="0026323D"/>
    <w:rsid w:val="0026333D"/>
    <w:rsid w:val="00263C36"/>
    <w:rsid w:val="00263CB9"/>
    <w:rsid w:val="0026438A"/>
    <w:rsid w:val="0026465D"/>
    <w:rsid w:val="00264AA5"/>
    <w:rsid w:val="00265534"/>
    <w:rsid w:val="002664AC"/>
    <w:rsid w:val="00266856"/>
    <w:rsid w:val="002673EE"/>
    <w:rsid w:val="00267631"/>
    <w:rsid w:val="00270837"/>
    <w:rsid w:val="002715F5"/>
    <w:rsid w:val="00271B62"/>
    <w:rsid w:val="00271E75"/>
    <w:rsid w:val="00272FAE"/>
    <w:rsid w:val="00274857"/>
    <w:rsid w:val="00274E71"/>
    <w:rsid w:val="00275F47"/>
    <w:rsid w:val="002763E9"/>
    <w:rsid w:val="0027671F"/>
    <w:rsid w:val="00276936"/>
    <w:rsid w:val="00276B33"/>
    <w:rsid w:val="0027703D"/>
    <w:rsid w:val="00277CB8"/>
    <w:rsid w:val="002803F1"/>
    <w:rsid w:val="0028154C"/>
    <w:rsid w:val="00282867"/>
    <w:rsid w:val="00282DDB"/>
    <w:rsid w:val="002849D8"/>
    <w:rsid w:val="0028562A"/>
    <w:rsid w:val="00286651"/>
    <w:rsid w:val="00286CDD"/>
    <w:rsid w:val="00286CDE"/>
    <w:rsid w:val="00290941"/>
    <w:rsid w:val="002914F6"/>
    <w:rsid w:val="00293076"/>
    <w:rsid w:val="00293DD3"/>
    <w:rsid w:val="002941EE"/>
    <w:rsid w:val="00294998"/>
    <w:rsid w:val="00295570"/>
    <w:rsid w:val="00295983"/>
    <w:rsid w:val="002971C4"/>
    <w:rsid w:val="002A0A65"/>
    <w:rsid w:val="002A10D2"/>
    <w:rsid w:val="002A1121"/>
    <w:rsid w:val="002A123B"/>
    <w:rsid w:val="002A2FDA"/>
    <w:rsid w:val="002A3C65"/>
    <w:rsid w:val="002A7EAE"/>
    <w:rsid w:val="002B0193"/>
    <w:rsid w:val="002B0259"/>
    <w:rsid w:val="002B24D8"/>
    <w:rsid w:val="002B28EE"/>
    <w:rsid w:val="002B2D8A"/>
    <w:rsid w:val="002B3B50"/>
    <w:rsid w:val="002B3FE9"/>
    <w:rsid w:val="002B415F"/>
    <w:rsid w:val="002B4B34"/>
    <w:rsid w:val="002B4B79"/>
    <w:rsid w:val="002B4D72"/>
    <w:rsid w:val="002B4DAB"/>
    <w:rsid w:val="002B76E2"/>
    <w:rsid w:val="002B7AF8"/>
    <w:rsid w:val="002C0A4D"/>
    <w:rsid w:val="002C2057"/>
    <w:rsid w:val="002C237B"/>
    <w:rsid w:val="002C2E33"/>
    <w:rsid w:val="002C4118"/>
    <w:rsid w:val="002C59FE"/>
    <w:rsid w:val="002C69B3"/>
    <w:rsid w:val="002C7158"/>
    <w:rsid w:val="002C760E"/>
    <w:rsid w:val="002D2261"/>
    <w:rsid w:val="002D3BBE"/>
    <w:rsid w:val="002D3DC6"/>
    <w:rsid w:val="002D404A"/>
    <w:rsid w:val="002D489C"/>
    <w:rsid w:val="002D5E0D"/>
    <w:rsid w:val="002D690F"/>
    <w:rsid w:val="002D7D33"/>
    <w:rsid w:val="002D7D90"/>
    <w:rsid w:val="002E06B9"/>
    <w:rsid w:val="002E0D66"/>
    <w:rsid w:val="002E12E4"/>
    <w:rsid w:val="002E2102"/>
    <w:rsid w:val="002E2F8B"/>
    <w:rsid w:val="002E308F"/>
    <w:rsid w:val="002E3A32"/>
    <w:rsid w:val="002E5CC2"/>
    <w:rsid w:val="002E5E45"/>
    <w:rsid w:val="002E65DE"/>
    <w:rsid w:val="002F12D0"/>
    <w:rsid w:val="002F1E97"/>
    <w:rsid w:val="002F257D"/>
    <w:rsid w:val="002F2DA3"/>
    <w:rsid w:val="002F36A6"/>
    <w:rsid w:val="002F508E"/>
    <w:rsid w:val="002F55C3"/>
    <w:rsid w:val="002F76D3"/>
    <w:rsid w:val="003014D3"/>
    <w:rsid w:val="003032B2"/>
    <w:rsid w:val="00303C75"/>
    <w:rsid w:val="0030503F"/>
    <w:rsid w:val="00305327"/>
    <w:rsid w:val="00306858"/>
    <w:rsid w:val="00306B8F"/>
    <w:rsid w:val="003071F4"/>
    <w:rsid w:val="00307A42"/>
    <w:rsid w:val="00307CEB"/>
    <w:rsid w:val="00310097"/>
    <w:rsid w:val="00310C96"/>
    <w:rsid w:val="00310FA0"/>
    <w:rsid w:val="00312E6F"/>
    <w:rsid w:val="00314B79"/>
    <w:rsid w:val="00314C0E"/>
    <w:rsid w:val="00315B61"/>
    <w:rsid w:val="0031694F"/>
    <w:rsid w:val="00316A39"/>
    <w:rsid w:val="00316A56"/>
    <w:rsid w:val="003178F2"/>
    <w:rsid w:val="00317CC3"/>
    <w:rsid w:val="00317DFD"/>
    <w:rsid w:val="00317FDF"/>
    <w:rsid w:val="003203D1"/>
    <w:rsid w:val="00320DDB"/>
    <w:rsid w:val="00321141"/>
    <w:rsid w:val="00321827"/>
    <w:rsid w:val="003230FF"/>
    <w:rsid w:val="00323484"/>
    <w:rsid w:val="00323618"/>
    <w:rsid w:val="003242D9"/>
    <w:rsid w:val="00324E9F"/>
    <w:rsid w:val="003254A9"/>
    <w:rsid w:val="00327BBD"/>
    <w:rsid w:val="00327BF8"/>
    <w:rsid w:val="0033022D"/>
    <w:rsid w:val="00330CA0"/>
    <w:rsid w:val="00331D8D"/>
    <w:rsid w:val="00331E10"/>
    <w:rsid w:val="003329ED"/>
    <w:rsid w:val="0033392A"/>
    <w:rsid w:val="00336762"/>
    <w:rsid w:val="00336977"/>
    <w:rsid w:val="00337625"/>
    <w:rsid w:val="00337B7F"/>
    <w:rsid w:val="00337EC3"/>
    <w:rsid w:val="00340DCD"/>
    <w:rsid w:val="003411D0"/>
    <w:rsid w:val="003417C7"/>
    <w:rsid w:val="00341D97"/>
    <w:rsid w:val="00343699"/>
    <w:rsid w:val="00343AD0"/>
    <w:rsid w:val="00345575"/>
    <w:rsid w:val="003475F8"/>
    <w:rsid w:val="0034788C"/>
    <w:rsid w:val="003503F7"/>
    <w:rsid w:val="003513F0"/>
    <w:rsid w:val="00352565"/>
    <w:rsid w:val="00352C4C"/>
    <w:rsid w:val="00352D81"/>
    <w:rsid w:val="0035336B"/>
    <w:rsid w:val="00354174"/>
    <w:rsid w:val="003547F5"/>
    <w:rsid w:val="0035481B"/>
    <w:rsid w:val="003558D8"/>
    <w:rsid w:val="003560C9"/>
    <w:rsid w:val="00357141"/>
    <w:rsid w:val="0036015A"/>
    <w:rsid w:val="00360914"/>
    <w:rsid w:val="003619BC"/>
    <w:rsid w:val="003640CF"/>
    <w:rsid w:val="003647D1"/>
    <w:rsid w:val="00364D56"/>
    <w:rsid w:val="003657A3"/>
    <w:rsid w:val="003658DB"/>
    <w:rsid w:val="0037120C"/>
    <w:rsid w:val="00371C1C"/>
    <w:rsid w:val="003724C0"/>
    <w:rsid w:val="00372A00"/>
    <w:rsid w:val="00373089"/>
    <w:rsid w:val="00373378"/>
    <w:rsid w:val="00373A24"/>
    <w:rsid w:val="00374187"/>
    <w:rsid w:val="0037495D"/>
    <w:rsid w:val="00374B64"/>
    <w:rsid w:val="00374D95"/>
    <w:rsid w:val="003752CA"/>
    <w:rsid w:val="003752EE"/>
    <w:rsid w:val="003753C6"/>
    <w:rsid w:val="0038015B"/>
    <w:rsid w:val="0038130C"/>
    <w:rsid w:val="003831B1"/>
    <w:rsid w:val="00383AC5"/>
    <w:rsid w:val="00383C59"/>
    <w:rsid w:val="0038436A"/>
    <w:rsid w:val="003846BC"/>
    <w:rsid w:val="00385169"/>
    <w:rsid w:val="0038769F"/>
    <w:rsid w:val="003903B5"/>
    <w:rsid w:val="003912DD"/>
    <w:rsid w:val="0039131B"/>
    <w:rsid w:val="00391417"/>
    <w:rsid w:val="0039191F"/>
    <w:rsid w:val="00391991"/>
    <w:rsid w:val="00391E20"/>
    <w:rsid w:val="0039223F"/>
    <w:rsid w:val="00392313"/>
    <w:rsid w:val="00393652"/>
    <w:rsid w:val="00393A4B"/>
    <w:rsid w:val="00394EC8"/>
    <w:rsid w:val="0039685E"/>
    <w:rsid w:val="00396D70"/>
    <w:rsid w:val="00397833"/>
    <w:rsid w:val="003A0515"/>
    <w:rsid w:val="003A1FDD"/>
    <w:rsid w:val="003A260A"/>
    <w:rsid w:val="003A3981"/>
    <w:rsid w:val="003A3C6A"/>
    <w:rsid w:val="003A3CB3"/>
    <w:rsid w:val="003A4645"/>
    <w:rsid w:val="003A55A9"/>
    <w:rsid w:val="003A6598"/>
    <w:rsid w:val="003A72C4"/>
    <w:rsid w:val="003A7895"/>
    <w:rsid w:val="003B04B9"/>
    <w:rsid w:val="003B05DD"/>
    <w:rsid w:val="003B0856"/>
    <w:rsid w:val="003B0BBA"/>
    <w:rsid w:val="003B1ECF"/>
    <w:rsid w:val="003B2114"/>
    <w:rsid w:val="003B2D33"/>
    <w:rsid w:val="003B3C77"/>
    <w:rsid w:val="003B3D45"/>
    <w:rsid w:val="003B439B"/>
    <w:rsid w:val="003B4941"/>
    <w:rsid w:val="003B4E20"/>
    <w:rsid w:val="003B5610"/>
    <w:rsid w:val="003B61E2"/>
    <w:rsid w:val="003B68A6"/>
    <w:rsid w:val="003B6EC2"/>
    <w:rsid w:val="003C0219"/>
    <w:rsid w:val="003C029B"/>
    <w:rsid w:val="003C089D"/>
    <w:rsid w:val="003C0CFF"/>
    <w:rsid w:val="003C19F8"/>
    <w:rsid w:val="003C1D67"/>
    <w:rsid w:val="003C3552"/>
    <w:rsid w:val="003C39C3"/>
    <w:rsid w:val="003C3A74"/>
    <w:rsid w:val="003C40C8"/>
    <w:rsid w:val="003C6423"/>
    <w:rsid w:val="003C714C"/>
    <w:rsid w:val="003C7B4B"/>
    <w:rsid w:val="003D3507"/>
    <w:rsid w:val="003D386C"/>
    <w:rsid w:val="003D70B4"/>
    <w:rsid w:val="003D7DA0"/>
    <w:rsid w:val="003E056B"/>
    <w:rsid w:val="003E0A18"/>
    <w:rsid w:val="003E36A2"/>
    <w:rsid w:val="003E38EA"/>
    <w:rsid w:val="003E4C78"/>
    <w:rsid w:val="003E56B9"/>
    <w:rsid w:val="003E57ED"/>
    <w:rsid w:val="003E6C5D"/>
    <w:rsid w:val="003E777C"/>
    <w:rsid w:val="003E7EAA"/>
    <w:rsid w:val="003F04C5"/>
    <w:rsid w:val="003F0D09"/>
    <w:rsid w:val="003F22EB"/>
    <w:rsid w:val="003F3E6D"/>
    <w:rsid w:val="003F429B"/>
    <w:rsid w:val="003F5AD4"/>
    <w:rsid w:val="00401EC6"/>
    <w:rsid w:val="00402198"/>
    <w:rsid w:val="00402540"/>
    <w:rsid w:val="00402C2E"/>
    <w:rsid w:val="004037B1"/>
    <w:rsid w:val="00404BA3"/>
    <w:rsid w:val="004050DB"/>
    <w:rsid w:val="00405E5A"/>
    <w:rsid w:val="004101FF"/>
    <w:rsid w:val="00410478"/>
    <w:rsid w:val="00410F1D"/>
    <w:rsid w:val="00413B53"/>
    <w:rsid w:val="00413DC6"/>
    <w:rsid w:val="00413DD4"/>
    <w:rsid w:val="0041495C"/>
    <w:rsid w:val="004155D4"/>
    <w:rsid w:val="00416DAD"/>
    <w:rsid w:val="00417610"/>
    <w:rsid w:val="00417FB7"/>
    <w:rsid w:val="00421822"/>
    <w:rsid w:val="0042292C"/>
    <w:rsid w:val="00423F62"/>
    <w:rsid w:val="004253B6"/>
    <w:rsid w:val="00425D2F"/>
    <w:rsid w:val="00426BD0"/>
    <w:rsid w:val="004306D8"/>
    <w:rsid w:val="0043269A"/>
    <w:rsid w:val="004328F9"/>
    <w:rsid w:val="0043495E"/>
    <w:rsid w:val="00435899"/>
    <w:rsid w:val="0043650C"/>
    <w:rsid w:val="00441ADC"/>
    <w:rsid w:val="00443CBE"/>
    <w:rsid w:val="00445AFE"/>
    <w:rsid w:val="00445D0E"/>
    <w:rsid w:val="00445F83"/>
    <w:rsid w:val="004463A1"/>
    <w:rsid w:val="00447252"/>
    <w:rsid w:val="00447449"/>
    <w:rsid w:val="00447C0D"/>
    <w:rsid w:val="00450068"/>
    <w:rsid w:val="004508F7"/>
    <w:rsid w:val="004510AA"/>
    <w:rsid w:val="00451D2B"/>
    <w:rsid w:val="00452827"/>
    <w:rsid w:val="00454394"/>
    <w:rsid w:val="0045476C"/>
    <w:rsid w:val="00454900"/>
    <w:rsid w:val="00454D9A"/>
    <w:rsid w:val="00457FF9"/>
    <w:rsid w:val="00460FF0"/>
    <w:rsid w:val="0046253A"/>
    <w:rsid w:val="00463C04"/>
    <w:rsid w:val="00465E19"/>
    <w:rsid w:val="00466945"/>
    <w:rsid w:val="0046780D"/>
    <w:rsid w:val="00467F05"/>
    <w:rsid w:val="00467FDB"/>
    <w:rsid w:val="0047045F"/>
    <w:rsid w:val="00470EDC"/>
    <w:rsid w:val="0047115A"/>
    <w:rsid w:val="004728DF"/>
    <w:rsid w:val="004737DE"/>
    <w:rsid w:val="00476198"/>
    <w:rsid w:val="00476D9F"/>
    <w:rsid w:val="004818B1"/>
    <w:rsid w:val="004848BF"/>
    <w:rsid w:val="00485BB0"/>
    <w:rsid w:val="00486C38"/>
    <w:rsid w:val="00487A83"/>
    <w:rsid w:val="004914E8"/>
    <w:rsid w:val="0049250A"/>
    <w:rsid w:val="004939B3"/>
    <w:rsid w:val="00495586"/>
    <w:rsid w:val="0049561F"/>
    <w:rsid w:val="004962C3"/>
    <w:rsid w:val="0049676C"/>
    <w:rsid w:val="00496873"/>
    <w:rsid w:val="00496B10"/>
    <w:rsid w:val="00497101"/>
    <w:rsid w:val="00497236"/>
    <w:rsid w:val="00497D41"/>
    <w:rsid w:val="004A10E0"/>
    <w:rsid w:val="004A1293"/>
    <w:rsid w:val="004A25E7"/>
    <w:rsid w:val="004A2C95"/>
    <w:rsid w:val="004A3109"/>
    <w:rsid w:val="004A312F"/>
    <w:rsid w:val="004A36FD"/>
    <w:rsid w:val="004A3D8B"/>
    <w:rsid w:val="004A459A"/>
    <w:rsid w:val="004A4D9F"/>
    <w:rsid w:val="004A5E4A"/>
    <w:rsid w:val="004A66A1"/>
    <w:rsid w:val="004A7275"/>
    <w:rsid w:val="004B1CD8"/>
    <w:rsid w:val="004B2398"/>
    <w:rsid w:val="004B2874"/>
    <w:rsid w:val="004B29F0"/>
    <w:rsid w:val="004B3D0E"/>
    <w:rsid w:val="004B3DA0"/>
    <w:rsid w:val="004B4C15"/>
    <w:rsid w:val="004B4E18"/>
    <w:rsid w:val="004B7BA9"/>
    <w:rsid w:val="004C04E6"/>
    <w:rsid w:val="004C0D70"/>
    <w:rsid w:val="004C14A1"/>
    <w:rsid w:val="004C1713"/>
    <w:rsid w:val="004C1A0C"/>
    <w:rsid w:val="004C2272"/>
    <w:rsid w:val="004C24C1"/>
    <w:rsid w:val="004C2A8F"/>
    <w:rsid w:val="004C38A7"/>
    <w:rsid w:val="004C3B7C"/>
    <w:rsid w:val="004C3C55"/>
    <w:rsid w:val="004C4BD0"/>
    <w:rsid w:val="004C5DDF"/>
    <w:rsid w:val="004D04B1"/>
    <w:rsid w:val="004D275A"/>
    <w:rsid w:val="004D28C5"/>
    <w:rsid w:val="004D2D0C"/>
    <w:rsid w:val="004D3C67"/>
    <w:rsid w:val="004D4211"/>
    <w:rsid w:val="004D5106"/>
    <w:rsid w:val="004D7B99"/>
    <w:rsid w:val="004D7F67"/>
    <w:rsid w:val="004D7FEB"/>
    <w:rsid w:val="004E10A0"/>
    <w:rsid w:val="004E2921"/>
    <w:rsid w:val="004E370D"/>
    <w:rsid w:val="004E4DDE"/>
    <w:rsid w:val="004E5708"/>
    <w:rsid w:val="004E5B6B"/>
    <w:rsid w:val="004E62AA"/>
    <w:rsid w:val="004E78C5"/>
    <w:rsid w:val="004E7930"/>
    <w:rsid w:val="004E7C43"/>
    <w:rsid w:val="004F0288"/>
    <w:rsid w:val="004F06A3"/>
    <w:rsid w:val="004F3779"/>
    <w:rsid w:val="004F45F0"/>
    <w:rsid w:val="004F532F"/>
    <w:rsid w:val="005006E1"/>
    <w:rsid w:val="00500748"/>
    <w:rsid w:val="00500C01"/>
    <w:rsid w:val="00502A4A"/>
    <w:rsid w:val="0050372B"/>
    <w:rsid w:val="00503B94"/>
    <w:rsid w:val="00506371"/>
    <w:rsid w:val="00506C70"/>
    <w:rsid w:val="00506DB1"/>
    <w:rsid w:val="00510130"/>
    <w:rsid w:val="005111D1"/>
    <w:rsid w:val="00511B66"/>
    <w:rsid w:val="00511C0D"/>
    <w:rsid w:val="00513D08"/>
    <w:rsid w:val="00514790"/>
    <w:rsid w:val="0051589C"/>
    <w:rsid w:val="00516816"/>
    <w:rsid w:val="005172E0"/>
    <w:rsid w:val="00520706"/>
    <w:rsid w:val="00520F66"/>
    <w:rsid w:val="00521415"/>
    <w:rsid w:val="005232DF"/>
    <w:rsid w:val="0052479D"/>
    <w:rsid w:val="00524872"/>
    <w:rsid w:val="00525832"/>
    <w:rsid w:val="0052605C"/>
    <w:rsid w:val="0052613C"/>
    <w:rsid w:val="00526A95"/>
    <w:rsid w:val="00526BF3"/>
    <w:rsid w:val="00526DCA"/>
    <w:rsid w:val="00527691"/>
    <w:rsid w:val="00527AB8"/>
    <w:rsid w:val="00527D89"/>
    <w:rsid w:val="005311C2"/>
    <w:rsid w:val="00531BD1"/>
    <w:rsid w:val="0053333C"/>
    <w:rsid w:val="00533382"/>
    <w:rsid w:val="005335CF"/>
    <w:rsid w:val="00533E50"/>
    <w:rsid w:val="005341DD"/>
    <w:rsid w:val="005354FE"/>
    <w:rsid w:val="005360CC"/>
    <w:rsid w:val="005407D2"/>
    <w:rsid w:val="00541CD1"/>
    <w:rsid w:val="00542022"/>
    <w:rsid w:val="00542515"/>
    <w:rsid w:val="00542E06"/>
    <w:rsid w:val="005432B1"/>
    <w:rsid w:val="005454A6"/>
    <w:rsid w:val="00547190"/>
    <w:rsid w:val="005506FA"/>
    <w:rsid w:val="0055282B"/>
    <w:rsid w:val="0055346B"/>
    <w:rsid w:val="00554F3B"/>
    <w:rsid w:val="00556A14"/>
    <w:rsid w:val="00556ED0"/>
    <w:rsid w:val="00560193"/>
    <w:rsid w:val="00560A86"/>
    <w:rsid w:val="005627DE"/>
    <w:rsid w:val="00562F19"/>
    <w:rsid w:val="00564F44"/>
    <w:rsid w:val="00566BE5"/>
    <w:rsid w:val="00567A80"/>
    <w:rsid w:val="00570C20"/>
    <w:rsid w:val="00570D54"/>
    <w:rsid w:val="00570FC8"/>
    <w:rsid w:val="0057121A"/>
    <w:rsid w:val="00571EEE"/>
    <w:rsid w:val="005721C0"/>
    <w:rsid w:val="005726E0"/>
    <w:rsid w:val="00573054"/>
    <w:rsid w:val="005741EC"/>
    <w:rsid w:val="005749C8"/>
    <w:rsid w:val="005751CB"/>
    <w:rsid w:val="0057603D"/>
    <w:rsid w:val="005768F5"/>
    <w:rsid w:val="0057761F"/>
    <w:rsid w:val="005811F2"/>
    <w:rsid w:val="00581293"/>
    <w:rsid w:val="00584EB4"/>
    <w:rsid w:val="00587048"/>
    <w:rsid w:val="00587B0E"/>
    <w:rsid w:val="00590037"/>
    <w:rsid w:val="0059006D"/>
    <w:rsid w:val="005905AB"/>
    <w:rsid w:val="0059135B"/>
    <w:rsid w:val="005914C8"/>
    <w:rsid w:val="00591E01"/>
    <w:rsid w:val="00592492"/>
    <w:rsid w:val="0059285B"/>
    <w:rsid w:val="00593521"/>
    <w:rsid w:val="00595CCA"/>
    <w:rsid w:val="005969EF"/>
    <w:rsid w:val="00597200"/>
    <w:rsid w:val="00597522"/>
    <w:rsid w:val="00597BCB"/>
    <w:rsid w:val="005A19CA"/>
    <w:rsid w:val="005A275E"/>
    <w:rsid w:val="005A34F0"/>
    <w:rsid w:val="005A40AA"/>
    <w:rsid w:val="005A4432"/>
    <w:rsid w:val="005A7AF3"/>
    <w:rsid w:val="005B052C"/>
    <w:rsid w:val="005B069E"/>
    <w:rsid w:val="005B0E9C"/>
    <w:rsid w:val="005B1430"/>
    <w:rsid w:val="005B2CDE"/>
    <w:rsid w:val="005B497D"/>
    <w:rsid w:val="005B57A8"/>
    <w:rsid w:val="005B5ECF"/>
    <w:rsid w:val="005B68EC"/>
    <w:rsid w:val="005B7588"/>
    <w:rsid w:val="005C01E4"/>
    <w:rsid w:val="005C0816"/>
    <w:rsid w:val="005C1EF0"/>
    <w:rsid w:val="005C2A17"/>
    <w:rsid w:val="005C442A"/>
    <w:rsid w:val="005C530A"/>
    <w:rsid w:val="005C538E"/>
    <w:rsid w:val="005C540A"/>
    <w:rsid w:val="005C57D8"/>
    <w:rsid w:val="005C5AE8"/>
    <w:rsid w:val="005C5B6A"/>
    <w:rsid w:val="005C79D7"/>
    <w:rsid w:val="005C7FF8"/>
    <w:rsid w:val="005D0407"/>
    <w:rsid w:val="005D043D"/>
    <w:rsid w:val="005D07C9"/>
    <w:rsid w:val="005D08FF"/>
    <w:rsid w:val="005D14B5"/>
    <w:rsid w:val="005D3382"/>
    <w:rsid w:val="005D41D4"/>
    <w:rsid w:val="005D5747"/>
    <w:rsid w:val="005D5A3A"/>
    <w:rsid w:val="005D5A81"/>
    <w:rsid w:val="005D5E22"/>
    <w:rsid w:val="005D5F34"/>
    <w:rsid w:val="005D6283"/>
    <w:rsid w:val="005D6AF6"/>
    <w:rsid w:val="005D76AA"/>
    <w:rsid w:val="005E07BE"/>
    <w:rsid w:val="005E13B8"/>
    <w:rsid w:val="005E297C"/>
    <w:rsid w:val="005E3341"/>
    <w:rsid w:val="005E4A73"/>
    <w:rsid w:val="005E4D69"/>
    <w:rsid w:val="005E5746"/>
    <w:rsid w:val="005E59D5"/>
    <w:rsid w:val="005E64A7"/>
    <w:rsid w:val="005E65CA"/>
    <w:rsid w:val="005E6CB3"/>
    <w:rsid w:val="005E7211"/>
    <w:rsid w:val="005E748D"/>
    <w:rsid w:val="005F0556"/>
    <w:rsid w:val="005F09FD"/>
    <w:rsid w:val="005F1582"/>
    <w:rsid w:val="005F1DA7"/>
    <w:rsid w:val="005F1DE8"/>
    <w:rsid w:val="005F1E33"/>
    <w:rsid w:val="005F23F2"/>
    <w:rsid w:val="005F299C"/>
    <w:rsid w:val="005F2A1E"/>
    <w:rsid w:val="005F2E95"/>
    <w:rsid w:val="005F2F41"/>
    <w:rsid w:val="005F4A43"/>
    <w:rsid w:val="005F5B42"/>
    <w:rsid w:val="005F72AC"/>
    <w:rsid w:val="006000E4"/>
    <w:rsid w:val="00600625"/>
    <w:rsid w:val="006006B1"/>
    <w:rsid w:val="00601167"/>
    <w:rsid w:val="006029A2"/>
    <w:rsid w:val="0060330A"/>
    <w:rsid w:val="006038BB"/>
    <w:rsid w:val="00603EB5"/>
    <w:rsid w:val="0060427A"/>
    <w:rsid w:val="00604441"/>
    <w:rsid w:val="006044EC"/>
    <w:rsid w:val="006045AF"/>
    <w:rsid w:val="006046A4"/>
    <w:rsid w:val="00605116"/>
    <w:rsid w:val="0060696A"/>
    <w:rsid w:val="00606B25"/>
    <w:rsid w:val="00606D21"/>
    <w:rsid w:val="006074DE"/>
    <w:rsid w:val="00611BD3"/>
    <w:rsid w:val="00612D48"/>
    <w:rsid w:val="00612FD3"/>
    <w:rsid w:val="0061321B"/>
    <w:rsid w:val="00613848"/>
    <w:rsid w:val="006139BB"/>
    <w:rsid w:val="0061490B"/>
    <w:rsid w:val="006157FB"/>
    <w:rsid w:val="006202DC"/>
    <w:rsid w:val="00622131"/>
    <w:rsid w:val="006231EE"/>
    <w:rsid w:val="00626E53"/>
    <w:rsid w:val="00627436"/>
    <w:rsid w:val="006277BE"/>
    <w:rsid w:val="00631717"/>
    <w:rsid w:val="006318AB"/>
    <w:rsid w:val="0063222C"/>
    <w:rsid w:val="00633842"/>
    <w:rsid w:val="006338AC"/>
    <w:rsid w:val="00634E13"/>
    <w:rsid w:val="006363CF"/>
    <w:rsid w:val="00636CD9"/>
    <w:rsid w:val="00640C2F"/>
    <w:rsid w:val="00642268"/>
    <w:rsid w:val="006428C0"/>
    <w:rsid w:val="006434D8"/>
    <w:rsid w:val="00644A30"/>
    <w:rsid w:val="00644CC8"/>
    <w:rsid w:val="006454A2"/>
    <w:rsid w:val="00646352"/>
    <w:rsid w:val="006470C3"/>
    <w:rsid w:val="006475ED"/>
    <w:rsid w:val="00647FE2"/>
    <w:rsid w:val="006504B6"/>
    <w:rsid w:val="00652248"/>
    <w:rsid w:val="00653116"/>
    <w:rsid w:val="006544D6"/>
    <w:rsid w:val="00654BAB"/>
    <w:rsid w:val="00655FA2"/>
    <w:rsid w:val="006562F8"/>
    <w:rsid w:val="0065686F"/>
    <w:rsid w:val="00656EC6"/>
    <w:rsid w:val="00656F96"/>
    <w:rsid w:val="0066020E"/>
    <w:rsid w:val="00661117"/>
    <w:rsid w:val="00661787"/>
    <w:rsid w:val="00661841"/>
    <w:rsid w:val="0066198C"/>
    <w:rsid w:val="0066287F"/>
    <w:rsid w:val="00662B52"/>
    <w:rsid w:val="00664288"/>
    <w:rsid w:val="00666B06"/>
    <w:rsid w:val="00666B45"/>
    <w:rsid w:val="006678D8"/>
    <w:rsid w:val="00667DAB"/>
    <w:rsid w:val="00670CCC"/>
    <w:rsid w:val="006710FD"/>
    <w:rsid w:val="00671306"/>
    <w:rsid w:val="006721CC"/>
    <w:rsid w:val="00672696"/>
    <w:rsid w:val="006731FA"/>
    <w:rsid w:val="00673311"/>
    <w:rsid w:val="006743EA"/>
    <w:rsid w:val="00674D04"/>
    <w:rsid w:val="00675B95"/>
    <w:rsid w:val="00676558"/>
    <w:rsid w:val="00677876"/>
    <w:rsid w:val="00677995"/>
    <w:rsid w:val="006779F7"/>
    <w:rsid w:val="006810D0"/>
    <w:rsid w:val="006812C1"/>
    <w:rsid w:val="0068182E"/>
    <w:rsid w:val="0068386B"/>
    <w:rsid w:val="00684079"/>
    <w:rsid w:val="00685490"/>
    <w:rsid w:val="006864E7"/>
    <w:rsid w:val="0068677A"/>
    <w:rsid w:val="006867A2"/>
    <w:rsid w:val="00686BC8"/>
    <w:rsid w:val="00687934"/>
    <w:rsid w:val="00690595"/>
    <w:rsid w:val="00690BC3"/>
    <w:rsid w:val="00691B22"/>
    <w:rsid w:val="00691CE6"/>
    <w:rsid w:val="00691E39"/>
    <w:rsid w:val="0069234D"/>
    <w:rsid w:val="0069420E"/>
    <w:rsid w:val="0069459D"/>
    <w:rsid w:val="00695247"/>
    <w:rsid w:val="006957DE"/>
    <w:rsid w:val="006958A3"/>
    <w:rsid w:val="0069591C"/>
    <w:rsid w:val="00697331"/>
    <w:rsid w:val="006977E1"/>
    <w:rsid w:val="00697DB9"/>
    <w:rsid w:val="006A015E"/>
    <w:rsid w:val="006A08DB"/>
    <w:rsid w:val="006A0FEF"/>
    <w:rsid w:val="006A19B7"/>
    <w:rsid w:val="006A26C3"/>
    <w:rsid w:val="006A2CBA"/>
    <w:rsid w:val="006A2E7E"/>
    <w:rsid w:val="006A4A0A"/>
    <w:rsid w:val="006A4D28"/>
    <w:rsid w:val="006A4EFC"/>
    <w:rsid w:val="006A6805"/>
    <w:rsid w:val="006A7380"/>
    <w:rsid w:val="006B076E"/>
    <w:rsid w:val="006B1D66"/>
    <w:rsid w:val="006B1EA6"/>
    <w:rsid w:val="006B2D41"/>
    <w:rsid w:val="006B2D62"/>
    <w:rsid w:val="006B484D"/>
    <w:rsid w:val="006B5EEA"/>
    <w:rsid w:val="006C01BE"/>
    <w:rsid w:val="006C0A90"/>
    <w:rsid w:val="006C0B45"/>
    <w:rsid w:val="006C0D92"/>
    <w:rsid w:val="006C108D"/>
    <w:rsid w:val="006C2C1A"/>
    <w:rsid w:val="006C2C43"/>
    <w:rsid w:val="006C2C62"/>
    <w:rsid w:val="006C2EEE"/>
    <w:rsid w:val="006C341F"/>
    <w:rsid w:val="006C3BB2"/>
    <w:rsid w:val="006C4BDA"/>
    <w:rsid w:val="006C4DBB"/>
    <w:rsid w:val="006C61F5"/>
    <w:rsid w:val="006C6408"/>
    <w:rsid w:val="006C6CB2"/>
    <w:rsid w:val="006C77F6"/>
    <w:rsid w:val="006D02C7"/>
    <w:rsid w:val="006D0644"/>
    <w:rsid w:val="006D0D8C"/>
    <w:rsid w:val="006D13D6"/>
    <w:rsid w:val="006D21D6"/>
    <w:rsid w:val="006D244A"/>
    <w:rsid w:val="006D285D"/>
    <w:rsid w:val="006D2FE9"/>
    <w:rsid w:val="006D33D1"/>
    <w:rsid w:val="006D43DD"/>
    <w:rsid w:val="006D535C"/>
    <w:rsid w:val="006D5B2C"/>
    <w:rsid w:val="006D6D85"/>
    <w:rsid w:val="006E02A0"/>
    <w:rsid w:val="006E22C0"/>
    <w:rsid w:val="006E291C"/>
    <w:rsid w:val="006F0193"/>
    <w:rsid w:val="006F15BB"/>
    <w:rsid w:val="006F1650"/>
    <w:rsid w:val="006F25C2"/>
    <w:rsid w:val="006F2D49"/>
    <w:rsid w:val="006F2FE6"/>
    <w:rsid w:val="006F4EC2"/>
    <w:rsid w:val="006F61FD"/>
    <w:rsid w:val="006F6505"/>
    <w:rsid w:val="00700CA1"/>
    <w:rsid w:val="00701ABD"/>
    <w:rsid w:val="00702AF9"/>
    <w:rsid w:val="0070372C"/>
    <w:rsid w:val="00703A31"/>
    <w:rsid w:val="00703D6A"/>
    <w:rsid w:val="0070406F"/>
    <w:rsid w:val="0070412D"/>
    <w:rsid w:val="0070430C"/>
    <w:rsid w:val="0070699A"/>
    <w:rsid w:val="00707703"/>
    <w:rsid w:val="00707851"/>
    <w:rsid w:val="00710A69"/>
    <w:rsid w:val="0071105C"/>
    <w:rsid w:val="0071162E"/>
    <w:rsid w:val="00712502"/>
    <w:rsid w:val="00714AB6"/>
    <w:rsid w:val="00714C9D"/>
    <w:rsid w:val="007177E3"/>
    <w:rsid w:val="007202DD"/>
    <w:rsid w:val="00721646"/>
    <w:rsid w:val="007230A0"/>
    <w:rsid w:val="00723B48"/>
    <w:rsid w:val="007249E4"/>
    <w:rsid w:val="00724C4E"/>
    <w:rsid w:val="00724CD5"/>
    <w:rsid w:val="00724E6B"/>
    <w:rsid w:val="00725AD4"/>
    <w:rsid w:val="007262F1"/>
    <w:rsid w:val="00726E3E"/>
    <w:rsid w:val="00727F6C"/>
    <w:rsid w:val="00727FC2"/>
    <w:rsid w:val="0073018B"/>
    <w:rsid w:val="00730B24"/>
    <w:rsid w:val="007315BE"/>
    <w:rsid w:val="007316AF"/>
    <w:rsid w:val="00731A6F"/>
    <w:rsid w:val="00731B0F"/>
    <w:rsid w:val="00733B8C"/>
    <w:rsid w:val="00734A9D"/>
    <w:rsid w:val="00734C4F"/>
    <w:rsid w:val="00735D20"/>
    <w:rsid w:val="00736478"/>
    <w:rsid w:val="007365CB"/>
    <w:rsid w:val="00736787"/>
    <w:rsid w:val="00737653"/>
    <w:rsid w:val="00737D82"/>
    <w:rsid w:val="00743408"/>
    <w:rsid w:val="007435ED"/>
    <w:rsid w:val="00744929"/>
    <w:rsid w:val="0074571E"/>
    <w:rsid w:val="00745B48"/>
    <w:rsid w:val="00746C91"/>
    <w:rsid w:val="00746D73"/>
    <w:rsid w:val="00750194"/>
    <w:rsid w:val="00750208"/>
    <w:rsid w:val="007508EA"/>
    <w:rsid w:val="00750A8E"/>
    <w:rsid w:val="00751C31"/>
    <w:rsid w:val="00752B39"/>
    <w:rsid w:val="00753247"/>
    <w:rsid w:val="0075340A"/>
    <w:rsid w:val="007537AF"/>
    <w:rsid w:val="007538E0"/>
    <w:rsid w:val="0075399E"/>
    <w:rsid w:val="00753B5B"/>
    <w:rsid w:val="00753FBD"/>
    <w:rsid w:val="00755727"/>
    <w:rsid w:val="007570F6"/>
    <w:rsid w:val="00760325"/>
    <w:rsid w:val="00761273"/>
    <w:rsid w:val="00761332"/>
    <w:rsid w:val="00761EEF"/>
    <w:rsid w:val="007622F2"/>
    <w:rsid w:val="0076253A"/>
    <w:rsid w:val="0076258D"/>
    <w:rsid w:val="007627FB"/>
    <w:rsid w:val="007643B8"/>
    <w:rsid w:val="00764DE8"/>
    <w:rsid w:val="00766FE3"/>
    <w:rsid w:val="00767528"/>
    <w:rsid w:val="007678E9"/>
    <w:rsid w:val="00770298"/>
    <w:rsid w:val="0077195F"/>
    <w:rsid w:val="007721C4"/>
    <w:rsid w:val="00772378"/>
    <w:rsid w:val="0077289C"/>
    <w:rsid w:val="007728E2"/>
    <w:rsid w:val="00772F73"/>
    <w:rsid w:val="00774E2F"/>
    <w:rsid w:val="00774ED4"/>
    <w:rsid w:val="00775DEE"/>
    <w:rsid w:val="0077763C"/>
    <w:rsid w:val="0078173F"/>
    <w:rsid w:val="00782C14"/>
    <w:rsid w:val="007906B8"/>
    <w:rsid w:val="00790FCA"/>
    <w:rsid w:val="00791FDE"/>
    <w:rsid w:val="00792084"/>
    <w:rsid w:val="007923AA"/>
    <w:rsid w:val="007923F7"/>
    <w:rsid w:val="00792648"/>
    <w:rsid w:val="00792C5E"/>
    <w:rsid w:val="00792DB7"/>
    <w:rsid w:val="00793799"/>
    <w:rsid w:val="00793EC1"/>
    <w:rsid w:val="007948EB"/>
    <w:rsid w:val="00795484"/>
    <w:rsid w:val="007959AD"/>
    <w:rsid w:val="00796BCB"/>
    <w:rsid w:val="00796C95"/>
    <w:rsid w:val="007A121E"/>
    <w:rsid w:val="007A16D4"/>
    <w:rsid w:val="007A18A2"/>
    <w:rsid w:val="007A2AC8"/>
    <w:rsid w:val="007A3380"/>
    <w:rsid w:val="007A4A11"/>
    <w:rsid w:val="007A573F"/>
    <w:rsid w:val="007A6390"/>
    <w:rsid w:val="007A779D"/>
    <w:rsid w:val="007B0AE1"/>
    <w:rsid w:val="007B1AB6"/>
    <w:rsid w:val="007B287D"/>
    <w:rsid w:val="007B2F31"/>
    <w:rsid w:val="007B3014"/>
    <w:rsid w:val="007B3FC4"/>
    <w:rsid w:val="007B509E"/>
    <w:rsid w:val="007B5BF3"/>
    <w:rsid w:val="007B60A7"/>
    <w:rsid w:val="007B6184"/>
    <w:rsid w:val="007B66AA"/>
    <w:rsid w:val="007C10CD"/>
    <w:rsid w:val="007C11D8"/>
    <w:rsid w:val="007C2463"/>
    <w:rsid w:val="007C2549"/>
    <w:rsid w:val="007C2570"/>
    <w:rsid w:val="007C2EBB"/>
    <w:rsid w:val="007C32E4"/>
    <w:rsid w:val="007C4368"/>
    <w:rsid w:val="007C49A2"/>
    <w:rsid w:val="007C62E5"/>
    <w:rsid w:val="007C7B8B"/>
    <w:rsid w:val="007D0AED"/>
    <w:rsid w:val="007D16D4"/>
    <w:rsid w:val="007D2C7A"/>
    <w:rsid w:val="007D33B2"/>
    <w:rsid w:val="007D47B8"/>
    <w:rsid w:val="007D4DFA"/>
    <w:rsid w:val="007D5C5A"/>
    <w:rsid w:val="007D6C90"/>
    <w:rsid w:val="007D792F"/>
    <w:rsid w:val="007E0286"/>
    <w:rsid w:val="007E0BF2"/>
    <w:rsid w:val="007E0FDC"/>
    <w:rsid w:val="007E1CF9"/>
    <w:rsid w:val="007E21F2"/>
    <w:rsid w:val="007E25B7"/>
    <w:rsid w:val="007E3092"/>
    <w:rsid w:val="007E325F"/>
    <w:rsid w:val="007E3D7D"/>
    <w:rsid w:val="007E4A08"/>
    <w:rsid w:val="007E6502"/>
    <w:rsid w:val="007E78B6"/>
    <w:rsid w:val="007E7EB8"/>
    <w:rsid w:val="007F05A2"/>
    <w:rsid w:val="007F1D65"/>
    <w:rsid w:val="007F1DF2"/>
    <w:rsid w:val="007F26A5"/>
    <w:rsid w:val="007F2EA3"/>
    <w:rsid w:val="007F3160"/>
    <w:rsid w:val="007F3278"/>
    <w:rsid w:val="007F5027"/>
    <w:rsid w:val="007F6CF5"/>
    <w:rsid w:val="007F71C9"/>
    <w:rsid w:val="007F7768"/>
    <w:rsid w:val="00800E16"/>
    <w:rsid w:val="008018AC"/>
    <w:rsid w:val="00802EE2"/>
    <w:rsid w:val="008032A2"/>
    <w:rsid w:val="00803C5C"/>
    <w:rsid w:val="008053D8"/>
    <w:rsid w:val="00806392"/>
    <w:rsid w:val="008069DD"/>
    <w:rsid w:val="00806FDE"/>
    <w:rsid w:val="008073D4"/>
    <w:rsid w:val="008079C0"/>
    <w:rsid w:val="00810BDF"/>
    <w:rsid w:val="00810DF4"/>
    <w:rsid w:val="0081405E"/>
    <w:rsid w:val="00814E93"/>
    <w:rsid w:val="00815AB6"/>
    <w:rsid w:val="00820E4B"/>
    <w:rsid w:val="008213A6"/>
    <w:rsid w:val="00821AC0"/>
    <w:rsid w:val="00822CAD"/>
    <w:rsid w:val="0082334A"/>
    <w:rsid w:val="0082345F"/>
    <w:rsid w:val="0082370F"/>
    <w:rsid w:val="00823819"/>
    <w:rsid w:val="008239EE"/>
    <w:rsid w:val="0082503A"/>
    <w:rsid w:val="00825633"/>
    <w:rsid w:val="00825CB6"/>
    <w:rsid w:val="0082684A"/>
    <w:rsid w:val="0082708B"/>
    <w:rsid w:val="00827EEF"/>
    <w:rsid w:val="00830596"/>
    <w:rsid w:val="00831495"/>
    <w:rsid w:val="00832C3D"/>
    <w:rsid w:val="00832DA8"/>
    <w:rsid w:val="0083361D"/>
    <w:rsid w:val="008347DB"/>
    <w:rsid w:val="008348E5"/>
    <w:rsid w:val="00834919"/>
    <w:rsid w:val="00834FB3"/>
    <w:rsid w:val="00835070"/>
    <w:rsid w:val="00836972"/>
    <w:rsid w:val="008375D5"/>
    <w:rsid w:val="00837AD0"/>
    <w:rsid w:val="00837B6F"/>
    <w:rsid w:val="00837F0B"/>
    <w:rsid w:val="00840783"/>
    <w:rsid w:val="00840D5A"/>
    <w:rsid w:val="00841E70"/>
    <w:rsid w:val="008420E2"/>
    <w:rsid w:val="008428C4"/>
    <w:rsid w:val="00842A58"/>
    <w:rsid w:val="00843A51"/>
    <w:rsid w:val="0084448C"/>
    <w:rsid w:val="00846F48"/>
    <w:rsid w:val="0084788C"/>
    <w:rsid w:val="008509E9"/>
    <w:rsid w:val="00852D12"/>
    <w:rsid w:val="00852E56"/>
    <w:rsid w:val="00853DD8"/>
    <w:rsid w:val="00853E3D"/>
    <w:rsid w:val="008540FA"/>
    <w:rsid w:val="00854EC4"/>
    <w:rsid w:val="008551EF"/>
    <w:rsid w:val="00855EA4"/>
    <w:rsid w:val="00856E38"/>
    <w:rsid w:val="008571D4"/>
    <w:rsid w:val="00861D62"/>
    <w:rsid w:val="008637CE"/>
    <w:rsid w:val="008639DC"/>
    <w:rsid w:val="0086473D"/>
    <w:rsid w:val="00864D0F"/>
    <w:rsid w:val="00864D71"/>
    <w:rsid w:val="0086595F"/>
    <w:rsid w:val="00866910"/>
    <w:rsid w:val="00866B32"/>
    <w:rsid w:val="0087095D"/>
    <w:rsid w:val="00872E27"/>
    <w:rsid w:val="008730C4"/>
    <w:rsid w:val="00873B70"/>
    <w:rsid w:val="00874687"/>
    <w:rsid w:val="008773DF"/>
    <w:rsid w:val="00877665"/>
    <w:rsid w:val="00880D91"/>
    <w:rsid w:val="00880FC4"/>
    <w:rsid w:val="00882ACF"/>
    <w:rsid w:val="00882DCE"/>
    <w:rsid w:val="0088328D"/>
    <w:rsid w:val="00884C7B"/>
    <w:rsid w:val="0088508C"/>
    <w:rsid w:val="00886F8E"/>
    <w:rsid w:val="008916FD"/>
    <w:rsid w:val="00891FEA"/>
    <w:rsid w:val="00892BBA"/>
    <w:rsid w:val="00893BDB"/>
    <w:rsid w:val="00894428"/>
    <w:rsid w:val="008952A7"/>
    <w:rsid w:val="0089621E"/>
    <w:rsid w:val="00896554"/>
    <w:rsid w:val="00896FF5"/>
    <w:rsid w:val="008A01A7"/>
    <w:rsid w:val="008A08FC"/>
    <w:rsid w:val="008A0E24"/>
    <w:rsid w:val="008A1FD9"/>
    <w:rsid w:val="008A3554"/>
    <w:rsid w:val="008A622E"/>
    <w:rsid w:val="008B2AB8"/>
    <w:rsid w:val="008B2B02"/>
    <w:rsid w:val="008B2CDD"/>
    <w:rsid w:val="008B2EFC"/>
    <w:rsid w:val="008B344C"/>
    <w:rsid w:val="008B389B"/>
    <w:rsid w:val="008B3B63"/>
    <w:rsid w:val="008B3CD7"/>
    <w:rsid w:val="008B56E3"/>
    <w:rsid w:val="008B5B58"/>
    <w:rsid w:val="008B5BBA"/>
    <w:rsid w:val="008B6957"/>
    <w:rsid w:val="008B75D0"/>
    <w:rsid w:val="008C152E"/>
    <w:rsid w:val="008C179E"/>
    <w:rsid w:val="008C28B5"/>
    <w:rsid w:val="008C3445"/>
    <w:rsid w:val="008C401D"/>
    <w:rsid w:val="008C5CB0"/>
    <w:rsid w:val="008C7AF5"/>
    <w:rsid w:val="008C7B1F"/>
    <w:rsid w:val="008C7F08"/>
    <w:rsid w:val="008D0B4D"/>
    <w:rsid w:val="008D1F12"/>
    <w:rsid w:val="008D1F27"/>
    <w:rsid w:val="008D34AE"/>
    <w:rsid w:val="008D4D2A"/>
    <w:rsid w:val="008D58A0"/>
    <w:rsid w:val="008D5B59"/>
    <w:rsid w:val="008D62CC"/>
    <w:rsid w:val="008D6582"/>
    <w:rsid w:val="008D6CF2"/>
    <w:rsid w:val="008E04B4"/>
    <w:rsid w:val="008E12A1"/>
    <w:rsid w:val="008E1403"/>
    <w:rsid w:val="008E4177"/>
    <w:rsid w:val="008E540E"/>
    <w:rsid w:val="008E7206"/>
    <w:rsid w:val="008E726B"/>
    <w:rsid w:val="008E737F"/>
    <w:rsid w:val="008E79BF"/>
    <w:rsid w:val="008E7C33"/>
    <w:rsid w:val="008F06A7"/>
    <w:rsid w:val="008F0ACC"/>
    <w:rsid w:val="008F0CE0"/>
    <w:rsid w:val="008F1E29"/>
    <w:rsid w:val="008F1ED0"/>
    <w:rsid w:val="008F4633"/>
    <w:rsid w:val="008F528C"/>
    <w:rsid w:val="008F61DE"/>
    <w:rsid w:val="008F6A2B"/>
    <w:rsid w:val="008F6DFF"/>
    <w:rsid w:val="008F7489"/>
    <w:rsid w:val="008F7769"/>
    <w:rsid w:val="009005AB"/>
    <w:rsid w:val="00900C4C"/>
    <w:rsid w:val="009024B3"/>
    <w:rsid w:val="00903AE7"/>
    <w:rsid w:val="00903CBC"/>
    <w:rsid w:val="0090436E"/>
    <w:rsid w:val="00904B93"/>
    <w:rsid w:val="00905936"/>
    <w:rsid w:val="00906446"/>
    <w:rsid w:val="00906A74"/>
    <w:rsid w:val="0090739A"/>
    <w:rsid w:val="00907A25"/>
    <w:rsid w:val="00910308"/>
    <w:rsid w:val="009110E9"/>
    <w:rsid w:val="00911227"/>
    <w:rsid w:val="00911E90"/>
    <w:rsid w:val="009126A9"/>
    <w:rsid w:val="00914F95"/>
    <w:rsid w:val="00915CD2"/>
    <w:rsid w:val="00917296"/>
    <w:rsid w:val="009178EA"/>
    <w:rsid w:val="009200CE"/>
    <w:rsid w:val="00921516"/>
    <w:rsid w:val="00921B46"/>
    <w:rsid w:val="00921D4F"/>
    <w:rsid w:val="00922F98"/>
    <w:rsid w:val="00923B70"/>
    <w:rsid w:val="009241B4"/>
    <w:rsid w:val="009242C6"/>
    <w:rsid w:val="00924958"/>
    <w:rsid w:val="00924E5B"/>
    <w:rsid w:val="009252FE"/>
    <w:rsid w:val="009260F1"/>
    <w:rsid w:val="00926522"/>
    <w:rsid w:val="00926BDA"/>
    <w:rsid w:val="009323BA"/>
    <w:rsid w:val="0093367B"/>
    <w:rsid w:val="009340CA"/>
    <w:rsid w:val="00934870"/>
    <w:rsid w:val="009373DC"/>
    <w:rsid w:val="00937526"/>
    <w:rsid w:val="0093779F"/>
    <w:rsid w:val="009404BD"/>
    <w:rsid w:val="00940B4D"/>
    <w:rsid w:val="00940BDB"/>
    <w:rsid w:val="009414AB"/>
    <w:rsid w:val="00941F30"/>
    <w:rsid w:val="00942DCF"/>
    <w:rsid w:val="00943090"/>
    <w:rsid w:val="0094343C"/>
    <w:rsid w:val="009444C7"/>
    <w:rsid w:val="00944A0C"/>
    <w:rsid w:val="00944C5B"/>
    <w:rsid w:val="00945317"/>
    <w:rsid w:val="009453DE"/>
    <w:rsid w:val="0094546D"/>
    <w:rsid w:val="00945FC8"/>
    <w:rsid w:val="009462BE"/>
    <w:rsid w:val="00946449"/>
    <w:rsid w:val="00946DBB"/>
    <w:rsid w:val="00950140"/>
    <w:rsid w:val="0095075D"/>
    <w:rsid w:val="00950856"/>
    <w:rsid w:val="0095096C"/>
    <w:rsid w:val="00950BD3"/>
    <w:rsid w:val="009542ED"/>
    <w:rsid w:val="00954DD0"/>
    <w:rsid w:val="00955906"/>
    <w:rsid w:val="00956278"/>
    <w:rsid w:val="00956E40"/>
    <w:rsid w:val="009574E5"/>
    <w:rsid w:val="00960A54"/>
    <w:rsid w:val="00961282"/>
    <w:rsid w:val="00961672"/>
    <w:rsid w:val="00961B60"/>
    <w:rsid w:val="00961FEE"/>
    <w:rsid w:val="0096236C"/>
    <w:rsid w:val="00963D97"/>
    <w:rsid w:val="00964802"/>
    <w:rsid w:val="0096481C"/>
    <w:rsid w:val="00964A04"/>
    <w:rsid w:val="00964ED6"/>
    <w:rsid w:val="00965578"/>
    <w:rsid w:val="009664D9"/>
    <w:rsid w:val="00966EB4"/>
    <w:rsid w:val="00967CB7"/>
    <w:rsid w:val="00967CEF"/>
    <w:rsid w:val="00967DDB"/>
    <w:rsid w:val="00970702"/>
    <w:rsid w:val="00970BF9"/>
    <w:rsid w:val="009726E2"/>
    <w:rsid w:val="00973143"/>
    <w:rsid w:val="009737C4"/>
    <w:rsid w:val="00973C1B"/>
    <w:rsid w:val="009748E8"/>
    <w:rsid w:val="009755D2"/>
    <w:rsid w:val="0097588F"/>
    <w:rsid w:val="009772DF"/>
    <w:rsid w:val="009774AF"/>
    <w:rsid w:val="00980222"/>
    <w:rsid w:val="00980A4E"/>
    <w:rsid w:val="0098137A"/>
    <w:rsid w:val="00981FED"/>
    <w:rsid w:val="009824A1"/>
    <w:rsid w:val="00982DEE"/>
    <w:rsid w:val="00983843"/>
    <w:rsid w:val="00983F55"/>
    <w:rsid w:val="0098497E"/>
    <w:rsid w:val="00985AFC"/>
    <w:rsid w:val="0098618F"/>
    <w:rsid w:val="00986BEE"/>
    <w:rsid w:val="009878EF"/>
    <w:rsid w:val="00990A69"/>
    <w:rsid w:val="00991353"/>
    <w:rsid w:val="009915A6"/>
    <w:rsid w:val="00991AE1"/>
    <w:rsid w:val="00992759"/>
    <w:rsid w:val="009929FA"/>
    <w:rsid w:val="00992E29"/>
    <w:rsid w:val="009943AA"/>
    <w:rsid w:val="00994786"/>
    <w:rsid w:val="009953B8"/>
    <w:rsid w:val="00995458"/>
    <w:rsid w:val="0099593A"/>
    <w:rsid w:val="009965B4"/>
    <w:rsid w:val="00996FC3"/>
    <w:rsid w:val="00997758"/>
    <w:rsid w:val="0099781F"/>
    <w:rsid w:val="009A0785"/>
    <w:rsid w:val="009A0DFF"/>
    <w:rsid w:val="009A0EA4"/>
    <w:rsid w:val="009A18C0"/>
    <w:rsid w:val="009A2CDB"/>
    <w:rsid w:val="009A2D50"/>
    <w:rsid w:val="009A2D51"/>
    <w:rsid w:val="009A3237"/>
    <w:rsid w:val="009A3E5B"/>
    <w:rsid w:val="009A3F56"/>
    <w:rsid w:val="009A4286"/>
    <w:rsid w:val="009A431D"/>
    <w:rsid w:val="009A48F0"/>
    <w:rsid w:val="009A57A0"/>
    <w:rsid w:val="009A6515"/>
    <w:rsid w:val="009A6547"/>
    <w:rsid w:val="009A6C03"/>
    <w:rsid w:val="009B0268"/>
    <w:rsid w:val="009B1AB2"/>
    <w:rsid w:val="009B2547"/>
    <w:rsid w:val="009B2B6D"/>
    <w:rsid w:val="009B566C"/>
    <w:rsid w:val="009B6608"/>
    <w:rsid w:val="009B72FF"/>
    <w:rsid w:val="009C10BD"/>
    <w:rsid w:val="009C17FA"/>
    <w:rsid w:val="009C2205"/>
    <w:rsid w:val="009C24CC"/>
    <w:rsid w:val="009C2A09"/>
    <w:rsid w:val="009C2D4C"/>
    <w:rsid w:val="009C359A"/>
    <w:rsid w:val="009C3AF6"/>
    <w:rsid w:val="009C3B9C"/>
    <w:rsid w:val="009C4129"/>
    <w:rsid w:val="009C4569"/>
    <w:rsid w:val="009C5D2A"/>
    <w:rsid w:val="009D00A0"/>
    <w:rsid w:val="009D02F8"/>
    <w:rsid w:val="009D18C8"/>
    <w:rsid w:val="009D2979"/>
    <w:rsid w:val="009D36DE"/>
    <w:rsid w:val="009D54F2"/>
    <w:rsid w:val="009D6072"/>
    <w:rsid w:val="009D60DF"/>
    <w:rsid w:val="009D6EB1"/>
    <w:rsid w:val="009D7EAC"/>
    <w:rsid w:val="009E014B"/>
    <w:rsid w:val="009E09F5"/>
    <w:rsid w:val="009E11F1"/>
    <w:rsid w:val="009E257C"/>
    <w:rsid w:val="009E2D0A"/>
    <w:rsid w:val="009E3EB5"/>
    <w:rsid w:val="009E576F"/>
    <w:rsid w:val="009E7578"/>
    <w:rsid w:val="009E7AAC"/>
    <w:rsid w:val="009E7C4E"/>
    <w:rsid w:val="009E7F12"/>
    <w:rsid w:val="009F134D"/>
    <w:rsid w:val="009F1894"/>
    <w:rsid w:val="009F1A25"/>
    <w:rsid w:val="009F1DCE"/>
    <w:rsid w:val="009F201C"/>
    <w:rsid w:val="009F2340"/>
    <w:rsid w:val="009F24AB"/>
    <w:rsid w:val="009F3E5E"/>
    <w:rsid w:val="009F47A7"/>
    <w:rsid w:val="009F4E41"/>
    <w:rsid w:val="009F5F96"/>
    <w:rsid w:val="009F6DAD"/>
    <w:rsid w:val="009F6FED"/>
    <w:rsid w:val="009F7DF5"/>
    <w:rsid w:val="00A008FC"/>
    <w:rsid w:val="00A0111D"/>
    <w:rsid w:val="00A0141E"/>
    <w:rsid w:val="00A021DB"/>
    <w:rsid w:val="00A02E98"/>
    <w:rsid w:val="00A03054"/>
    <w:rsid w:val="00A045F2"/>
    <w:rsid w:val="00A0584B"/>
    <w:rsid w:val="00A06954"/>
    <w:rsid w:val="00A07581"/>
    <w:rsid w:val="00A075EC"/>
    <w:rsid w:val="00A104DD"/>
    <w:rsid w:val="00A12662"/>
    <w:rsid w:val="00A12CD8"/>
    <w:rsid w:val="00A12D36"/>
    <w:rsid w:val="00A12F2D"/>
    <w:rsid w:val="00A13192"/>
    <w:rsid w:val="00A1391D"/>
    <w:rsid w:val="00A145B8"/>
    <w:rsid w:val="00A15DBA"/>
    <w:rsid w:val="00A16CA2"/>
    <w:rsid w:val="00A16DDD"/>
    <w:rsid w:val="00A17DD3"/>
    <w:rsid w:val="00A17EBC"/>
    <w:rsid w:val="00A22174"/>
    <w:rsid w:val="00A22346"/>
    <w:rsid w:val="00A22502"/>
    <w:rsid w:val="00A23573"/>
    <w:rsid w:val="00A23A61"/>
    <w:rsid w:val="00A25A68"/>
    <w:rsid w:val="00A25C13"/>
    <w:rsid w:val="00A27AB7"/>
    <w:rsid w:val="00A27B41"/>
    <w:rsid w:val="00A33087"/>
    <w:rsid w:val="00A3392A"/>
    <w:rsid w:val="00A3409C"/>
    <w:rsid w:val="00A353C1"/>
    <w:rsid w:val="00A3573E"/>
    <w:rsid w:val="00A35AD1"/>
    <w:rsid w:val="00A36AB8"/>
    <w:rsid w:val="00A37A08"/>
    <w:rsid w:val="00A40037"/>
    <w:rsid w:val="00A4008D"/>
    <w:rsid w:val="00A40314"/>
    <w:rsid w:val="00A405A7"/>
    <w:rsid w:val="00A40C18"/>
    <w:rsid w:val="00A41B8C"/>
    <w:rsid w:val="00A42483"/>
    <w:rsid w:val="00A438C3"/>
    <w:rsid w:val="00A4408E"/>
    <w:rsid w:val="00A44A97"/>
    <w:rsid w:val="00A44B25"/>
    <w:rsid w:val="00A44C73"/>
    <w:rsid w:val="00A45241"/>
    <w:rsid w:val="00A45F63"/>
    <w:rsid w:val="00A46470"/>
    <w:rsid w:val="00A46860"/>
    <w:rsid w:val="00A4724A"/>
    <w:rsid w:val="00A477FE"/>
    <w:rsid w:val="00A47F86"/>
    <w:rsid w:val="00A50B7C"/>
    <w:rsid w:val="00A50F3C"/>
    <w:rsid w:val="00A51B9F"/>
    <w:rsid w:val="00A5304B"/>
    <w:rsid w:val="00A55275"/>
    <w:rsid w:val="00A5606E"/>
    <w:rsid w:val="00A565B9"/>
    <w:rsid w:val="00A57AEE"/>
    <w:rsid w:val="00A60925"/>
    <w:rsid w:val="00A60EE3"/>
    <w:rsid w:val="00A632E3"/>
    <w:rsid w:val="00A63601"/>
    <w:rsid w:val="00A63D78"/>
    <w:rsid w:val="00A640A8"/>
    <w:rsid w:val="00A64164"/>
    <w:rsid w:val="00A64594"/>
    <w:rsid w:val="00A64C10"/>
    <w:rsid w:val="00A64EC3"/>
    <w:rsid w:val="00A65181"/>
    <w:rsid w:val="00A6735A"/>
    <w:rsid w:val="00A67D7A"/>
    <w:rsid w:val="00A703DF"/>
    <w:rsid w:val="00A70D73"/>
    <w:rsid w:val="00A72D9B"/>
    <w:rsid w:val="00A731D4"/>
    <w:rsid w:val="00A73E36"/>
    <w:rsid w:val="00A74364"/>
    <w:rsid w:val="00A74456"/>
    <w:rsid w:val="00A74916"/>
    <w:rsid w:val="00A74BE2"/>
    <w:rsid w:val="00A74EB6"/>
    <w:rsid w:val="00A74FA7"/>
    <w:rsid w:val="00A75258"/>
    <w:rsid w:val="00A75913"/>
    <w:rsid w:val="00A775A3"/>
    <w:rsid w:val="00A77AC1"/>
    <w:rsid w:val="00A80072"/>
    <w:rsid w:val="00A807FD"/>
    <w:rsid w:val="00A80D2E"/>
    <w:rsid w:val="00A81985"/>
    <w:rsid w:val="00A830A6"/>
    <w:rsid w:val="00A83BAE"/>
    <w:rsid w:val="00A83CE3"/>
    <w:rsid w:val="00A8427A"/>
    <w:rsid w:val="00A84A47"/>
    <w:rsid w:val="00A84F13"/>
    <w:rsid w:val="00A878B8"/>
    <w:rsid w:val="00A87A40"/>
    <w:rsid w:val="00A908C3"/>
    <w:rsid w:val="00A90EBF"/>
    <w:rsid w:val="00A91124"/>
    <w:rsid w:val="00A91C43"/>
    <w:rsid w:val="00A92239"/>
    <w:rsid w:val="00A933D0"/>
    <w:rsid w:val="00A94011"/>
    <w:rsid w:val="00A94940"/>
    <w:rsid w:val="00A953A8"/>
    <w:rsid w:val="00A95510"/>
    <w:rsid w:val="00A97FF1"/>
    <w:rsid w:val="00AA08E0"/>
    <w:rsid w:val="00AA0D26"/>
    <w:rsid w:val="00AA1DC6"/>
    <w:rsid w:val="00AA2032"/>
    <w:rsid w:val="00AA2832"/>
    <w:rsid w:val="00AA3009"/>
    <w:rsid w:val="00AA308A"/>
    <w:rsid w:val="00AA3BBF"/>
    <w:rsid w:val="00AA4C4D"/>
    <w:rsid w:val="00AA61D0"/>
    <w:rsid w:val="00AA67C2"/>
    <w:rsid w:val="00AA74E0"/>
    <w:rsid w:val="00AB02E3"/>
    <w:rsid w:val="00AB1C20"/>
    <w:rsid w:val="00AB39CC"/>
    <w:rsid w:val="00AB53F2"/>
    <w:rsid w:val="00AB5561"/>
    <w:rsid w:val="00AB579D"/>
    <w:rsid w:val="00AB7D6A"/>
    <w:rsid w:val="00AC041E"/>
    <w:rsid w:val="00AC0692"/>
    <w:rsid w:val="00AC263B"/>
    <w:rsid w:val="00AC2BB1"/>
    <w:rsid w:val="00AC31BA"/>
    <w:rsid w:val="00AC3D3D"/>
    <w:rsid w:val="00AC48BA"/>
    <w:rsid w:val="00AC5469"/>
    <w:rsid w:val="00AC597C"/>
    <w:rsid w:val="00AC69A7"/>
    <w:rsid w:val="00AC737F"/>
    <w:rsid w:val="00AC74D8"/>
    <w:rsid w:val="00AC7777"/>
    <w:rsid w:val="00AC7CCF"/>
    <w:rsid w:val="00AD0364"/>
    <w:rsid w:val="00AD0437"/>
    <w:rsid w:val="00AD07D1"/>
    <w:rsid w:val="00AD09B2"/>
    <w:rsid w:val="00AD0D39"/>
    <w:rsid w:val="00AD15A2"/>
    <w:rsid w:val="00AD1726"/>
    <w:rsid w:val="00AD1924"/>
    <w:rsid w:val="00AD1B51"/>
    <w:rsid w:val="00AD1B5D"/>
    <w:rsid w:val="00AD1F9C"/>
    <w:rsid w:val="00AD28AD"/>
    <w:rsid w:val="00AD36D0"/>
    <w:rsid w:val="00AD3B71"/>
    <w:rsid w:val="00AD4995"/>
    <w:rsid w:val="00AD4D85"/>
    <w:rsid w:val="00AD51D2"/>
    <w:rsid w:val="00AD52EB"/>
    <w:rsid w:val="00AD5A8E"/>
    <w:rsid w:val="00AD6056"/>
    <w:rsid w:val="00AD6273"/>
    <w:rsid w:val="00AD6341"/>
    <w:rsid w:val="00AD640E"/>
    <w:rsid w:val="00AD7AEF"/>
    <w:rsid w:val="00AE065B"/>
    <w:rsid w:val="00AE11F6"/>
    <w:rsid w:val="00AE2451"/>
    <w:rsid w:val="00AE29FA"/>
    <w:rsid w:val="00AE3880"/>
    <w:rsid w:val="00AE4DBC"/>
    <w:rsid w:val="00AE5657"/>
    <w:rsid w:val="00AE64C5"/>
    <w:rsid w:val="00AE6579"/>
    <w:rsid w:val="00AE69EE"/>
    <w:rsid w:val="00AE6AED"/>
    <w:rsid w:val="00AE75E7"/>
    <w:rsid w:val="00AE7657"/>
    <w:rsid w:val="00AF034E"/>
    <w:rsid w:val="00AF0790"/>
    <w:rsid w:val="00AF1895"/>
    <w:rsid w:val="00AF2D8A"/>
    <w:rsid w:val="00AF2FAD"/>
    <w:rsid w:val="00AF4802"/>
    <w:rsid w:val="00AF4BF2"/>
    <w:rsid w:val="00AF5419"/>
    <w:rsid w:val="00AF546E"/>
    <w:rsid w:val="00AF5AD2"/>
    <w:rsid w:val="00AF5E2E"/>
    <w:rsid w:val="00AF64E7"/>
    <w:rsid w:val="00AF65F9"/>
    <w:rsid w:val="00AF6948"/>
    <w:rsid w:val="00AF6A0C"/>
    <w:rsid w:val="00AF7C6C"/>
    <w:rsid w:val="00B0147F"/>
    <w:rsid w:val="00B01C87"/>
    <w:rsid w:val="00B0292E"/>
    <w:rsid w:val="00B05C4F"/>
    <w:rsid w:val="00B07029"/>
    <w:rsid w:val="00B07D62"/>
    <w:rsid w:val="00B1044E"/>
    <w:rsid w:val="00B10BA0"/>
    <w:rsid w:val="00B12EEC"/>
    <w:rsid w:val="00B13A19"/>
    <w:rsid w:val="00B1412A"/>
    <w:rsid w:val="00B1465A"/>
    <w:rsid w:val="00B14A86"/>
    <w:rsid w:val="00B16E62"/>
    <w:rsid w:val="00B1792E"/>
    <w:rsid w:val="00B17CCC"/>
    <w:rsid w:val="00B2043C"/>
    <w:rsid w:val="00B2076F"/>
    <w:rsid w:val="00B21664"/>
    <w:rsid w:val="00B2167A"/>
    <w:rsid w:val="00B21B86"/>
    <w:rsid w:val="00B21FEA"/>
    <w:rsid w:val="00B221DE"/>
    <w:rsid w:val="00B223AE"/>
    <w:rsid w:val="00B25559"/>
    <w:rsid w:val="00B25689"/>
    <w:rsid w:val="00B25996"/>
    <w:rsid w:val="00B2628F"/>
    <w:rsid w:val="00B26FE6"/>
    <w:rsid w:val="00B27425"/>
    <w:rsid w:val="00B3002A"/>
    <w:rsid w:val="00B301B9"/>
    <w:rsid w:val="00B31550"/>
    <w:rsid w:val="00B31A95"/>
    <w:rsid w:val="00B322DC"/>
    <w:rsid w:val="00B32715"/>
    <w:rsid w:val="00B329A6"/>
    <w:rsid w:val="00B33397"/>
    <w:rsid w:val="00B333C5"/>
    <w:rsid w:val="00B34080"/>
    <w:rsid w:val="00B3458F"/>
    <w:rsid w:val="00B3468F"/>
    <w:rsid w:val="00B36E2F"/>
    <w:rsid w:val="00B37D86"/>
    <w:rsid w:val="00B4109A"/>
    <w:rsid w:val="00B41902"/>
    <w:rsid w:val="00B4194B"/>
    <w:rsid w:val="00B41CFD"/>
    <w:rsid w:val="00B42AAE"/>
    <w:rsid w:val="00B42D57"/>
    <w:rsid w:val="00B4317B"/>
    <w:rsid w:val="00B43540"/>
    <w:rsid w:val="00B4387A"/>
    <w:rsid w:val="00B4427F"/>
    <w:rsid w:val="00B44B66"/>
    <w:rsid w:val="00B45846"/>
    <w:rsid w:val="00B461A3"/>
    <w:rsid w:val="00B465F4"/>
    <w:rsid w:val="00B47681"/>
    <w:rsid w:val="00B50643"/>
    <w:rsid w:val="00B510F3"/>
    <w:rsid w:val="00B518A8"/>
    <w:rsid w:val="00B53123"/>
    <w:rsid w:val="00B53EE9"/>
    <w:rsid w:val="00B54E41"/>
    <w:rsid w:val="00B55983"/>
    <w:rsid w:val="00B56BEB"/>
    <w:rsid w:val="00B5740C"/>
    <w:rsid w:val="00B5773E"/>
    <w:rsid w:val="00B60E70"/>
    <w:rsid w:val="00B61136"/>
    <w:rsid w:val="00B63204"/>
    <w:rsid w:val="00B638B8"/>
    <w:rsid w:val="00B63C07"/>
    <w:rsid w:val="00B63CE2"/>
    <w:rsid w:val="00B648F7"/>
    <w:rsid w:val="00B65388"/>
    <w:rsid w:val="00B65CB0"/>
    <w:rsid w:val="00B66736"/>
    <w:rsid w:val="00B66EA6"/>
    <w:rsid w:val="00B67650"/>
    <w:rsid w:val="00B72476"/>
    <w:rsid w:val="00B72BE2"/>
    <w:rsid w:val="00B73E01"/>
    <w:rsid w:val="00B742A4"/>
    <w:rsid w:val="00B74816"/>
    <w:rsid w:val="00B74D57"/>
    <w:rsid w:val="00B77864"/>
    <w:rsid w:val="00B804D4"/>
    <w:rsid w:val="00B80C93"/>
    <w:rsid w:val="00B817D6"/>
    <w:rsid w:val="00B81C8E"/>
    <w:rsid w:val="00B82475"/>
    <w:rsid w:val="00B8284C"/>
    <w:rsid w:val="00B84C33"/>
    <w:rsid w:val="00B84F52"/>
    <w:rsid w:val="00B84FB5"/>
    <w:rsid w:val="00B86183"/>
    <w:rsid w:val="00B912F7"/>
    <w:rsid w:val="00B92258"/>
    <w:rsid w:val="00B9350B"/>
    <w:rsid w:val="00B93B45"/>
    <w:rsid w:val="00B94F44"/>
    <w:rsid w:val="00B952D2"/>
    <w:rsid w:val="00B95B00"/>
    <w:rsid w:val="00B95E11"/>
    <w:rsid w:val="00BA00AC"/>
    <w:rsid w:val="00BA22C9"/>
    <w:rsid w:val="00BA27D0"/>
    <w:rsid w:val="00BA2C7B"/>
    <w:rsid w:val="00BA2E93"/>
    <w:rsid w:val="00BA31D9"/>
    <w:rsid w:val="00BA3301"/>
    <w:rsid w:val="00BA3DC4"/>
    <w:rsid w:val="00BA4A56"/>
    <w:rsid w:val="00BA5743"/>
    <w:rsid w:val="00BA685E"/>
    <w:rsid w:val="00BA79DB"/>
    <w:rsid w:val="00BB1470"/>
    <w:rsid w:val="00BB4921"/>
    <w:rsid w:val="00BB4F9F"/>
    <w:rsid w:val="00BB50CC"/>
    <w:rsid w:val="00BB522B"/>
    <w:rsid w:val="00BC0492"/>
    <w:rsid w:val="00BC0986"/>
    <w:rsid w:val="00BC129B"/>
    <w:rsid w:val="00BC192B"/>
    <w:rsid w:val="00BC1F91"/>
    <w:rsid w:val="00BC2890"/>
    <w:rsid w:val="00BC30CF"/>
    <w:rsid w:val="00BC34B8"/>
    <w:rsid w:val="00BC4C15"/>
    <w:rsid w:val="00BC4D6A"/>
    <w:rsid w:val="00BC6E5D"/>
    <w:rsid w:val="00BC7604"/>
    <w:rsid w:val="00BD00E0"/>
    <w:rsid w:val="00BD0C36"/>
    <w:rsid w:val="00BD12A8"/>
    <w:rsid w:val="00BD26D2"/>
    <w:rsid w:val="00BD3BEF"/>
    <w:rsid w:val="00BD3CBC"/>
    <w:rsid w:val="00BD3DC3"/>
    <w:rsid w:val="00BD4483"/>
    <w:rsid w:val="00BD513F"/>
    <w:rsid w:val="00BD521C"/>
    <w:rsid w:val="00BD5629"/>
    <w:rsid w:val="00BD594C"/>
    <w:rsid w:val="00BD763E"/>
    <w:rsid w:val="00BD776A"/>
    <w:rsid w:val="00BE0DFE"/>
    <w:rsid w:val="00BE2E37"/>
    <w:rsid w:val="00BE3077"/>
    <w:rsid w:val="00BE3854"/>
    <w:rsid w:val="00BE4E99"/>
    <w:rsid w:val="00BE6A5A"/>
    <w:rsid w:val="00BE6D23"/>
    <w:rsid w:val="00BE770C"/>
    <w:rsid w:val="00BF0BFA"/>
    <w:rsid w:val="00BF108E"/>
    <w:rsid w:val="00BF2AE5"/>
    <w:rsid w:val="00BF2D98"/>
    <w:rsid w:val="00BF3AB6"/>
    <w:rsid w:val="00BF3BA9"/>
    <w:rsid w:val="00BF67AE"/>
    <w:rsid w:val="00BF730B"/>
    <w:rsid w:val="00BF7E3D"/>
    <w:rsid w:val="00C00074"/>
    <w:rsid w:val="00C00957"/>
    <w:rsid w:val="00C022BA"/>
    <w:rsid w:val="00C029E1"/>
    <w:rsid w:val="00C02A3F"/>
    <w:rsid w:val="00C03DE1"/>
    <w:rsid w:val="00C05E0C"/>
    <w:rsid w:val="00C06993"/>
    <w:rsid w:val="00C07603"/>
    <w:rsid w:val="00C1340D"/>
    <w:rsid w:val="00C13BA0"/>
    <w:rsid w:val="00C13E8E"/>
    <w:rsid w:val="00C1477C"/>
    <w:rsid w:val="00C15760"/>
    <w:rsid w:val="00C20740"/>
    <w:rsid w:val="00C20C98"/>
    <w:rsid w:val="00C2146D"/>
    <w:rsid w:val="00C21A8F"/>
    <w:rsid w:val="00C21C8E"/>
    <w:rsid w:val="00C22099"/>
    <w:rsid w:val="00C224D7"/>
    <w:rsid w:val="00C23A01"/>
    <w:rsid w:val="00C245BA"/>
    <w:rsid w:val="00C246EC"/>
    <w:rsid w:val="00C2576E"/>
    <w:rsid w:val="00C264B7"/>
    <w:rsid w:val="00C26D12"/>
    <w:rsid w:val="00C26E8F"/>
    <w:rsid w:val="00C3036B"/>
    <w:rsid w:val="00C307E0"/>
    <w:rsid w:val="00C32150"/>
    <w:rsid w:val="00C32E7E"/>
    <w:rsid w:val="00C34886"/>
    <w:rsid w:val="00C34CFF"/>
    <w:rsid w:val="00C35740"/>
    <w:rsid w:val="00C358EA"/>
    <w:rsid w:val="00C35D3D"/>
    <w:rsid w:val="00C36FD4"/>
    <w:rsid w:val="00C407E7"/>
    <w:rsid w:val="00C40C3A"/>
    <w:rsid w:val="00C4206B"/>
    <w:rsid w:val="00C42654"/>
    <w:rsid w:val="00C4308A"/>
    <w:rsid w:val="00C43CDD"/>
    <w:rsid w:val="00C44C22"/>
    <w:rsid w:val="00C45AA8"/>
    <w:rsid w:val="00C4699D"/>
    <w:rsid w:val="00C50936"/>
    <w:rsid w:val="00C510B9"/>
    <w:rsid w:val="00C538BB"/>
    <w:rsid w:val="00C54B84"/>
    <w:rsid w:val="00C56A3B"/>
    <w:rsid w:val="00C56A41"/>
    <w:rsid w:val="00C56D1F"/>
    <w:rsid w:val="00C5712A"/>
    <w:rsid w:val="00C57FB3"/>
    <w:rsid w:val="00C6054C"/>
    <w:rsid w:val="00C60908"/>
    <w:rsid w:val="00C60E88"/>
    <w:rsid w:val="00C617E3"/>
    <w:rsid w:val="00C61DDC"/>
    <w:rsid w:val="00C61E2F"/>
    <w:rsid w:val="00C62F0F"/>
    <w:rsid w:val="00C63196"/>
    <w:rsid w:val="00C64D05"/>
    <w:rsid w:val="00C6564C"/>
    <w:rsid w:val="00C663C5"/>
    <w:rsid w:val="00C66809"/>
    <w:rsid w:val="00C676D6"/>
    <w:rsid w:val="00C67707"/>
    <w:rsid w:val="00C67804"/>
    <w:rsid w:val="00C70830"/>
    <w:rsid w:val="00C7091A"/>
    <w:rsid w:val="00C72E5D"/>
    <w:rsid w:val="00C731A1"/>
    <w:rsid w:val="00C73F89"/>
    <w:rsid w:val="00C74E6D"/>
    <w:rsid w:val="00C74F19"/>
    <w:rsid w:val="00C7557C"/>
    <w:rsid w:val="00C75DBB"/>
    <w:rsid w:val="00C76172"/>
    <w:rsid w:val="00C7691C"/>
    <w:rsid w:val="00C77C61"/>
    <w:rsid w:val="00C8013E"/>
    <w:rsid w:val="00C808D3"/>
    <w:rsid w:val="00C81B44"/>
    <w:rsid w:val="00C81E86"/>
    <w:rsid w:val="00C83920"/>
    <w:rsid w:val="00C839B5"/>
    <w:rsid w:val="00C83D86"/>
    <w:rsid w:val="00C83F84"/>
    <w:rsid w:val="00C84942"/>
    <w:rsid w:val="00C84FC2"/>
    <w:rsid w:val="00C860EB"/>
    <w:rsid w:val="00C86588"/>
    <w:rsid w:val="00C87E52"/>
    <w:rsid w:val="00C9026F"/>
    <w:rsid w:val="00C903FB"/>
    <w:rsid w:val="00C9069D"/>
    <w:rsid w:val="00C9103C"/>
    <w:rsid w:val="00C92E4E"/>
    <w:rsid w:val="00C932B0"/>
    <w:rsid w:val="00C941BD"/>
    <w:rsid w:val="00C9467E"/>
    <w:rsid w:val="00C94E75"/>
    <w:rsid w:val="00C9594F"/>
    <w:rsid w:val="00C9691A"/>
    <w:rsid w:val="00C97138"/>
    <w:rsid w:val="00CA1016"/>
    <w:rsid w:val="00CA1F8B"/>
    <w:rsid w:val="00CA241F"/>
    <w:rsid w:val="00CA2DC3"/>
    <w:rsid w:val="00CA2E4C"/>
    <w:rsid w:val="00CA3721"/>
    <w:rsid w:val="00CA39CD"/>
    <w:rsid w:val="00CA419E"/>
    <w:rsid w:val="00CA4689"/>
    <w:rsid w:val="00CA4C04"/>
    <w:rsid w:val="00CA5586"/>
    <w:rsid w:val="00CB001C"/>
    <w:rsid w:val="00CB04D9"/>
    <w:rsid w:val="00CB0FFE"/>
    <w:rsid w:val="00CB1C75"/>
    <w:rsid w:val="00CB26E1"/>
    <w:rsid w:val="00CB29AC"/>
    <w:rsid w:val="00CB3976"/>
    <w:rsid w:val="00CB3BAF"/>
    <w:rsid w:val="00CB4520"/>
    <w:rsid w:val="00CB60B2"/>
    <w:rsid w:val="00CB6B2D"/>
    <w:rsid w:val="00CB7AFC"/>
    <w:rsid w:val="00CB7B8E"/>
    <w:rsid w:val="00CB7BA8"/>
    <w:rsid w:val="00CC0012"/>
    <w:rsid w:val="00CC1D62"/>
    <w:rsid w:val="00CC2213"/>
    <w:rsid w:val="00CC22C5"/>
    <w:rsid w:val="00CC2ED6"/>
    <w:rsid w:val="00CC2EF2"/>
    <w:rsid w:val="00CC3B63"/>
    <w:rsid w:val="00CC4829"/>
    <w:rsid w:val="00CC6ACC"/>
    <w:rsid w:val="00CC6D2E"/>
    <w:rsid w:val="00CC7A65"/>
    <w:rsid w:val="00CD4051"/>
    <w:rsid w:val="00CD5D5F"/>
    <w:rsid w:val="00CD63DC"/>
    <w:rsid w:val="00CD7152"/>
    <w:rsid w:val="00CE0F3E"/>
    <w:rsid w:val="00CE16BE"/>
    <w:rsid w:val="00CE25B3"/>
    <w:rsid w:val="00CE31B1"/>
    <w:rsid w:val="00CE3FD6"/>
    <w:rsid w:val="00CE5BBE"/>
    <w:rsid w:val="00CE5E3C"/>
    <w:rsid w:val="00CE6F11"/>
    <w:rsid w:val="00CF2579"/>
    <w:rsid w:val="00CF3303"/>
    <w:rsid w:val="00CF38C0"/>
    <w:rsid w:val="00CF41EE"/>
    <w:rsid w:val="00CF4318"/>
    <w:rsid w:val="00CF4357"/>
    <w:rsid w:val="00CF4A45"/>
    <w:rsid w:val="00CF4E03"/>
    <w:rsid w:val="00D004BC"/>
    <w:rsid w:val="00D009D4"/>
    <w:rsid w:val="00D023B3"/>
    <w:rsid w:val="00D025A1"/>
    <w:rsid w:val="00D033DC"/>
    <w:rsid w:val="00D04201"/>
    <w:rsid w:val="00D04741"/>
    <w:rsid w:val="00D04E18"/>
    <w:rsid w:val="00D05015"/>
    <w:rsid w:val="00D05AE0"/>
    <w:rsid w:val="00D06B37"/>
    <w:rsid w:val="00D07064"/>
    <w:rsid w:val="00D073AE"/>
    <w:rsid w:val="00D10F67"/>
    <w:rsid w:val="00D11FCD"/>
    <w:rsid w:val="00D120BD"/>
    <w:rsid w:val="00D1274A"/>
    <w:rsid w:val="00D1290D"/>
    <w:rsid w:val="00D134EE"/>
    <w:rsid w:val="00D13B2A"/>
    <w:rsid w:val="00D1432F"/>
    <w:rsid w:val="00D157C1"/>
    <w:rsid w:val="00D158BF"/>
    <w:rsid w:val="00D15C5B"/>
    <w:rsid w:val="00D15D03"/>
    <w:rsid w:val="00D16614"/>
    <w:rsid w:val="00D1664D"/>
    <w:rsid w:val="00D17643"/>
    <w:rsid w:val="00D17867"/>
    <w:rsid w:val="00D20046"/>
    <w:rsid w:val="00D2055E"/>
    <w:rsid w:val="00D21D2C"/>
    <w:rsid w:val="00D21D65"/>
    <w:rsid w:val="00D231FA"/>
    <w:rsid w:val="00D23D35"/>
    <w:rsid w:val="00D23EC4"/>
    <w:rsid w:val="00D24BCB"/>
    <w:rsid w:val="00D24E2C"/>
    <w:rsid w:val="00D25322"/>
    <w:rsid w:val="00D25728"/>
    <w:rsid w:val="00D257C9"/>
    <w:rsid w:val="00D2599D"/>
    <w:rsid w:val="00D260D5"/>
    <w:rsid w:val="00D2631C"/>
    <w:rsid w:val="00D274BC"/>
    <w:rsid w:val="00D276CF"/>
    <w:rsid w:val="00D27DA8"/>
    <w:rsid w:val="00D3192A"/>
    <w:rsid w:val="00D31EF6"/>
    <w:rsid w:val="00D32410"/>
    <w:rsid w:val="00D33E59"/>
    <w:rsid w:val="00D346B0"/>
    <w:rsid w:val="00D34F99"/>
    <w:rsid w:val="00D37858"/>
    <w:rsid w:val="00D37867"/>
    <w:rsid w:val="00D379C0"/>
    <w:rsid w:val="00D43061"/>
    <w:rsid w:val="00D445DA"/>
    <w:rsid w:val="00D445DB"/>
    <w:rsid w:val="00D4461D"/>
    <w:rsid w:val="00D45B26"/>
    <w:rsid w:val="00D465A4"/>
    <w:rsid w:val="00D47A96"/>
    <w:rsid w:val="00D50406"/>
    <w:rsid w:val="00D50B7C"/>
    <w:rsid w:val="00D51436"/>
    <w:rsid w:val="00D51F5B"/>
    <w:rsid w:val="00D525FA"/>
    <w:rsid w:val="00D53519"/>
    <w:rsid w:val="00D54D68"/>
    <w:rsid w:val="00D55C34"/>
    <w:rsid w:val="00D56114"/>
    <w:rsid w:val="00D5635D"/>
    <w:rsid w:val="00D57010"/>
    <w:rsid w:val="00D57ACE"/>
    <w:rsid w:val="00D57B26"/>
    <w:rsid w:val="00D57EB7"/>
    <w:rsid w:val="00D603A4"/>
    <w:rsid w:val="00D606DE"/>
    <w:rsid w:val="00D6080B"/>
    <w:rsid w:val="00D610AE"/>
    <w:rsid w:val="00D613C6"/>
    <w:rsid w:val="00D61CC5"/>
    <w:rsid w:val="00D62ABF"/>
    <w:rsid w:val="00D62E34"/>
    <w:rsid w:val="00D63487"/>
    <w:rsid w:val="00D66357"/>
    <w:rsid w:val="00D70E7F"/>
    <w:rsid w:val="00D7267D"/>
    <w:rsid w:val="00D72B63"/>
    <w:rsid w:val="00D73D1E"/>
    <w:rsid w:val="00D73E01"/>
    <w:rsid w:val="00D75883"/>
    <w:rsid w:val="00D75982"/>
    <w:rsid w:val="00D75DF7"/>
    <w:rsid w:val="00D75EB2"/>
    <w:rsid w:val="00D81779"/>
    <w:rsid w:val="00D81D18"/>
    <w:rsid w:val="00D82308"/>
    <w:rsid w:val="00D82693"/>
    <w:rsid w:val="00D84A0C"/>
    <w:rsid w:val="00D856F6"/>
    <w:rsid w:val="00D85C3D"/>
    <w:rsid w:val="00D86B97"/>
    <w:rsid w:val="00D90682"/>
    <w:rsid w:val="00D91464"/>
    <w:rsid w:val="00D921BB"/>
    <w:rsid w:val="00D942B2"/>
    <w:rsid w:val="00D944CA"/>
    <w:rsid w:val="00D965B1"/>
    <w:rsid w:val="00D97516"/>
    <w:rsid w:val="00DA0FC2"/>
    <w:rsid w:val="00DA1867"/>
    <w:rsid w:val="00DA365E"/>
    <w:rsid w:val="00DA618A"/>
    <w:rsid w:val="00DA64FE"/>
    <w:rsid w:val="00DA66A4"/>
    <w:rsid w:val="00DA6FBC"/>
    <w:rsid w:val="00DA7862"/>
    <w:rsid w:val="00DA7E6C"/>
    <w:rsid w:val="00DB14E3"/>
    <w:rsid w:val="00DB275E"/>
    <w:rsid w:val="00DB39D3"/>
    <w:rsid w:val="00DB4608"/>
    <w:rsid w:val="00DB5351"/>
    <w:rsid w:val="00DB6206"/>
    <w:rsid w:val="00DB62C0"/>
    <w:rsid w:val="00DB7DCF"/>
    <w:rsid w:val="00DB7F02"/>
    <w:rsid w:val="00DC01DD"/>
    <w:rsid w:val="00DC21F1"/>
    <w:rsid w:val="00DC24CF"/>
    <w:rsid w:val="00DC3442"/>
    <w:rsid w:val="00DC6239"/>
    <w:rsid w:val="00DC6C46"/>
    <w:rsid w:val="00DC6CF7"/>
    <w:rsid w:val="00DC7537"/>
    <w:rsid w:val="00DC7554"/>
    <w:rsid w:val="00DC7A4A"/>
    <w:rsid w:val="00DD0E70"/>
    <w:rsid w:val="00DD26F6"/>
    <w:rsid w:val="00DD32D2"/>
    <w:rsid w:val="00DD400D"/>
    <w:rsid w:val="00DD5148"/>
    <w:rsid w:val="00DD5E9A"/>
    <w:rsid w:val="00DD7721"/>
    <w:rsid w:val="00DE06E6"/>
    <w:rsid w:val="00DE0957"/>
    <w:rsid w:val="00DE1EF1"/>
    <w:rsid w:val="00DE4BC0"/>
    <w:rsid w:val="00DE4C95"/>
    <w:rsid w:val="00DE4CBA"/>
    <w:rsid w:val="00DE5DAE"/>
    <w:rsid w:val="00DE701C"/>
    <w:rsid w:val="00DE78A9"/>
    <w:rsid w:val="00DE7E6C"/>
    <w:rsid w:val="00DF0871"/>
    <w:rsid w:val="00DF285F"/>
    <w:rsid w:val="00DF3C38"/>
    <w:rsid w:val="00DF3F9A"/>
    <w:rsid w:val="00DF4AED"/>
    <w:rsid w:val="00DF65B5"/>
    <w:rsid w:val="00DF69F4"/>
    <w:rsid w:val="00DF73AC"/>
    <w:rsid w:val="00E00C88"/>
    <w:rsid w:val="00E01263"/>
    <w:rsid w:val="00E02EB4"/>
    <w:rsid w:val="00E0335E"/>
    <w:rsid w:val="00E03762"/>
    <w:rsid w:val="00E03C7B"/>
    <w:rsid w:val="00E043A4"/>
    <w:rsid w:val="00E043FB"/>
    <w:rsid w:val="00E04E89"/>
    <w:rsid w:val="00E0570E"/>
    <w:rsid w:val="00E05EB3"/>
    <w:rsid w:val="00E065C6"/>
    <w:rsid w:val="00E066F5"/>
    <w:rsid w:val="00E1027A"/>
    <w:rsid w:val="00E109D5"/>
    <w:rsid w:val="00E115CF"/>
    <w:rsid w:val="00E11D13"/>
    <w:rsid w:val="00E12EE5"/>
    <w:rsid w:val="00E13D73"/>
    <w:rsid w:val="00E1474E"/>
    <w:rsid w:val="00E150D5"/>
    <w:rsid w:val="00E151B5"/>
    <w:rsid w:val="00E153F3"/>
    <w:rsid w:val="00E17EF4"/>
    <w:rsid w:val="00E206CD"/>
    <w:rsid w:val="00E2110E"/>
    <w:rsid w:val="00E21167"/>
    <w:rsid w:val="00E212E7"/>
    <w:rsid w:val="00E21692"/>
    <w:rsid w:val="00E22DBA"/>
    <w:rsid w:val="00E22E81"/>
    <w:rsid w:val="00E23125"/>
    <w:rsid w:val="00E23158"/>
    <w:rsid w:val="00E23EA3"/>
    <w:rsid w:val="00E25698"/>
    <w:rsid w:val="00E25D5C"/>
    <w:rsid w:val="00E26196"/>
    <w:rsid w:val="00E27066"/>
    <w:rsid w:val="00E27D41"/>
    <w:rsid w:val="00E30015"/>
    <w:rsid w:val="00E305DB"/>
    <w:rsid w:val="00E3097E"/>
    <w:rsid w:val="00E33FC2"/>
    <w:rsid w:val="00E3443C"/>
    <w:rsid w:val="00E34ABA"/>
    <w:rsid w:val="00E34F9B"/>
    <w:rsid w:val="00E34FB2"/>
    <w:rsid w:val="00E3528B"/>
    <w:rsid w:val="00E3537B"/>
    <w:rsid w:val="00E3588C"/>
    <w:rsid w:val="00E36C50"/>
    <w:rsid w:val="00E36CFD"/>
    <w:rsid w:val="00E37047"/>
    <w:rsid w:val="00E37A5B"/>
    <w:rsid w:val="00E417B1"/>
    <w:rsid w:val="00E41D24"/>
    <w:rsid w:val="00E43B3E"/>
    <w:rsid w:val="00E44846"/>
    <w:rsid w:val="00E44BA1"/>
    <w:rsid w:val="00E4597F"/>
    <w:rsid w:val="00E45A05"/>
    <w:rsid w:val="00E45B2D"/>
    <w:rsid w:val="00E45DB2"/>
    <w:rsid w:val="00E46AFD"/>
    <w:rsid w:val="00E47BDA"/>
    <w:rsid w:val="00E47CDE"/>
    <w:rsid w:val="00E47D53"/>
    <w:rsid w:val="00E500EB"/>
    <w:rsid w:val="00E502FA"/>
    <w:rsid w:val="00E511B4"/>
    <w:rsid w:val="00E514E9"/>
    <w:rsid w:val="00E524F5"/>
    <w:rsid w:val="00E52A32"/>
    <w:rsid w:val="00E534FF"/>
    <w:rsid w:val="00E539C3"/>
    <w:rsid w:val="00E549D5"/>
    <w:rsid w:val="00E54C1E"/>
    <w:rsid w:val="00E54E71"/>
    <w:rsid w:val="00E54EA6"/>
    <w:rsid w:val="00E550F0"/>
    <w:rsid w:val="00E556DE"/>
    <w:rsid w:val="00E56879"/>
    <w:rsid w:val="00E56D81"/>
    <w:rsid w:val="00E57671"/>
    <w:rsid w:val="00E613CE"/>
    <w:rsid w:val="00E617E9"/>
    <w:rsid w:val="00E62DC7"/>
    <w:rsid w:val="00E64028"/>
    <w:rsid w:val="00E66388"/>
    <w:rsid w:val="00E6764A"/>
    <w:rsid w:val="00E67B85"/>
    <w:rsid w:val="00E70B60"/>
    <w:rsid w:val="00E7104F"/>
    <w:rsid w:val="00E71817"/>
    <w:rsid w:val="00E72352"/>
    <w:rsid w:val="00E74E67"/>
    <w:rsid w:val="00E7634B"/>
    <w:rsid w:val="00E76C70"/>
    <w:rsid w:val="00E774F0"/>
    <w:rsid w:val="00E8145E"/>
    <w:rsid w:val="00E84EF2"/>
    <w:rsid w:val="00E84F18"/>
    <w:rsid w:val="00E85BE8"/>
    <w:rsid w:val="00E9032E"/>
    <w:rsid w:val="00E9051D"/>
    <w:rsid w:val="00E90958"/>
    <w:rsid w:val="00E9142C"/>
    <w:rsid w:val="00E92015"/>
    <w:rsid w:val="00E924FB"/>
    <w:rsid w:val="00E93087"/>
    <w:rsid w:val="00E9375A"/>
    <w:rsid w:val="00E93885"/>
    <w:rsid w:val="00E94A50"/>
    <w:rsid w:val="00E94A82"/>
    <w:rsid w:val="00E964F8"/>
    <w:rsid w:val="00E96C99"/>
    <w:rsid w:val="00E974F2"/>
    <w:rsid w:val="00EA05B0"/>
    <w:rsid w:val="00EA074D"/>
    <w:rsid w:val="00EA30EA"/>
    <w:rsid w:val="00EA357E"/>
    <w:rsid w:val="00EA49E6"/>
    <w:rsid w:val="00EA4B2F"/>
    <w:rsid w:val="00EA551B"/>
    <w:rsid w:val="00EA5C00"/>
    <w:rsid w:val="00EA5CEA"/>
    <w:rsid w:val="00EA5F25"/>
    <w:rsid w:val="00EA621C"/>
    <w:rsid w:val="00EA6E49"/>
    <w:rsid w:val="00EB0B06"/>
    <w:rsid w:val="00EB2369"/>
    <w:rsid w:val="00EB2717"/>
    <w:rsid w:val="00EB33BB"/>
    <w:rsid w:val="00EB3631"/>
    <w:rsid w:val="00EB3C26"/>
    <w:rsid w:val="00EB3F12"/>
    <w:rsid w:val="00EB468A"/>
    <w:rsid w:val="00EB475B"/>
    <w:rsid w:val="00EB5568"/>
    <w:rsid w:val="00EB59B0"/>
    <w:rsid w:val="00EB5F52"/>
    <w:rsid w:val="00EB7250"/>
    <w:rsid w:val="00EB7542"/>
    <w:rsid w:val="00EB75F0"/>
    <w:rsid w:val="00EC0483"/>
    <w:rsid w:val="00EC0AAC"/>
    <w:rsid w:val="00EC345E"/>
    <w:rsid w:val="00EC36B6"/>
    <w:rsid w:val="00EC4330"/>
    <w:rsid w:val="00EC49ED"/>
    <w:rsid w:val="00EC519C"/>
    <w:rsid w:val="00EC542F"/>
    <w:rsid w:val="00EC5A42"/>
    <w:rsid w:val="00EC5A95"/>
    <w:rsid w:val="00EC5F25"/>
    <w:rsid w:val="00EC5F32"/>
    <w:rsid w:val="00EC6B2E"/>
    <w:rsid w:val="00EC6F83"/>
    <w:rsid w:val="00EC70D8"/>
    <w:rsid w:val="00EC72E1"/>
    <w:rsid w:val="00EC7495"/>
    <w:rsid w:val="00ED082F"/>
    <w:rsid w:val="00ED0FD2"/>
    <w:rsid w:val="00ED1640"/>
    <w:rsid w:val="00ED2D5D"/>
    <w:rsid w:val="00ED5442"/>
    <w:rsid w:val="00ED6578"/>
    <w:rsid w:val="00ED664C"/>
    <w:rsid w:val="00ED671E"/>
    <w:rsid w:val="00EE1E1F"/>
    <w:rsid w:val="00EE2521"/>
    <w:rsid w:val="00EE2524"/>
    <w:rsid w:val="00EE28B5"/>
    <w:rsid w:val="00EE49BB"/>
    <w:rsid w:val="00EE6F20"/>
    <w:rsid w:val="00EE6F81"/>
    <w:rsid w:val="00EE7437"/>
    <w:rsid w:val="00EF00C8"/>
    <w:rsid w:val="00EF08A9"/>
    <w:rsid w:val="00EF1691"/>
    <w:rsid w:val="00EF1B67"/>
    <w:rsid w:val="00EF1C74"/>
    <w:rsid w:val="00EF232F"/>
    <w:rsid w:val="00EF4616"/>
    <w:rsid w:val="00EF4B12"/>
    <w:rsid w:val="00EF5388"/>
    <w:rsid w:val="00EF56D4"/>
    <w:rsid w:val="00EF6B34"/>
    <w:rsid w:val="00EF731C"/>
    <w:rsid w:val="00EF772E"/>
    <w:rsid w:val="00F00361"/>
    <w:rsid w:val="00F00D9E"/>
    <w:rsid w:val="00F00F3E"/>
    <w:rsid w:val="00F01D6F"/>
    <w:rsid w:val="00F03A52"/>
    <w:rsid w:val="00F0404E"/>
    <w:rsid w:val="00F04AD3"/>
    <w:rsid w:val="00F05332"/>
    <w:rsid w:val="00F06F42"/>
    <w:rsid w:val="00F102E8"/>
    <w:rsid w:val="00F10AAB"/>
    <w:rsid w:val="00F10B2E"/>
    <w:rsid w:val="00F10E3D"/>
    <w:rsid w:val="00F112DF"/>
    <w:rsid w:val="00F11EF5"/>
    <w:rsid w:val="00F12535"/>
    <w:rsid w:val="00F13052"/>
    <w:rsid w:val="00F1470A"/>
    <w:rsid w:val="00F16F32"/>
    <w:rsid w:val="00F17E7B"/>
    <w:rsid w:val="00F205E7"/>
    <w:rsid w:val="00F21E91"/>
    <w:rsid w:val="00F22810"/>
    <w:rsid w:val="00F232AD"/>
    <w:rsid w:val="00F232CD"/>
    <w:rsid w:val="00F23608"/>
    <w:rsid w:val="00F26154"/>
    <w:rsid w:val="00F270A5"/>
    <w:rsid w:val="00F303FE"/>
    <w:rsid w:val="00F307FD"/>
    <w:rsid w:val="00F3198E"/>
    <w:rsid w:val="00F32550"/>
    <w:rsid w:val="00F32994"/>
    <w:rsid w:val="00F33345"/>
    <w:rsid w:val="00F3433F"/>
    <w:rsid w:val="00F344E8"/>
    <w:rsid w:val="00F353FC"/>
    <w:rsid w:val="00F35A3C"/>
    <w:rsid w:val="00F35D80"/>
    <w:rsid w:val="00F370F4"/>
    <w:rsid w:val="00F37200"/>
    <w:rsid w:val="00F37C6E"/>
    <w:rsid w:val="00F40170"/>
    <w:rsid w:val="00F40FC4"/>
    <w:rsid w:val="00F4144A"/>
    <w:rsid w:val="00F433B0"/>
    <w:rsid w:val="00F437EE"/>
    <w:rsid w:val="00F43801"/>
    <w:rsid w:val="00F43FA7"/>
    <w:rsid w:val="00F4430F"/>
    <w:rsid w:val="00F449F9"/>
    <w:rsid w:val="00F44F3C"/>
    <w:rsid w:val="00F44F94"/>
    <w:rsid w:val="00F45137"/>
    <w:rsid w:val="00F4547F"/>
    <w:rsid w:val="00F458D9"/>
    <w:rsid w:val="00F477E7"/>
    <w:rsid w:val="00F47EF3"/>
    <w:rsid w:val="00F501EF"/>
    <w:rsid w:val="00F5172A"/>
    <w:rsid w:val="00F51C99"/>
    <w:rsid w:val="00F52FAD"/>
    <w:rsid w:val="00F53822"/>
    <w:rsid w:val="00F5449D"/>
    <w:rsid w:val="00F55AF2"/>
    <w:rsid w:val="00F55BC7"/>
    <w:rsid w:val="00F56014"/>
    <w:rsid w:val="00F56127"/>
    <w:rsid w:val="00F56162"/>
    <w:rsid w:val="00F60068"/>
    <w:rsid w:val="00F60702"/>
    <w:rsid w:val="00F60866"/>
    <w:rsid w:val="00F61E02"/>
    <w:rsid w:val="00F6216E"/>
    <w:rsid w:val="00F62D1A"/>
    <w:rsid w:val="00F63BDB"/>
    <w:rsid w:val="00F645D2"/>
    <w:rsid w:val="00F657E0"/>
    <w:rsid w:val="00F730DC"/>
    <w:rsid w:val="00F74B9D"/>
    <w:rsid w:val="00F74CC0"/>
    <w:rsid w:val="00F756F0"/>
    <w:rsid w:val="00F759A3"/>
    <w:rsid w:val="00F8056C"/>
    <w:rsid w:val="00F80C02"/>
    <w:rsid w:val="00F80E1A"/>
    <w:rsid w:val="00F824A4"/>
    <w:rsid w:val="00F82A87"/>
    <w:rsid w:val="00F83452"/>
    <w:rsid w:val="00F83847"/>
    <w:rsid w:val="00F83C66"/>
    <w:rsid w:val="00F840CF"/>
    <w:rsid w:val="00F852F6"/>
    <w:rsid w:val="00F8608B"/>
    <w:rsid w:val="00F86FCE"/>
    <w:rsid w:val="00F8703F"/>
    <w:rsid w:val="00F87946"/>
    <w:rsid w:val="00F87D64"/>
    <w:rsid w:val="00F92416"/>
    <w:rsid w:val="00F9292F"/>
    <w:rsid w:val="00F92954"/>
    <w:rsid w:val="00F92D17"/>
    <w:rsid w:val="00F9596B"/>
    <w:rsid w:val="00F95D3D"/>
    <w:rsid w:val="00F96077"/>
    <w:rsid w:val="00F965CF"/>
    <w:rsid w:val="00F9686A"/>
    <w:rsid w:val="00F96B9F"/>
    <w:rsid w:val="00F96C8D"/>
    <w:rsid w:val="00F9711E"/>
    <w:rsid w:val="00F97B7A"/>
    <w:rsid w:val="00FA4087"/>
    <w:rsid w:val="00FA4294"/>
    <w:rsid w:val="00FA54FE"/>
    <w:rsid w:val="00FA555B"/>
    <w:rsid w:val="00FA6B49"/>
    <w:rsid w:val="00FA7764"/>
    <w:rsid w:val="00FA7EBC"/>
    <w:rsid w:val="00FB01BE"/>
    <w:rsid w:val="00FB1DEE"/>
    <w:rsid w:val="00FB20B1"/>
    <w:rsid w:val="00FB2128"/>
    <w:rsid w:val="00FB21C9"/>
    <w:rsid w:val="00FB2DEB"/>
    <w:rsid w:val="00FB3300"/>
    <w:rsid w:val="00FB3D13"/>
    <w:rsid w:val="00FB7819"/>
    <w:rsid w:val="00FB7E25"/>
    <w:rsid w:val="00FC0F5B"/>
    <w:rsid w:val="00FC221F"/>
    <w:rsid w:val="00FC2DFC"/>
    <w:rsid w:val="00FC4094"/>
    <w:rsid w:val="00FC615A"/>
    <w:rsid w:val="00FC65F7"/>
    <w:rsid w:val="00FC6830"/>
    <w:rsid w:val="00FD022E"/>
    <w:rsid w:val="00FD168A"/>
    <w:rsid w:val="00FD23E4"/>
    <w:rsid w:val="00FD38BF"/>
    <w:rsid w:val="00FD396F"/>
    <w:rsid w:val="00FD4358"/>
    <w:rsid w:val="00FD43D9"/>
    <w:rsid w:val="00FD5DE6"/>
    <w:rsid w:val="00FD63B1"/>
    <w:rsid w:val="00FE0924"/>
    <w:rsid w:val="00FE0A23"/>
    <w:rsid w:val="00FE0CF9"/>
    <w:rsid w:val="00FE2374"/>
    <w:rsid w:val="00FE2735"/>
    <w:rsid w:val="00FE2822"/>
    <w:rsid w:val="00FE2B0F"/>
    <w:rsid w:val="00FE311A"/>
    <w:rsid w:val="00FE4BA2"/>
    <w:rsid w:val="00FE50AD"/>
    <w:rsid w:val="00FE6107"/>
    <w:rsid w:val="00FE6B03"/>
    <w:rsid w:val="00FE7057"/>
    <w:rsid w:val="00FF07E6"/>
    <w:rsid w:val="00FF096A"/>
    <w:rsid w:val="00FF1AD1"/>
    <w:rsid w:val="00FF1F7C"/>
    <w:rsid w:val="00FF28E8"/>
    <w:rsid w:val="00FF3F5F"/>
    <w:rsid w:val="00FF3F6A"/>
    <w:rsid w:val="00FF4345"/>
    <w:rsid w:val="00FF56AE"/>
    <w:rsid w:val="00FF5CF4"/>
    <w:rsid w:val="00FF677A"/>
    <w:rsid w:val="01004CF0"/>
    <w:rsid w:val="01027F02"/>
    <w:rsid w:val="011214CE"/>
    <w:rsid w:val="01E25F28"/>
    <w:rsid w:val="01E62597"/>
    <w:rsid w:val="028432B9"/>
    <w:rsid w:val="02E6428B"/>
    <w:rsid w:val="02F9023C"/>
    <w:rsid w:val="036C5B9A"/>
    <w:rsid w:val="03704E6A"/>
    <w:rsid w:val="03803DCD"/>
    <w:rsid w:val="03827ECE"/>
    <w:rsid w:val="03C7169A"/>
    <w:rsid w:val="042737C0"/>
    <w:rsid w:val="04AA6549"/>
    <w:rsid w:val="050E0064"/>
    <w:rsid w:val="05581182"/>
    <w:rsid w:val="05FB1D33"/>
    <w:rsid w:val="06351C98"/>
    <w:rsid w:val="06521FA7"/>
    <w:rsid w:val="069056A4"/>
    <w:rsid w:val="069428AC"/>
    <w:rsid w:val="07171317"/>
    <w:rsid w:val="07551A69"/>
    <w:rsid w:val="0763678A"/>
    <w:rsid w:val="08204D13"/>
    <w:rsid w:val="083F0EB5"/>
    <w:rsid w:val="090B795E"/>
    <w:rsid w:val="092373D6"/>
    <w:rsid w:val="092C1388"/>
    <w:rsid w:val="09F958AB"/>
    <w:rsid w:val="0A2C0937"/>
    <w:rsid w:val="0A375507"/>
    <w:rsid w:val="0A8B4918"/>
    <w:rsid w:val="0A967103"/>
    <w:rsid w:val="0ABD1F8D"/>
    <w:rsid w:val="0B61313E"/>
    <w:rsid w:val="0C4C457E"/>
    <w:rsid w:val="0C743400"/>
    <w:rsid w:val="0CD44D5C"/>
    <w:rsid w:val="0D680944"/>
    <w:rsid w:val="0D7269CE"/>
    <w:rsid w:val="0DA3577D"/>
    <w:rsid w:val="0DD56AB9"/>
    <w:rsid w:val="0E066090"/>
    <w:rsid w:val="0EAD4CFB"/>
    <w:rsid w:val="0EBF4034"/>
    <w:rsid w:val="0FDB73C4"/>
    <w:rsid w:val="10401A23"/>
    <w:rsid w:val="10545B8D"/>
    <w:rsid w:val="107B28BC"/>
    <w:rsid w:val="10B357FE"/>
    <w:rsid w:val="112F5C8F"/>
    <w:rsid w:val="1152695C"/>
    <w:rsid w:val="115859F9"/>
    <w:rsid w:val="118334B6"/>
    <w:rsid w:val="126C43ED"/>
    <w:rsid w:val="12B85E94"/>
    <w:rsid w:val="12C50287"/>
    <w:rsid w:val="12C842C4"/>
    <w:rsid w:val="12DE0DDB"/>
    <w:rsid w:val="13137D1B"/>
    <w:rsid w:val="1341486A"/>
    <w:rsid w:val="13504739"/>
    <w:rsid w:val="1363058D"/>
    <w:rsid w:val="13E2597A"/>
    <w:rsid w:val="145E1109"/>
    <w:rsid w:val="1493764A"/>
    <w:rsid w:val="149C7D86"/>
    <w:rsid w:val="14AC30F4"/>
    <w:rsid w:val="14B22720"/>
    <w:rsid w:val="150F44BB"/>
    <w:rsid w:val="154D088C"/>
    <w:rsid w:val="15C47DFC"/>
    <w:rsid w:val="16822D58"/>
    <w:rsid w:val="16E72C8D"/>
    <w:rsid w:val="16E93D5E"/>
    <w:rsid w:val="16EA14EF"/>
    <w:rsid w:val="1784692B"/>
    <w:rsid w:val="18666AB5"/>
    <w:rsid w:val="18950AE8"/>
    <w:rsid w:val="18B03AF3"/>
    <w:rsid w:val="18E843D6"/>
    <w:rsid w:val="18F96391"/>
    <w:rsid w:val="1917175B"/>
    <w:rsid w:val="19522B13"/>
    <w:rsid w:val="197359CB"/>
    <w:rsid w:val="199D7476"/>
    <w:rsid w:val="19D7441C"/>
    <w:rsid w:val="1A2D56CF"/>
    <w:rsid w:val="1A457E56"/>
    <w:rsid w:val="1A574DFD"/>
    <w:rsid w:val="1A7F3FB3"/>
    <w:rsid w:val="1A9F3F68"/>
    <w:rsid w:val="1ABD168F"/>
    <w:rsid w:val="1B764CA2"/>
    <w:rsid w:val="1B894D6D"/>
    <w:rsid w:val="1B952398"/>
    <w:rsid w:val="1CF469A0"/>
    <w:rsid w:val="1D2D4C9D"/>
    <w:rsid w:val="1D333BD4"/>
    <w:rsid w:val="1DD351F8"/>
    <w:rsid w:val="1E182BD4"/>
    <w:rsid w:val="1E2C13DF"/>
    <w:rsid w:val="1E4F6465"/>
    <w:rsid w:val="1E5C5E27"/>
    <w:rsid w:val="1F713C5E"/>
    <w:rsid w:val="1F867680"/>
    <w:rsid w:val="1FFD2D2E"/>
    <w:rsid w:val="20866B9B"/>
    <w:rsid w:val="20A576DA"/>
    <w:rsid w:val="20C50F4F"/>
    <w:rsid w:val="20D2658B"/>
    <w:rsid w:val="212377EB"/>
    <w:rsid w:val="21E7254B"/>
    <w:rsid w:val="22190675"/>
    <w:rsid w:val="222164D9"/>
    <w:rsid w:val="222E3850"/>
    <w:rsid w:val="224C121C"/>
    <w:rsid w:val="22617948"/>
    <w:rsid w:val="22774ABC"/>
    <w:rsid w:val="22782467"/>
    <w:rsid w:val="227D1A84"/>
    <w:rsid w:val="22EC7BAA"/>
    <w:rsid w:val="243C1B3B"/>
    <w:rsid w:val="244D71A4"/>
    <w:rsid w:val="24FB123F"/>
    <w:rsid w:val="251F3C04"/>
    <w:rsid w:val="253B3C22"/>
    <w:rsid w:val="257A4FD8"/>
    <w:rsid w:val="25AF46E9"/>
    <w:rsid w:val="25E25DB7"/>
    <w:rsid w:val="263C68E5"/>
    <w:rsid w:val="2647162C"/>
    <w:rsid w:val="26571062"/>
    <w:rsid w:val="26860B8D"/>
    <w:rsid w:val="26D61135"/>
    <w:rsid w:val="26ED2BD5"/>
    <w:rsid w:val="276C62B2"/>
    <w:rsid w:val="27FD5087"/>
    <w:rsid w:val="28671A69"/>
    <w:rsid w:val="29502D36"/>
    <w:rsid w:val="297456B1"/>
    <w:rsid w:val="2977781D"/>
    <w:rsid w:val="297C667B"/>
    <w:rsid w:val="297D1B41"/>
    <w:rsid w:val="299944EC"/>
    <w:rsid w:val="29BC0341"/>
    <w:rsid w:val="29CB6551"/>
    <w:rsid w:val="29D32E42"/>
    <w:rsid w:val="2A144017"/>
    <w:rsid w:val="2A4D7A47"/>
    <w:rsid w:val="2AD35132"/>
    <w:rsid w:val="2AD82EEF"/>
    <w:rsid w:val="2AF7515C"/>
    <w:rsid w:val="2B0E4CCF"/>
    <w:rsid w:val="2B1C7FFA"/>
    <w:rsid w:val="2B437A4E"/>
    <w:rsid w:val="2C8566EF"/>
    <w:rsid w:val="2C931B8F"/>
    <w:rsid w:val="2CB617B6"/>
    <w:rsid w:val="2CCF33FC"/>
    <w:rsid w:val="2D000681"/>
    <w:rsid w:val="2D116A3C"/>
    <w:rsid w:val="2D3349DC"/>
    <w:rsid w:val="2D547D29"/>
    <w:rsid w:val="2D780D0C"/>
    <w:rsid w:val="2DA87313"/>
    <w:rsid w:val="2DBD6E3D"/>
    <w:rsid w:val="2DCF6110"/>
    <w:rsid w:val="2DD54804"/>
    <w:rsid w:val="2E8746D6"/>
    <w:rsid w:val="2EB635B7"/>
    <w:rsid w:val="2FF22F91"/>
    <w:rsid w:val="30A3399C"/>
    <w:rsid w:val="30CA1078"/>
    <w:rsid w:val="30CC4DC2"/>
    <w:rsid w:val="30E407F8"/>
    <w:rsid w:val="311C6AC1"/>
    <w:rsid w:val="31404198"/>
    <w:rsid w:val="315B0F7F"/>
    <w:rsid w:val="31EC2541"/>
    <w:rsid w:val="3219359E"/>
    <w:rsid w:val="32224588"/>
    <w:rsid w:val="327203D7"/>
    <w:rsid w:val="328B5C86"/>
    <w:rsid w:val="32AD6BAD"/>
    <w:rsid w:val="32D97A09"/>
    <w:rsid w:val="32E01801"/>
    <w:rsid w:val="32F65DEE"/>
    <w:rsid w:val="331848C7"/>
    <w:rsid w:val="33217AF1"/>
    <w:rsid w:val="3354315E"/>
    <w:rsid w:val="33C00A57"/>
    <w:rsid w:val="34867317"/>
    <w:rsid w:val="34B309A3"/>
    <w:rsid w:val="34C150DA"/>
    <w:rsid w:val="34E7498E"/>
    <w:rsid w:val="353D3AE8"/>
    <w:rsid w:val="35F24422"/>
    <w:rsid w:val="35FA7E6F"/>
    <w:rsid w:val="3618592B"/>
    <w:rsid w:val="36436CD8"/>
    <w:rsid w:val="36666380"/>
    <w:rsid w:val="369C154C"/>
    <w:rsid w:val="370A3181"/>
    <w:rsid w:val="377F3BF6"/>
    <w:rsid w:val="378C66C9"/>
    <w:rsid w:val="37E141DE"/>
    <w:rsid w:val="37F30856"/>
    <w:rsid w:val="3828411C"/>
    <w:rsid w:val="38D21352"/>
    <w:rsid w:val="39437CB9"/>
    <w:rsid w:val="39462065"/>
    <w:rsid w:val="39BE29A2"/>
    <w:rsid w:val="39C36E7D"/>
    <w:rsid w:val="39EB11DA"/>
    <w:rsid w:val="3A07198E"/>
    <w:rsid w:val="3A901CB1"/>
    <w:rsid w:val="3AC26E47"/>
    <w:rsid w:val="3B200FFF"/>
    <w:rsid w:val="3B333195"/>
    <w:rsid w:val="3B6C0B5E"/>
    <w:rsid w:val="3BC55644"/>
    <w:rsid w:val="3BDA45C4"/>
    <w:rsid w:val="3C232DAD"/>
    <w:rsid w:val="3C7867A4"/>
    <w:rsid w:val="3C92456F"/>
    <w:rsid w:val="3D0C2153"/>
    <w:rsid w:val="3D850883"/>
    <w:rsid w:val="3D9B3801"/>
    <w:rsid w:val="3E0F3E70"/>
    <w:rsid w:val="3F3717C8"/>
    <w:rsid w:val="3F860D03"/>
    <w:rsid w:val="3FF52892"/>
    <w:rsid w:val="400D0B9F"/>
    <w:rsid w:val="40996D52"/>
    <w:rsid w:val="40B40CB8"/>
    <w:rsid w:val="41661C50"/>
    <w:rsid w:val="418C7303"/>
    <w:rsid w:val="41A709A6"/>
    <w:rsid w:val="41E3281A"/>
    <w:rsid w:val="427B5F18"/>
    <w:rsid w:val="42F33E0E"/>
    <w:rsid w:val="44253A69"/>
    <w:rsid w:val="442D3108"/>
    <w:rsid w:val="445C3FBC"/>
    <w:rsid w:val="44AC3683"/>
    <w:rsid w:val="44B42ABF"/>
    <w:rsid w:val="45116506"/>
    <w:rsid w:val="455C70CB"/>
    <w:rsid w:val="45631E96"/>
    <w:rsid w:val="4583439A"/>
    <w:rsid w:val="461A0130"/>
    <w:rsid w:val="46427F56"/>
    <w:rsid w:val="46BE3166"/>
    <w:rsid w:val="471F5A5B"/>
    <w:rsid w:val="4759024E"/>
    <w:rsid w:val="47BB5C35"/>
    <w:rsid w:val="48024A96"/>
    <w:rsid w:val="481620DC"/>
    <w:rsid w:val="48914B4A"/>
    <w:rsid w:val="48B23771"/>
    <w:rsid w:val="48BA5351"/>
    <w:rsid w:val="4905432C"/>
    <w:rsid w:val="49AB49CB"/>
    <w:rsid w:val="49EC626E"/>
    <w:rsid w:val="4A4C17D2"/>
    <w:rsid w:val="4A5E7EA6"/>
    <w:rsid w:val="4A9452D0"/>
    <w:rsid w:val="4AB87C89"/>
    <w:rsid w:val="4AC44DB9"/>
    <w:rsid w:val="4B7C4538"/>
    <w:rsid w:val="4B8E7066"/>
    <w:rsid w:val="4BA635CB"/>
    <w:rsid w:val="4BA853BE"/>
    <w:rsid w:val="4BEF5139"/>
    <w:rsid w:val="4C056732"/>
    <w:rsid w:val="4C9311A1"/>
    <w:rsid w:val="4C994E65"/>
    <w:rsid w:val="4E47636A"/>
    <w:rsid w:val="4E8E1D11"/>
    <w:rsid w:val="4EAE6BA0"/>
    <w:rsid w:val="4EB5125E"/>
    <w:rsid w:val="4ED94522"/>
    <w:rsid w:val="4EFE010C"/>
    <w:rsid w:val="4FC90B01"/>
    <w:rsid w:val="50196245"/>
    <w:rsid w:val="504C227F"/>
    <w:rsid w:val="505E5CD4"/>
    <w:rsid w:val="50861801"/>
    <w:rsid w:val="51824A34"/>
    <w:rsid w:val="519B1E60"/>
    <w:rsid w:val="51F72A72"/>
    <w:rsid w:val="52CB2727"/>
    <w:rsid w:val="53053582"/>
    <w:rsid w:val="536D5B38"/>
    <w:rsid w:val="5437448A"/>
    <w:rsid w:val="547C7EF3"/>
    <w:rsid w:val="54961A1F"/>
    <w:rsid w:val="54A82435"/>
    <w:rsid w:val="55067A05"/>
    <w:rsid w:val="555F414D"/>
    <w:rsid w:val="558A1D45"/>
    <w:rsid w:val="558B11F3"/>
    <w:rsid w:val="55A4651E"/>
    <w:rsid w:val="560E685C"/>
    <w:rsid w:val="562367AA"/>
    <w:rsid w:val="5650334B"/>
    <w:rsid w:val="56975089"/>
    <w:rsid w:val="56D201FB"/>
    <w:rsid w:val="57F20603"/>
    <w:rsid w:val="587D3F6D"/>
    <w:rsid w:val="58943F69"/>
    <w:rsid w:val="58F74C23"/>
    <w:rsid w:val="59343FE3"/>
    <w:rsid w:val="597979F8"/>
    <w:rsid w:val="59E674DA"/>
    <w:rsid w:val="5B3E3882"/>
    <w:rsid w:val="5B7159E1"/>
    <w:rsid w:val="5B774CB4"/>
    <w:rsid w:val="5B777100"/>
    <w:rsid w:val="5C2345D5"/>
    <w:rsid w:val="5C3A1BC5"/>
    <w:rsid w:val="5D111677"/>
    <w:rsid w:val="5D523B73"/>
    <w:rsid w:val="5D810836"/>
    <w:rsid w:val="5DB47355"/>
    <w:rsid w:val="5DD73E18"/>
    <w:rsid w:val="5DF40E40"/>
    <w:rsid w:val="5E051E19"/>
    <w:rsid w:val="5E122D33"/>
    <w:rsid w:val="5E9A2696"/>
    <w:rsid w:val="5FBB5F47"/>
    <w:rsid w:val="5FD03E54"/>
    <w:rsid w:val="60E562B4"/>
    <w:rsid w:val="61341D75"/>
    <w:rsid w:val="61B6509D"/>
    <w:rsid w:val="61D11053"/>
    <w:rsid w:val="61FE1721"/>
    <w:rsid w:val="620C5423"/>
    <w:rsid w:val="622B664A"/>
    <w:rsid w:val="62360CEB"/>
    <w:rsid w:val="623A2D9F"/>
    <w:rsid w:val="62425A12"/>
    <w:rsid w:val="62C507C9"/>
    <w:rsid w:val="62CA6A4B"/>
    <w:rsid w:val="62ED15B5"/>
    <w:rsid w:val="6330276F"/>
    <w:rsid w:val="63586961"/>
    <w:rsid w:val="63830623"/>
    <w:rsid w:val="641D69F1"/>
    <w:rsid w:val="64410928"/>
    <w:rsid w:val="644A5787"/>
    <w:rsid w:val="646617E7"/>
    <w:rsid w:val="65001104"/>
    <w:rsid w:val="6502692D"/>
    <w:rsid w:val="650F2746"/>
    <w:rsid w:val="65236B0A"/>
    <w:rsid w:val="65790635"/>
    <w:rsid w:val="65C26DB7"/>
    <w:rsid w:val="66372001"/>
    <w:rsid w:val="67466749"/>
    <w:rsid w:val="67EB50A5"/>
    <w:rsid w:val="68500075"/>
    <w:rsid w:val="68640673"/>
    <w:rsid w:val="68A658C9"/>
    <w:rsid w:val="68B5274C"/>
    <w:rsid w:val="69403607"/>
    <w:rsid w:val="698014B6"/>
    <w:rsid w:val="69C57388"/>
    <w:rsid w:val="6A217689"/>
    <w:rsid w:val="6A7C475A"/>
    <w:rsid w:val="6AAE40C4"/>
    <w:rsid w:val="6AC65BB6"/>
    <w:rsid w:val="6AE2491D"/>
    <w:rsid w:val="6B5579AB"/>
    <w:rsid w:val="6BDC14FB"/>
    <w:rsid w:val="6C1B7FB2"/>
    <w:rsid w:val="6D1C7934"/>
    <w:rsid w:val="6D226C4F"/>
    <w:rsid w:val="6DA57182"/>
    <w:rsid w:val="6DB96D6E"/>
    <w:rsid w:val="6DBB1E81"/>
    <w:rsid w:val="6DDC754D"/>
    <w:rsid w:val="6EA52B05"/>
    <w:rsid w:val="6F5973FE"/>
    <w:rsid w:val="6F5C0592"/>
    <w:rsid w:val="6FA01FF8"/>
    <w:rsid w:val="6FA203BA"/>
    <w:rsid w:val="6FF61949"/>
    <w:rsid w:val="700D2F8C"/>
    <w:rsid w:val="70440AB3"/>
    <w:rsid w:val="707A6391"/>
    <w:rsid w:val="70AD12EA"/>
    <w:rsid w:val="70B75B21"/>
    <w:rsid w:val="713C4942"/>
    <w:rsid w:val="71DB5672"/>
    <w:rsid w:val="72047DA2"/>
    <w:rsid w:val="72331B40"/>
    <w:rsid w:val="724A6BCA"/>
    <w:rsid w:val="72B45579"/>
    <w:rsid w:val="72D312E2"/>
    <w:rsid w:val="72DE2883"/>
    <w:rsid w:val="72DE73C1"/>
    <w:rsid w:val="73030AAD"/>
    <w:rsid w:val="731F4E51"/>
    <w:rsid w:val="732F13C3"/>
    <w:rsid w:val="733C0AF4"/>
    <w:rsid w:val="73F0488C"/>
    <w:rsid w:val="74177ACC"/>
    <w:rsid w:val="74BC2100"/>
    <w:rsid w:val="74C63155"/>
    <w:rsid w:val="756B684F"/>
    <w:rsid w:val="763F78DA"/>
    <w:rsid w:val="76902873"/>
    <w:rsid w:val="77165F38"/>
    <w:rsid w:val="77840197"/>
    <w:rsid w:val="77E933DF"/>
    <w:rsid w:val="78A20004"/>
    <w:rsid w:val="78DD118A"/>
    <w:rsid w:val="790A7F29"/>
    <w:rsid w:val="798F405A"/>
    <w:rsid w:val="79DC39F4"/>
    <w:rsid w:val="7A166B51"/>
    <w:rsid w:val="7A7871FA"/>
    <w:rsid w:val="7A7E6464"/>
    <w:rsid w:val="7AA169C0"/>
    <w:rsid w:val="7B340C67"/>
    <w:rsid w:val="7B395B6F"/>
    <w:rsid w:val="7B3E38A9"/>
    <w:rsid w:val="7B501B41"/>
    <w:rsid w:val="7B721733"/>
    <w:rsid w:val="7C1A4137"/>
    <w:rsid w:val="7C760ACB"/>
    <w:rsid w:val="7C764F8D"/>
    <w:rsid w:val="7D225D1D"/>
    <w:rsid w:val="7E141996"/>
    <w:rsid w:val="7E562A28"/>
    <w:rsid w:val="7EFB7BAD"/>
    <w:rsid w:val="7F3B596A"/>
    <w:rsid w:val="7F874F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0"/>
      <w:szCs w:val="22"/>
      <w:lang w:val="en-US" w:eastAsia="zh-CN" w:bidi="ar-SA"/>
    </w:rPr>
  </w:style>
  <w:style w:type="paragraph" w:styleId="2">
    <w:name w:val="heading 1"/>
    <w:basedOn w:val="1"/>
    <w:next w:val="1"/>
    <w:link w:val="35"/>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39"/>
    <w:unhideWhenUsed/>
    <w:qFormat/>
    <w:uiPriority w:val="9"/>
    <w:pPr>
      <w:keepNext/>
      <w:keepLines/>
      <w:numPr>
        <w:ilvl w:val="0"/>
        <w:numId w:val="2"/>
      </w:numPr>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49"/>
    <w:unhideWhenUsed/>
    <w:qFormat/>
    <w:uiPriority w:val="9"/>
    <w:pPr>
      <w:keepNext/>
      <w:keepLines/>
      <w:spacing w:before="40"/>
      <w:outlineLvl w:val="2"/>
    </w:pPr>
    <w:rPr>
      <w:rFonts w:asciiTheme="majorHAnsi" w:hAnsiTheme="majorHAnsi" w:eastAsiaTheme="majorEastAsia" w:cstheme="majorBidi"/>
      <w:color w:val="1F4E79" w:themeColor="accent1" w:themeShade="80"/>
      <w:sz w:val="24"/>
      <w:szCs w:val="24"/>
    </w:rPr>
  </w:style>
  <w:style w:type="paragraph" w:styleId="5">
    <w:name w:val="heading 6"/>
    <w:basedOn w:val="1"/>
    <w:next w:val="1"/>
    <w:link w:val="43"/>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800"/>
      <w:jc w:val="left"/>
    </w:pPr>
    <w:rPr>
      <w:sz w:val="18"/>
      <w:szCs w:val="18"/>
    </w:rPr>
  </w:style>
  <w:style w:type="paragraph" w:styleId="7">
    <w:name w:val="Document Map"/>
    <w:basedOn w:val="1"/>
    <w:link w:val="50"/>
    <w:unhideWhenUsed/>
    <w:qFormat/>
    <w:uiPriority w:val="99"/>
    <w:rPr>
      <w:rFonts w:ascii="宋体" w:eastAsia="宋体"/>
      <w:sz w:val="18"/>
      <w:szCs w:val="18"/>
    </w:rPr>
  </w:style>
  <w:style w:type="paragraph" w:styleId="8">
    <w:name w:val="annotation text"/>
    <w:basedOn w:val="1"/>
    <w:link w:val="54"/>
    <w:semiHidden/>
    <w:unhideWhenUsed/>
    <w:qFormat/>
    <w:uiPriority w:val="99"/>
    <w:pPr>
      <w:jc w:val="left"/>
    </w:pPr>
  </w:style>
  <w:style w:type="paragraph" w:styleId="9">
    <w:name w:val="toc 5"/>
    <w:basedOn w:val="1"/>
    <w:next w:val="1"/>
    <w:unhideWhenUsed/>
    <w:qFormat/>
    <w:uiPriority w:val="39"/>
    <w:pPr>
      <w:ind w:left="1200"/>
      <w:jc w:val="left"/>
    </w:pPr>
    <w:rPr>
      <w:sz w:val="18"/>
      <w:szCs w:val="18"/>
    </w:rPr>
  </w:style>
  <w:style w:type="paragraph" w:styleId="10">
    <w:name w:val="toc 3"/>
    <w:basedOn w:val="1"/>
    <w:next w:val="1"/>
    <w:unhideWhenUsed/>
    <w:qFormat/>
    <w:uiPriority w:val="39"/>
    <w:pPr>
      <w:ind w:left="600"/>
      <w:jc w:val="left"/>
    </w:pPr>
    <w:rPr>
      <w:i/>
      <w:iCs/>
      <w:sz w:val="20"/>
      <w:szCs w:val="20"/>
    </w:rPr>
  </w:style>
  <w:style w:type="paragraph" w:styleId="11">
    <w:name w:val="Plain Text"/>
    <w:basedOn w:val="1"/>
    <w:link w:val="64"/>
    <w:qFormat/>
    <w:uiPriority w:val="99"/>
    <w:rPr>
      <w:rFonts w:ascii="宋体" w:hAnsi="Courier New" w:eastAsia="宋体" w:cs="Times New Roman"/>
      <w:sz w:val="21"/>
      <w:szCs w:val="21"/>
      <w:lang w:val="zh-CN"/>
    </w:rPr>
  </w:style>
  <w:style w:type="paragraph" w:styleId="12">
    <w:name w:val="toc 8"/>
    <w:basedOn w:val="1"/>
    <w:next w:val="1"/>
    <w:unhideWhenUsed/>
    <w:qFormat/>
    <w:uiPriority w:val="39"/>
    <w:pPr>
      <w:ind w:left="2100"/>
      <w:jc w:val="left"/>
    </w:pPr>
    <w:rPr>
      <w:sz w:val="18"/>
      <w:szCs w:val="18"/>
    </w:rPr>
  </w:style>
  <w:style w:type="paragraph" w:styleId="13">
    <w:name w:val="endnote text"/>
    <w:basedOn w:val="1"/>
    <w:link w:val="44"/>
    <w:unhideWhenUsed/>
    <w:qFormat/>
    <w:uiPriority w:val="99"/>
    <w:pPr>
      <w:snapToGrid w:val="0"/>
      <w:jc w:val="left"/>
    </w:pPr>
  </w:style>
  <w:style w:type="paragraph" w:styleId="14">
    <w:name w:val="Balloon Text"/>
    <w:basedOn w:val="1"/>
    <w:link w:val="41"/>
    <w:unhideWhenUsed/>
    <w:qFormat/>
    <w:uiPriority w:val="99"/>
    <w:rPr>
      <w:sz w:val="18"/>
      <w:szCs w:val="18"/>
    </w:rPr>
  </w:style>
  <w:style w:type="paragraph" w:styleId="15">
    <w:name w:val="footer"/>
    <w:basedOn w:val="1"/>
    <w:link w:val="37"/>
    <w:unhideWhenUsed/>
    <w:qFormat/>
    <w:uiPriority w:val="0"/>
    <w:pPr>
      <w:tabs>
        <w:tab w:val="center" w:pos="4153"/>
        <w:tab w:val="right" w:pos="8306"/>
      </w:tabs>
      <w:snapToGrid w:val="0"/>
      <w:jc w:val="left"/>
    </w:pPr>
    <w:rPr>
      <w:sz w:val="18"/>
      <w:szCs w:val="18"/>
    </w:rPr>
  </w:style>
  <w:style w:type="paragraph" w:styleId="16">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120" w:after="120"/>
      <w:jc w:val="left"/>
    </w:pPr>
    <w:rPr>
      <w:b/>
      <w:bCs/>
      <w:caps/>
      <w:sz w:val="20"/>
      <w:szCs w:val="20"/>
    </w:rPr>
  </w:style>
  <w:style w:type="paragraph" w:styleId="18">
    <w:name w:val="toc 4"/>
    <w:basedOn w:val="1"/>
    <w:next w:val="1"/>
    <w:unhideWhenUsed/>
    <w:qFormat/>
    <w:uiPriority w:val="39"/>
    <w:pPr>
      <w:ind w:left="900"/>
      <w:jc w:val="left"/>
    </w:pPr>
    <w:rPr>
      <w:sz w:val="18"/>
      <w:szCs w:val="18"/>
    </w:rPr>
  </w:style>
  <w:style w:type="paragraph" w:styleId="19">
    <w:name w:val="footnote text"/>
    <w:basedOn w:val="1"/>
    <w:link w:val="42"/>
    <w:unhideWhenUsed/>
    <w:qFormat/>
    <w:uiPriority w:val="99"/>
    <w:pPr>
      <w:snapToGrid w:val="0"/>
      <w:jc w:val="left"/>
    </w:pPr>
    <w:rPr>
      <w:sz w:val="18"/>
      <w:szCs w:val="18"/>
    </w:rPr>
  </w:style>
  <w:style w:type="paragraph" w:styleId="20">
    <w:name w:val="toc 6"/>
    <w:basedOn w:val="1"/>
    <w:next w:val="1"/>
    <w:unhideWhenUsed/>
    <w:qFormat/>
    <w:uiPriority w:val="39"/>
    <w:pPr>
      <w:ind w:left="1500"/>
      <w:jc w:val="left"/>
    </w:pPr>
    <w:rPr>
      <w:sz w:val="18"/>
      <w:szCs w:val="18"/>
    </w:rPr>
  </w:style>
  <w:style w:type="paragraph" w:styleId="21">
    <w:name w:val="toc 2"/>
    <w:basedOn w:val="1"/>
    <w:next w:val="1"/>
    <w:unhideWhenUsed/>
    <w:qFormat/>
    <w:uiPriority w:val="39"/>
    <w:pPr>
      <w:ind w:left="300"/>
      <w:jc w:val="left"/>
    </w:pPr>
    <w:rPr>
      <w:smallCaps/>
      <w:sz w:val="20"/>
      <w:szCs w:val="20"/>
    </w:rPr>
  </w:style>
  <w:style w:type="paragraph" w:styleId="22">
    <w:name w:val="toc 9"/>
    <w:basedOn w:val="1"/>
    <w:next w:val="1"/>
    <w:unhideWhenUsed/>
    <w:qFormat/>
    <w:uiPriority w:val="39"/>
    <w:pPr>
      <w:ind w:left="2400"/>
      <w:jc w:val="left"/>
    </w:pPr>
    <w:rPr>
      <w:sz w:val="18"/>
      <w:szCs w:val="18"/>
    </w:rPr>
  </w:style>
  <w:style w:type="paragraph" w:styleId="23">
    <w:name w:val="Normal (Web)"/>
    <w:basedOn w:val="1"/>
    <w:unhideWhenUsed/>
    <w:qFormat/>
    <w:uiPriority w:val="99"/>
    <w:rPr>
      <w:rFonts w:ascii="Times New Roman" w:hAnsi="Times New Roman" w:cs="Times New Roman"/>
      <w:sz w:val="24"/>
      <w:szCs w:val="24"/>
    </w:rPr>
  </w:style>
  <w:style w:type="paragraph" w:styleId="24">
    <w:name w:val="Title"/>
    <w:basedOn w:val="1"/>
    <w:next w:val="1"/>
    <w:link w:val="38"/>
    <w:qFormat/>
    <w:uiPriority w:val="10"/>
    <w:pPr>
      <w:spacing w:before="240" w:after="60"/>
      <w:jc w:val="center"/>
      <w:outlineLvl w:val="0"/>
    </w:pPr>
    <w:rPr>
      <w:rFonts w:eastAsia="宋体" w:asciiTheme="majorHAnsi" w:hAnsiTheme="majorHAnsi" w:cstheme="majorBidi"/>
      <w:b/>
      <w:bCs/>
      <w:sz w:val="32"/>
      <w:szCs w:val="32"/>
    </w:rPr>
  </w:style>
  <w:style w:type="paragraph" w:styleId="25">
    <w:name w:val="annotation subject"/>
    <w:basedOn w:val="8"/>
    <w:next w:val="8"/>
    <w:link w:val="55"/>
    <w:semiHidden/>
    <w:unhideWhenUsed/>
    <w:qFormat/>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endnote reference"/>
    <w:basedOn w:val="28"/>
    <w:unhideWhenUsed/>
    <w:qFormat/>
    <w:uiPriority w:val="99"/>
    <w:rPr>
      <w:vertAlign w:val="superscript"/>
    </w:rPr>
  </w:style>
  <w:style w:type="character" w:styleId="31">
    <w:name w:val="Emphasis"/>
    <w:basedOn w:val="28"/>
    <w:qFormat/>
    <w:uiPriority w:val="20"/>
    <w:rPr>
      <w:i/>
    </w:rPr>
  </w:style>
  <w:style w:type="character" w:styleId="32">
    <w:name w:val="Hyperlink"/>
    <w:basedOn w:val="28"/>
    <w:unhideWhenUsed/>
    <w:qFormat/>
    <w:uiPriority w:val="99"/>
    <w:rPr>
      <w:color w:val="0563C1" w:themeColor="hyperlink"/>
      <w:u w:val="single"/>
      <w14:textFill>
        <w14:solidFill>
          <w14:schemeClr w14:val="hlink"/>
        </w14:solidFill>
      </w14:textFill>
    </w:rPr>
  </w:style>
  <w:style w:type="character" w:styleId="33">
    <w:name w:val="annotation reference"/>
    <w:basedOn w:val="28"/>
    <w:semiHidden/>
    <w:unhideWhenUsed/>
    <w:qFormat/>
    <w:uiPriority w:val="99"/>
    <w:rPr>
      <w:sz w:val="21"/>
      <w:szCs w:val="21"/>
    </w:rPr>
  </w:style>
  <w:style w:type="character" w:styleId="34">
    <w:name w:val="footnote reference"/>
    <w:basedOn w:val="28"/>
    <w:unhideWhenUsed/>
    <w:qFormat/>
    <w:uiPriority w:val="99"/>
    <w:rPr>
      <w:vertAlign w:val="superscript"/>
    </w:rPr>
  </w:style>
  <w:style w:type="character" w:customStyle="1" w:styleId="35">
    <w:name w:val="标题 1 字符"/>
    <w:basedOn w:val="28"/>
    <w:link w:val="2"/>
    <w:qFormat/>
    <w:uiPriority w:val="9"/>
    <w:rPr>
      <w:b/>
      <w:bCs/>
      <w:kern w:val="44"/>
      <w:sz w:val="32"/>
      <w:szCs w:val="44"/>
    </w:rPr>
  </w:style>
  <w:style w:type="character" w:customStyle="1" w:styleId="36">
    <w:name w:val="页眉 字符"/>
    <w:basedOn w:val="28"/>
    <w:link w:val="16"/>
    <w:qFormat/>
    <w:uiPriority w:val="0"/>
    <w:rPr>
      <w:sz w:val="18"/>
      <w:szCs w:val="18"/>
    </w:rPr>
  </w:style>
  <w:style w:type="character" w:customStyle="1" w:styleId="37">
    <w:name w:val="页脚 字符"/>
    <w:basedOn w:val="28"/>
    <w:link w:val="15"/>
    <w:qFormat/>
    <w:uiPriority w:val="0"/>
    <w:rPr>
      <w:sz w:val="18"/>
      <w:szCs w:val="18"/>
    </w:rPr>
  </w:style>
  <w:style w:type="character" w:customStyle="1" w:styleId="38">
    <w:name w:val="标题 字符"/>
    <w:basedOn w:val="28"/>
    <w:link w:val="24"/>
    <w:qFormat/>
    <w:uiPriority w:val="10"/>
    <w:rPr>
      <w:rFonts w:eastAsia="宋体" w:asciiTheme="majorHAnsi" w:hAnsiTheme="majorHAnsi" w:cstheme="majorBidi"/>
      <w:b/>
      <w:bCs/>
      <w:sz w:val="32"/>
      <w:szCs w:val="32"/>
    </w:rPr>
  </w:style>
  <w:style w:type="character" w:customStyle="1" w:styleId="39">
    <w:name w:val="标题 2 字符"/>
    <w:basedOn w:val="28"/>
    <w:link w:val="3"/>
    <w:qFormat/>
    <w:uiPriority w:val="9"/>
    <w:rPr>
      <w:rFonts w:eastAsia="仿宋_GB2312" w:asciiTheme="majorHAnsi" w:hAnsiTheme="majorHAnsi" w:cstheme="majorBidi"/>
      <w:b/>
      <w:bCs/>
      <w:sz w:val="32"/>
      <w:szCs w:val="32"/>
    </w:rPr>
  </w:style>
  <w:style w:type="paragraph" w:customStyle="1" w:styleId="40">
    <w:name w:val="列出段落1"/>
    <w:basedOn w:val="1"/>
    <w:qFormat/>
    <w:uiPriority w:val="34"/>
    <w:pPr>
      <w:ind w:firstLine="420" w:firstLineChars="200"/>
    </w:pPr>
    <w:rPr>
      <w:sz w:val="21"/>
    </w:rPr>
  </w:style>
  <w:style w:type="character" w:customStyle="1" w:styleId="41">
    <w:name w:val="批注框文本 字符"/>
    <w:basedOn w:val="28"/>
    <w:link w:val="14"/>
    <w:semiHidden/>
    <w:qFormat/>
    <w:uiPriority w:val="99"/>
    <w:rPr>
      <w:sz w:val="18"/>
      <w:szCs w:val="18"/>
    </w:rPr>
  </w:style>
  <w:style w:type="character" w:customStyle="1" w:styleId="42">
    <w:name w:val="脚注文本 字符"/>
    <w:basedOn w:val="28"/>
    <w:link w:val="19"/>
    <w:semiHidden/>
    <w:qFormat/>
    <w:uiPriority w:val="99"/>
    <w:rPr>
      <w:sz w:val="18"/>
      <w:szCs w:val="18"/>
    </w:rPr>
  </w:style>
  <w:style w:type="character" w:customStyle="1" w:styleId="43">
    <w:name w:val="标题 6 字符"/>
    <w:basedOn w:val="28"/>
    <w:link w:val="5"/>
    <w:semiHidden/>
    <w:qFormat/>
    <w:uiPriority w:val="9"/>
    <w:rPr>
      <w:rFonts w:asciiTheme="majorHAnsi" w:hAnsiTheme="majorHAnsi" w:eastAsiaTheme="majorEastAsia" w:cstheme="majorBidi"/>
      <w:b/>
      <w:bCs/>
      <w:sz w:val="24"/>
      <w:szCs w:val="24"/>
    </w:rPr>
  </w:style>
  <w:style w:type="character" w:customStyle="1" w:styleId="44">
    <w:name w:val="尾注文本 字符"/>
    <w:basedOn w:val="28"/>
    <w:link w:val="13"/>
    <w:semiHidden/>
    <w:qFormat/>
    <w:uiPriority w:val="99"/>
    <w:rPr>
      <w:sz w:val="30"/>
    </w:rPr>
  </w:style>
  <w:style w:type="paragraph" w:customStyle="1" w:styleId="45">
    <w:name w:val="列出段落2"/>
    <w:basedOn w:val="1"/>
    <w:unhideWhenUsed/>
    <w:qFormat/>
    <w:uiPriority w:val="99"/>
    <w:pPr>
      <w:ind w:firstLine="420" w:firstLineChars="200"/>
    </w:pPr>
  </w:style>
  <w:style w:type="table" w:customStyle="1" w:styleId="46">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2"/>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3"/>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标题 3 字符"/>
    <w:basedOn w:val="28"/>
    <w:link w:val="4"/>
    <w:semiHidden/>
    <w:qFormat/>
    <w:uiPriority w:val="9"/>
    <w:rPr>
      <w:rFonts w:asciiTheme="majorHAnsi" w:hAnsiTheme="majorHAnsi" w:eastAsiaTheme="majorEastAsia" w:cstheme="majorBidi"/>
      <w:color w:val="1F4E79" w:themeColor="accent1" w:themeShade="80"/>
      <w:kern w:val="2"/>
      <w:sz w:val="24"/>
      <w:szCs w:val="24"/>
    </w:rPr>
  </w:style>
  <w:style w:type="character" w:customStyle="1" w:styleId="50">
    <w:name w:val="文档结构图 字符"/>
    <w:basedOn w:val="28"/>
    <w:link w:val="7"/>
    <w:semiHidden/>
    <w:qFormat/>
    <w:uiPriority w:val="99"/>
    <w:rPr>
      <w:rFonts w:ascii="宋体" w:eastAsia="宋体"/>
      <w:kern w:val="2"/>
      <w:sz w:val="18"/>
      <w:szCs w:val="18"/>
    </w:rPr>
  </w:style>
  <w:style w:type="paragraph" w:customStyle="1" w:styleId="51">
    <w:name w:val="列出段落3"/>
    <w:basedOn w:val="1"/>
    <w:unhideWhenUsed/>
    <w:qFormat/>
    <w:uiPriority w:val="99"/>
    <w:pPr>
      <w:ind w:firstLine="420" w:firstLineChars="200"/>
    </w:pPr>
  </w:style>
  <w:style w:type="paragraph" w:styleId="52">
    <w:name w:val="List Paragraph"/>
    <w:basedOn w:val="1"/>
    <w:qFormat/>
    <w:uiPriority w:val="99"/>
    <w:pPr>
      <w:ind w:left="720"/>
      <w:contextualSpacing/>
    </w:pPr>
  </w:style>
  <w:style w:type="paragraph" w:customStyle="1" w:styleId="53">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54">
    <w:name w:val="批注文字 字符"/>
    <w:basedOn w:val="28"/>
    <w:link w:val="8"/>
    <w:semiHidden/>
    <w:qFormat/>
    <w:uiPriority w:val="99"/>
    <w:rPr>
      <w:kern w:val="2"/>
      <w:sz w:val="30"/>
      <w:szCs w:val="22"/>
    </w:rPr>
  </w:style>
  <w:style w:type="character" w:customStyle="1" w:styleId="55">
    <w:name w:val="批注主题 字符"/>
    <w:basedOn w:val="54"/>
    <w:link w:val="25"/>
    <w:semiHidden/>
    <w:qFormat/>
    <w:uiPriority w:val="99"/>
    <w:rPr>
      <w:b/>
      <w:bCs/>
      <w:kern w:val="2"/>
      <w:sz w:val="30"/>
      <w:szCs w:val="22"/>
    </w:rPr>
  </w:style>
  <w:style w:type="character" w:customStyle="1" w:styleId="56">
    <w:name w:val="font21"/>
    <w:basedOn w:val="28"/>
    <w:qFormat/>
    <w:uiPriority w:val="0"/>
    <w:rPr>
      <w:rFonts w:ascii="Verdana" w:hAnsi="Verdana" w:cs="Verdana"/>
      <w:color w:val="333333"/>
      <w:sz w:val="24"/>
      <w:szCs w:val="24"/>
      <w:u w:val="none"/>
    </w:rPr>
  </w:style>
  <w:style w:type="character" w:customStyle="1" w:styleId="57">
    <w:name w:val="font51"/>
    <w:basedOn w:val="28"/>
    <w:qFormat/>
    <w:uiPriority w:val="0"/>
    <w:rPr>
      <w:rFonts w:hint="eastAsia" w:ascii="宋体" w:hAnsi="宋体" w:eastAsia="宋体" w:cs="宋体"/>
      <w:color w:val="333333"/>
      <w:sz w:val="24"/>
      <w:szCs w:val="24"/>
      <w:u w:val="none"/>
    </w:rPr>
  </w:style>
  <w:style w:type="character" w:customStyle="1" w:styleId="58">
    <w:name w:val="font31"/>
    <w:basedOn w:val="28"/>
    <w:qFormat/>
    <w:uiPriority w:val="0"/>
    <w:rPr>
      <w:rFonts w:ascii="Tahoma" w:hAnsi="Tahoma" w:eastAsia="Tahoma" w:cs="Tahoma"/>
      <w:color w:val="333333"/>
      <w:sz w:val="24"/>
      <w:szCs w:val="24"/>
      <w:u w:val="none"/>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customStyle="1" w:styleId="6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61">
    <w:name w:val="font11"/>
    <w:basedOn w:val="28"/>
    <w:qFormat/>
    <w:uiPriority w:val="0"/>
    <w:rPr>
      <w:rFonts w:hint="default" w:ascii="方正仿宋_GBK" w:hAnsi="方正仿宋_GBK" w:eastAsia="方正仿宋_GBK" w:cs="方正仿宋_GBK"/>
      <w:color w:val="000000"/>
      <w:sz w:val="24"/>
      <w:szCs w:val="24"/>
      <w:u w:val="none"/>
    </w:rPr>
  </w:style>
  <w:style w:type="table" w:customStyle="1" w:styleId="62">
    <w:name w:val="Table Normal"/>
    <w:semiHidden/>
    <w:unhideWhenUsed/>
    <w:qFormat/>
    <w:uiPriority w:val="0"/>
    <w:tblPr>
      <w:tblCellMar>
        <w:top w:w="0" w:type="dxa"/>
        <w:left w:w="0" w:type="dxa"/>
        <w:bottom w:w="0" w:type="dxa"/>
        <w:right w:w="0" w:type="dxa"/>
      </w:tblCellMar>
    </w:tblPr>
  </w:style>
  <w:style w:type="character" w:customStyle="1" w:styleId="63">
    <w:name w:val="纯文本 字符"/>
    <w:basedOn w:val="28"/>
    <w:semiHidden/>
    <w:qFormat/>
    <w:uiPriority w:val="99"/>
    <w:rPr>
      <w:rFonts w:hAnsi="Courier New" w:cs="Courier New" w:asciiTheme="minorEastAsia"/>
      <w:kern w:val="2"/>
      <w:sz w:val="30"/>
      <w:szCs w:val="22"/>
    </w:rPr>
  </w:style>
  <w:style w:type="character" w:customStyle="1" w:styleId="64">
    <w:name w:val="纯文本 字符1"/>
    <w:link w:val="11"/>
    <w:qFormat/>
    <w:uiPriority w:val="99"/>
    <w:rPr>
      <w:rFonts w:ascii="宋体" w:hAnsi="Courier New" w:eastAsia="宋体" w:cs="Times New Roman"/>
      <w:kern w:val="2"/>
      <w:sz w:val="21"/>
      <w:szCs w:val="21"/>
      <w:lang w:val="zh-CN" w:eastAsia="zh-CN"/>
    </w:rPr>
  </w:style>
  <w:style w:type="character" w:customStyle="1" w:styleId="65">
    <w:name w:val="font81"/>
    <w:basedOn w:val="28"/>
    <w:qFormat/>
    <w:uiPriority w:val="0"/>
    <w:rPr>
      <w:rFonts w:ascii="Arial" w:hAnsi="Arial" w:cs="Arial"/>
      <w:color w:val="333333"/>
      <w:sz w:val="16"/>
      <w:szCs w:val="16"/>
      <w:u w:val="none"/>
    </w:rPr>
  </w:style>
  <w:style w:type="character" w:customStyle="1" w:styleId="66">
    <w:name w:val="font41"/>
    <w:basedOn w:val="28"/>
    <w:qFormat/>
    <w:uiPriority w:val="0"/>
    <w:rPr>
      <w:rFonts w:hint="eastAsia" w:ascii="宋体" w:hAnsi="宋体" w:eastAsia="宋体" w:cs="宋体"/>
      <w:color w:val="000000"/>
      <w:sz w:val="21"/>
      <w:szCs w:val="21"/>
      <w:u w:val="none"/>
    </w:rPr>
  </w:style>
  <w:style w:type="character" w:customStyle="1" w:styleId="67">
    <w:name w:val="font61"/>
    <w:basedOn w:val="28"/>
    <w:qFormat/>
    <w:uiPriority w:val="0"/>
    <w:rPr>
      <w:rFonts w:hint="eastAsia" w:ascii="宋体" w:hAnsi="宋体" w:eastAsia="宋体" w:cs="宋体"/>
      <w:color w:val="000000"/>
      <w:sz w:val="24"/>
      <w:szCs w:val="24"/>
      <w:u w:val="none"/>
    </w:rPr>
  </w:style>
  <w:style w:type="paragraph" w:customStyle="1" w:styleId="68">
    <w:name w:val="修订1"/>
    <w:hidden/>
    <w:semiHidden/>
    <w:qFormat/>
    <w:uiPriority w:val="99"/>
    <w:rPr>
      <w:rFonts w:asciiTheme="minorHAnsi" w:hAnsiTheme="minorHAnsi" w:eastAsiaTheme="minorEastAsia" w:cstheme="minorBidi"/>
      <w:kern w:val="2"/>
      <w:sz w:val="30"/>
      <w:szCs w:val="22"/>
      <w:lang w:val="en-US" w:eastAsia="zh-CN" w:bidi="ar-SA"/>
    </w:rPr>
  </w:style>
  <w:style w:type="character" w:customStyle="1" w:styleId="69">
    <w:name w:val="font01"/>
    <w:basedOn w:val="28"/>
    <w:qFormat/>
    <w:uiPriority w:val="0"/>
    <w:rPr>
      <w:rFonts w:hint="default" w:ascii="方正仿宋_GBK" w:hAnsi="方正仿宋_GBK" w:eastAsia="方正仿宋_GBK" w:cs="方正仿宋_GBK"/>
      <w:color w:val="000000"/>
      <w:sz w:val="24"/>
      <w:szCs w:val="24"/>
      <w:u w:val="none"/>
    </w:rPr>
  </w:style>
  <w:style w:type="paragraph" w:customStyle="1" w:styleId="70">
    <w:name w:val="A正文"/>
    <w:qFormat/>
    <w:uiPriority w:val="0"/>
    <w:pPr>
      <w:adjustRightInd w:val="0"/>
      <w:snapToGrid w:val="0"/>
      <w:spacing w:line="560" w:lineRule="exact"/>
      <w:ind w:firstLine="200" w:firstLineChars="200"/>
      <w:jc w:val="both"/>
    </w:pPr>
    <w:rPr>
      <w:rFonts w:ascii="Times New Roman" w:hAnsi="Times New Roman" w:eastAsia="仿宋_GB2312" w:cs="Times New Roman"/>
      <w:kern w:val="2"/>
      <w:sz w:val="32"/>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022&#24180;&#24037;&#20316;\&#28246;&#24030;&#8220;&#21313;&#22235;&#20116;&#8221;&#21457;&#23637;&#35268;&#21010;&#38656;&#25910;&#36164;&#26009;\&#28246;&#24030;\&#38468;&#34920;1&#22522;&#26412;&#24773;&#20917;&#25910;&#38598;-&#28246;&#24030;2022&#24180;&#30005;&#21160;&#27773;&#36710;&#20805;&#30005;&#35774;&#26045;&#35268;&#21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22&#24180;&#24037;&#20316;\&#28246;&#24030;&#8220;&#21313;&#22235;&#20116;&#8221;&#21457;&#23637;&#35268;&#21010;&#38656;&#25910;&#36164;&#26009;\&#28246;&#24030;&#24066;&#24503;&#28165;&#21439;&#8220;&#21313;&#22235;&#20116;&#8221;&#21457;&#23637;&#35268;&#21010;\&#26448;&#26009;4%20&#24503;&#28165;&#21439;&#35268;&#21010;&#25253;&#21578;&#20840;&#22871;&#34920;&#26684;(10&#26376;21&#2608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亿千瓦时</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Sheet2!$E$4</c:f>
              <c:strCache>
                <c:ptCount val="1"/>
                <c:pt idx="0">
                  <c:v>2017</c:v>
                </c:pt>
              </c:strCache>
            </c:strRef>
          </c:tx>
          <c:spPr>
            <a:solidFill>
              <a:schemeClr val="accent1"/>
            </a:solidFill>
            <a:ln>
              <a:noFill/>
            </a:ln>
            <a:effectLst/>
          </c:spPr>
          <c:invertIfNegative val="0"/>
          <c:dLbls>
            <c:delete val="1"/>
          </c:dLbls>
          <c:cat>
            <c:strRef>
              <c:f>Sheet2!$F$2:$J$3</c:f>
              <c:strCache>
                <c:ptCount val="5"/>
                <c:pt idx="0">
                  <c:v>全社会用电量</c:v>
                </c:pt>
                <c:pt idx="1">
                  <c:v>第一产业</c:v>
                </c:pt>
                <c:pt idx="2">
                  <c:v>第二产业</c:v>
                </c:pt>
                <c:pt idx="3">
                  <c:v>第三产业</c:v>
                </c:pt>
                <c:pt idx="4">
                  <c:v>居民</c:v>
                </c:pt>
              </c:strCache>
            </c:strRef>
          </c:cat>
          <c:val>
            <c:numRef>
              <c:f>Sheet2!$F$4:$J$4</c:f>
              <c:numCache>
                <c:formatCode>0.00</c:formatCode>
                <c:ptCount val="5"/>
                <c:pt idx="0">
                  <c:v>40.31</c:v>
                </c:pt>
                <c:pt idx="1">
                  <c:v>1.15</c:v>
                </c:pt>
                <c:pt idx="2">
                  <c:v>31.12</c:v>
                </c:pt>
                <c:pt idx="3">
                  <c:v>3.69</c:v>
                </c:pt>
                <c:pt idx="4">
                  <c:v>4.35</c:v>
                </c:pt>
              </c:numCache>
            </c:numRef>
          </c:val>
        </c:ser>
        <c:ser>
          <c:idx val="1"/>
          <c:order val="1"/>
          <c:tx>
            <c:strRef>
              <c:f>Sheet2!$E$5</c:f>
              <c:strCache>
                <c:ptCount val="1"/>
                <c:pt idx="0">
                  <c:v>2018</c:v>
                </c:pt>
              </c:strCache>
            </c:strRef>
          </c:tx>
          <c:spPr>
            <a:solidFill>
              <a:schemeClr val="accent2"/>
            </a:solidFill>
            <a:ln>
              <a:noFill/>
            </a:ln>
            <a:effectLst/>
          </c:spPr>
          <c:invertIfNegative val="0"/>
          <c:dLbls>
            <c:delete val="1"/>
          </c:dLbls>
          <c:cat>
            <c:strRef>
              <c:f>Sheet2!$F$2:$J$3</c:f>
              <c:strCache>
                <c:ptCount val="5"/>
                <c:pt idx="0">
                  <c:v>全社会用电量</c:v>
                </c:pt>
                <c:pt idx="1">
                  <c:v>第一产业</c:v>
                </c:pt>
                <c:pt idx="2">
                  <c:v>第二产业</c:v>
                </c:pt>
                <c:pt idx="3">
                  <c:v>第三产业</c:v>
                </c:pt>
                <c:pt idx="4">
                  <c:v>居民</c:v>
                </c:pt>
              </c:strCache>
            </c:strRef>
          </c:cat>
          <c:val>
            <c:numRef>
              <c:f>Sheet2!$F$5:$J$5</c:f>
              <c:numCache>
                <c:formatCode>0.00</c:formatCode>
                <c:ptCount val="5"/>
                <c:pt idx="0">
                  <c:v>46.91</c:v>
                </c:pt>
                <c:pt idx="1">
                  <c:v>1.13</c:v>
                </c:pt>
                <c:pt idx="2">
                  <c:v>35.94</c:v>
                </c:pt>
                <c:pt idx="3">
                  <c:v>4.82</c:v>
                </c:pt>
                <c:pt idx="4">
                  <c:v>5.01</c:v>
                </c:pt>
              </c:numCache>
            </c:numRef>
          </c:val>
        </c:ser>
        <c:ser>
          <c:idx val="2"/>
          <c:order val="2"/>
          <c:tx>
            <c:strRef>
              <c:f>Sheet2!$E$6</c:f>
              <c:strCache>
                <c:ptCount val="1"/>
                <c:pt idx="0">
                  <c:v>2019</c:v>
                </c:pt>
              </c:strCache>
            </c:strRef>
          </c:tx>
          <c:spPr>
            <a:solidFill>
              <a:schemeClr val="accent3"/>
            </a:solidFill>
            <a:ln>
              <a:noFill/>
            </a:ln>
            <a:effectLst/>
          </c:spPr>
          <c:invertIfNegative val="0"/>
          <c:dLbls>
            <c:delete val="1"/>
          </c:dLbls>
          <c:cat>
            <c:strRef>
              <c:f>Sheet2!$F$2:$J$3</c:f>
              <c:strCache>
                <c:ptCount val="5"/>
                <c:pt idx="0">
                  <c:v>全社会用电量</c:v>
                </c:pt>
                <c:pt idx="1">
                  <c:v>第一产业</c:v>
                </c:pt>
                <c:pt idx="2">
                  <c:v>第二产业</c:v>
                </c:pt>
                <c:pt idx="3">
                  <c:v>第三产业</c:v>
                </c:pt>
                <c:pt idx="4">
                  <c:v>居民</c:v>
                </c:pt>
              </c:strCache>
            </c:strRef>
          </c:cat>
          <c:val>
            <c:numRef>
              <c:f>Sheet2!$F$6:$J$6</c:f>
              <c:numCache>
                <c:formatCode>0.00</c:formatCode>
                <c:ptCount val="5"/>
                <c:pt idx="0">
                  <c:v>51</c:v>
                </c:pt>
                <c:pt idx="1">
                  <c:v>1.15352778</c:v>
                </c:pt>
                <c:pt idx="2">
                  <c:v>38.01</c:v>
                </c:pt>
                <c:pt idx="3">
                  <c:v>6.54</c:v>
                </c:pt>
                <c:pt idx="4">
                  <c:v>5.3</c:v>
                </c:pt>
              </c:numCache>
            </c:numRef>
          </c:val>
        </c:ser>
        <c:ser>
          <c:idx val="3"/>
          <c:order val="3"/>
          <c:tx>
            <c:strRef>
              <c:f>Sheet2!$E$7</c:f>
              <c:strCache>
                <c:ptCount val="1"/>
                <c:pt idx="0">
                  <c:v>2020</c:v>
                </c:pt>
              </c:strCache>
            </c:strRef>
          </c:tx>
          <c:spPr>
            <a:solidFill>
              <a:schemeClr val="accent4"/>
            </a:solidFill>
            <a:ln>
              <a:noFill/>
            </a:ln>
            <a:effectLst/>
          </c:spPr>
          <c:invertIfNegative val="0"/>
          <c:dLbls>
            <c:delete val="1"/>
          </c:dLbls>
          <c:cat>
            <c:strRef>
              <c:f>Sheet2!$F$2:$J$3</c:f>
              <c:strCache>
                <c:ptCount val="5"/>
                <c:pt idx="0">
                  <c:v>全社会用电量</c:v>
                </c:pt>
                <c:pt idx="1">
                  <c:v>第一产业</c:v>
                </c:pt>
                <c:pt idx="2">
                  <c:v>第二产业</c:v>
                </c:pt>
                <c:pt idx="3">
                  <c:v>第三产业</c:v>
                </c:pt>
                <c:pt idx="4">
                  <c:v>居民</c:v>
                </c:pt>
              </c:strCache>
            </c:strRef>
          </c:cat>
          <c:val>
            <c:numRef>
              <c:f>Sheet2!$F$7:$J$7</c:f>
              <c:numCache>
                <c:formatCode>0.00</c:formatCode>
                <c:ptCount val="5"/>
                <c:pt idx="0">
                  <c:v>53.72</c:v>
                </c:pt>
                <c:pt idx="1">
                  <c:v>1.26</c:v>
                </c:pt>
                <c:pt idx="2">
                  <c:v>39.08</c:v>
                </c:pt>
                <c:pt idx="3">
                  <c:v>7.82</c:v>
                </c:pt>
                <c:pt idx="4">
                  <c:v>5.56</c:v>
                </c:pt>
              </c:numCache>
            </c:numRef>
          </c:val>
        </c:ser>
        <c:ser>
          <c:idx val="4"/>
          <c:order val="4"/>
          <c:tx>
            <c:strRef>
              <c:f>Sheet2!$E$8</c:f>
              <c:strCache>
                <c:ptCount val="1"/>
                <c:pt idx="0">
                  <c:v>2021</c:v>
                </c:pt>
              </c:strCache>
            </c:strRef>
          </c:tx>
          <c:spPr>
            <a:solidFill>
              <a:schemeClr val="accent5"/>
            </a:solidFill>
            <a:ln>
              <a:noFill/>
            </a:ln>
            <a:effectLst/>
          </c:spPr>
          <c:invertIfNegative val="0"/>
          <c:dLbls>
            <c:delete val="1"/>
          </c:dLbls>
          <c:cat>
            <c:strRef>
              <c:f>Sheet2!$F$2:$J$3</c:f>
              <c:strCache>
                <c:ptCount val="5"/>
                <c:pt idx="0">
                  <c:v>全社会用电量</c:v>
                </c:pt>
                <c:pt idx="1">
                  <c:v>第一产业</c:v>
                </c:pt>
                <c:pt idx="2">
                  <c:v>第二产业</c:v>
                </c:pt>
                <c:pt idx="3">
                  <c:v>第三产业</c:v>
                </c:pt>
                <c:pt idx="4">
                  <c:v>居民</c:v>
                </c:pt>
              </c:strCache>
            </c:strRef>
          </c:cat>
          <c:val>
            <c:numRef>
              <c:f>Sheet2!$F$8:$J$8</c:f>
              <c:numCache>
                <c:formatCode>0.00</c:formatCode>
                <c:ptCount val="5"/>
                <c:pt idx="0">
                  <c:v>61.84</c:v>
                </c:pt>
                <c:pt idx="1">
                  <c:v>1.4</c:v>
                </c:pt>
                <c:pt idx="2">
                  <c:v>45.03</c:v>
                </c:pt>
                <c:pt idx="3">
                  <c:v>9.33</c:v>
                </c:pt>
                <c:pt idx="4">
                  <c:v>6.08</c:v>
                </c:pt>
              </c:numCache>
            </c:numRef>
          </c:val>
        </c:ser>
        <c:ser>
          <c:idx val="5"/>
          <c:order val="5"/>
          <c:tx>
            <c:strRef>
              <c:f>Sheet2!$E$9</c:f>
              <c:strCache>
                <c:ptCount val="1"/>
                <c:pt idx="0">
                  <c:v>2022</c:v>
                </c:pt>
              </c:strCache>
            </c:strRef>
          </c:tx>
          <c:spPr>
            <a:solidFill>
              <a:schemeClr val="accent6"/>
            </a:solidFill>
            <a:ln>
              <a:noFill/>
            </a:ln>
            <a:effectLst/>
          </c:spPr>
          <c:invertIfNegative val="0"/>
          <c:dLbls>
            <c:delete val="1"/>
          </c:dLbls>
          <c:cat>
            <c:strRef>
              <c:f>Sheet2!$F$2:$J$3</c:f>
              <c:strCache>
                <c:ptCount val="5"/>
                <c:pt idx="0">
                  <c:v>全社会用电量</c:v>
                </c:pt>
                <c:pt idx="1">
                  <c:v>第一产业</c:v>
                </c:pt>
                <c:pt idx="2">
                  <c:v>第二产业</c:v>
                </c:pt>
                <c:pt idx="3">
                  <c:v>第三产业</c:v>
                </c:pt>
                <c:pt idx="4">
                  <c:v>居民</c:v>
                </c:pt>
              </c:strCache>
            </c:strRef>
          </c:cat>
          <c:val>
            <c:numRef>
              <c:f>Sheet2!$F$9:$J$9</c:f>
              <c:numCache>
                <c:formatCode>0.00</c:formatCode>
                <c:ptCount val="5"/>
                <c:pt idx="0">
                  <c:v>63.82</c:v>
                </c:pt>
                <c:pt idx="1">
                  <c:v>1.42</c:v>
                </c:pt>
                <c:pt idx="2">
                  <c:v>46.85</c:v>
                </c:pt>
                <c:pt idx="3">
                  <c:v>9.45</c:v>
                </c:pt>
                <c:pt idx="4">
                  <c:v>6.33</c:v>
                </c:pt>
              </c:numCache>
            </c:numRef>
          </c:val>
        </c:ser>
        <c:dLbls>
          <c:showLegendKey val="0"/>
          <c:showVal val="0"/>
          <c:showCatName val="0"/>
          <c:showSerName val="0"/>
          <c:showPercent val="0"/>
          <c:showBubbleSize val="0"/>
        </c:dLbls>
        <c:gapWidth val="219"/>
        <c:overlap val="-27"/>
        <c:axId val="973956447"/>
        <c:axId val="973955615"/>
      </c:barChart>
      <c:catAx>
        <c:axId val="97395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3955615"/>
        <c:crosses val="autoZero"/>
        <c:auto val="1"/>
        <c:lblAlgn val="ctr"/>
        <c:lblOffset val="100"/>
        <c:noMultiLvlLbl val="0"/>
      </c:catAx>
      <c:valAx>
        <c:axId val="9739556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395644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'表3.1'!$A$3</c:f>
              <c:strCache>
                <c:ptCount val="1"/>
                <c:pt idx="0">
                  <c:v>商用电动货车</c:v>
                </c:pt>
              </c:strCache>
            </c:strRef>
          </c:tx>
          <c:spPr>
            <a:ln w="25400" cap="rnd" cmpd="sng" algn="ctr">
              <a:solidFill>
                <a:srgbClr val="5B9BD5"/>
              </a:solidFill>
              <a:prstDash val="solid"/>
              <a:round/>
            </a:ln>
          </c:spPr>
          <c:marker>
            <c:symbol val="circle"/>
            <c:size val="5"/>
            <c:spPr>
              <a:solidFill>
                <a:srgbClr val="5B9BD5"/>
              </a:solidFill>
              <a:ln w="6350" cap="flat" cmpd="sng" algn="ctr">
                <a:solidFill>
                  <a:srgbClr val="5B9BD5"/>
                </a:solidFill>
                <a:prstDash val="solid"/>
                <a:round/>
              </a:ln>
            </c:spPr>
          </c:marker>
          <c:dLbls>
            <c:delete val="1"/>
          </c:dLbls>
          <c:cat>
            <c:strRef>
              <c:f>'表3.1'!$B$2:$G$2</c:f>
              <c:strCache>
                <c:ptCount val="6"/>
                <c:pt idx="0">
                  <c:v>2017年</c:v>
                </c:pt>
                <c:pt idx="1">
                  <c:v>2018年</c:v>
                </c:pt>
                <c:pt idx="2">
                  <c:v>2019年</c:v>
                </c:pt>
                <c:pt idx="3">
                  <c:v>2020年</c:v>
                </c:pt>
                <c:pt idx="4">
                  <c:v>2021年</c:v>
                </c:pt>
                <c:pt idx="5">
                  <c:v>2022年</c:v>
                </c:pt>
              </c:strCache>
            </c:strRef>
          </c:cat>
          <c:val>
            <c:numRef>
              <c:f>'表3.1'!$B$3:$G$3</c:f>
              <c:numCache>
                <c:formatCode>General</c:formatCode>
                <c:ptCount val="6"/>
                <c:pt idx="0">
                  <c:v>20</c:v>
                </c:pt>
                <c:pt idx="1">
                  <c:v>8</c:v>
                </c:pt>
                <c:pt idx="2">
                  <c:v>6</c:v>
                </c:pt>
                <c:pt idx="3">
                  <c:v>12</c:v>
                </c:pt>
                <c:pt idx="4">
                  <c:v>18</c:v>
                </c:pt>
                <c:pt idx="5">
                  <c:v>46</c:v>
                </c:pt>
              </c:numCache>
            </c:numRef>
          </c:val>
          <c:smooth val="0"/>
        </c:ser>
        <c:ser>
          <c:idx val="1"/>
          <c:order val="1"/>
          <c:tx>
            <c:strRef>
              <c:f>'表3.1'!$A$5</c:f>
              <c:strCache>
                <c:ptCount val="1"/>
                <c:pt idx="0">
                  <c:v>基本电动乘用车</c:v>
                </c:pt>
              </c:strCache>
            </c:strRef>
          </c:tx>
          <c:spPr>
            <a:ln w="25400" cap="rnd" cmpd="sng" algn="ctr">
              <a:solidFill>
                <a:srgbClr val="ED7D31"/>
              </a:solidFill>
              <a:prstDash val="solid"/>
              <a:round/>
            </a:ln>
          </c:spPr>
          <c:marker>
            <c:symbol val="circle"/>
            <c:size val="5"/>
            <c:spPr>
              <a:solidFill>
                <a:srgbClr val="ED7D31"/>
              </a:solidFill>
              <a:ln w="6350" cap="flat" cmpd="sng" algn="ctr">
                <a:solidFill>
                  <a:srgbClr val="ED7D31"/>
                </a:solidFill>
                <a:prstDash val="solid"/>
                <a:round/>
              </a:ln>
            </c:spPr>
          </c:marker>
          <c:dLbls>
            <c:delete val="1"/>
          </c:dLbls>
          <c:cat>
            <c:strRef>
              <c:f>'表3.1'!$B$2:$G$2</c:f>
              <c:strCache>
                <c:ptCount val="6"/>
                <c:pt idx="0">
                  <c:v>2017年</c:v>
                </c:pt>
                <c:pt idx="1">
                  <c:v>2018年</c:v>
                </c:pt>
                <c:pt idx="2">
                  <c:v>2019年</c:v>
                </c:pt>
                <c:pt idx="3">
                  <c:v>2020年</c:v>
                </c:pt>
                <c:pt idx="4">
                  <c:v>2021年</c:v>
                </c:pt>
                <c:pt idx="5">
                  <c:v>2022年</c:v>
                </c:pt>
              </c:strCache>
            </c:strRef>
          </c:cat>
          <c:val>
            <c:numRef>
              <c:f>'表3.1'!$B$5:$G$5</c:f>
              <c:numCache>
                <c:formatCode>General</c:formatCode>
                <c:ptCount val="6"/>
                <c:pt idx="0">
                  <c:v>736</c:v>
                </c:pt>
                <c:pt idx="1">
                  <c:v>324</c:v>
                </c:pt>
                <c:pt idx="2">
                  <c:v>288</c:v>
                </c:pt>
                <c:pt idx="3">
                  <c:v>499</c:v>
                </c:pt>
                <c:pt idx="4">
                  <c:v>804</c:v>
                </c:pt>
                <c:pt idx="5">
                  <c:v>1676</c:v>
                </c:pt>
              </c:numCache>
            </c:numRef>
          </c:val>
          <c:smooth val="0"/>
        </c:ser>
        <c:ser>
          <c:idx val="2"/>
          <c:order val="2"/>
          <c:tx>
            <c:strRef>
              <c:f>'表3.1'!$A$4</c:f>
              <c:strCache>
                <c:ptCount val="1"/>
                <c:pt idx="0">
                  <c:v>商用电动客车</c:v>
                </c:pt>
              </c:strCache>
            </c:strRef>
          </c:tx>
          <c:spPr>
            <a:ln w="25400" cap="rnd" cmpd="sng" algn="ctr">
              <a:solidFill>
                <a:srgbClr val="A5A5A5"/>
              </a:solidFill>
              <a:prstDash val="solid"/>
              <a:round/>
            </a:ln>
          </c:spPr>
          <c:marker>
            <c:symbol val="circle"/>
            <c:size val="5"/>
            <c:spPr>
              <a:solidFill>
                <a:srgbClr val="A5A5A5"/>
              </a:solidFill>
              <a:ln w="6350" cap="flat" cmpd="sng" algn="ctr">
                <a:solidFill>
                  <a:srgbClr val="A5A5A5"/>
                </a:solidFill>
                <a:prstDash val="solid"/>
                <a:round/>
              </a:ln>
            </c:spPr>
          </c:marker>
          <c:dLbls>
            <c:delete val="1"/>
          </c:dLbls>
          <c:cat>
            <c:strRef>
              <c:f>'表3.1'!$B$2:$G$2</c:f>
              <c:strCache>
                <c:ptCount val="6"/>
                <c:pt idx="0">
                  <c:v>2017年</c:v>
                </c:pt>
                <c:pt idx="1">
                  <c:v>2018年</c:v>
                </c:pt>
                <c:pt idx="2">
                  <c:v>2019年</c:v>
                </c:pt>
                <c:pt idx="3">
                  <c:v>2020年</c:v>
                </c:pt>
                <c:pt idx="4">
                  <c:v>2021年</c:v>
                </c:pt>
                <c:pt idx="5">
                  <c:v>2022年</c:v>
                </c:pt>
              </c:strCache>
            </c:strRef>
          </c:cat>
          <c:val>
            <c:numRef>
              <c:f>'表3.1'!$B$4:$G$4</c:f>
              <c:numCache>
                <c:formatCode>General</c:formatCode>
                <c:ptCount val="6"/>
                <c:pt idx="0">
                  <c:v>272</c:v>
                </c:pt>
                <c:pt idx="1">
                  <c:v>126</c:v>
                </c:pt>
                <c:pt idx="2">
                  <c:v>40</c:v>
                </c:pt>
                <c:pt idx="3">
                  <c:v>99</c:v>
                </c:pt>
                <c:pt idx="4">
                  <c:v>123</c:v>
                </c:pt>
                <c:pt idx="5">
                  <c:v>258</c:v>
                </c:pt>
              </c:numCache>
            </c:numRef>
          </c:val>
          <c:smooth val="0"/>
        </c:ser>
        <c:ser>
          <c:idx val="4"/>
          <c:order val="3"/>
          <c:tx>
            <c:strRef>
              <c:f>'表3.1'!$A$6</c:f>
              <c:strCache>
                <c:ptCount val="1"/>
                <c:pt idx="0">
                  <c:v>总计</c:v>
                </c:pt>
              </c:strCache>
            </c:strRef>
          </c:tx>
          <c:spPr>
            <a:ln w="25400" cap="rnd" cmpd="sng" algn="ctr">
              <a:solidFill>
                <a:srgbClr val="4472C4"/>
              </a:solidFill>
              <a:prstDash val="solid"/>
              <a:round/>
            </a:ln>
          </c:spPr>
          <c:marker>
            <c:symbol val="circle"/>
            <c:size val="5"/>
            <c:spPr>
              <a:solidFill>
                <a:srgbClr val="4472C4"/>
              </a:solidFill>
              <a:ln w="6350" cap="flat" cmpd="sng" algn="ctr">
                <a:solidFill>
                  <a:srgbClr val="4472C4"/>
                </a:solidFill>
                <a:prstDash val="solid"/>
                <a:round/>
              </a:ln>
            </c:spPr>
          </c:marker>
          <c:dLbls>
            <c:delete val="1"/>
          </c:dLbls>
          <c:cat>
            <c:strRef>
              <c:f>'表3.1'!$B$2:$G$2</c:f>
              <c:strCache>
                <c:ptCount val="6"/>
                <c:pt idx="0">
                  <c:v>2017年</c:v>
                </c:pt>
                <c:pt idx="1">
                  <c:v>2018年</c:v>
                </c:pt>
                <c:pt idx="2">
                  <c:v>2019年</c:v>
                </c:pt>
                <c:pt idx="3">
                  <c:v>2020年</c:v>
                </c:pt>
                <c:pt idx="4">
                  <c:v>2021年</c:v>
                </c:pt>
                <c:pt idx="5">
                  <c:v>2022年</c:v>
                </c:pt>
              </c:strCache>
            </c:strRef>
          </c:cat>
          <c:val>
            <c:numRef>
              <c:f>'表3.1'!$B$6:$G$6</c:f>
              <c:numCache>
                <c:formatCode>General</c:formatCode>
                <c:ptCount val="6"/>
                <c:pt idx="0">
                  <c:v>1028</c:v>
                </c:pt>
                <c:pt idx="1">
                  <c:v>458</c:v>
                </c:pt>
                <c:pt idx="2">
                  <c:v>334</c:v>
                </c:pt>
                <c:pt idx="3">
                  <c:v>610</c:v>
                </c:pt>
                <c:pt idx="4">
                  <c:v>945</c:v>
                </c:pt>
                <c:pt idx="5">
                  <c:v>1980</c:v>
                </c:pt>
              </c:numCache>
            </c:numRef>
          </c:val>
          <c:smooth val="0"/>
        </c:ser>
        <c:dLbls>
          <c:showLegendKey val="0"/>
          <c:showVal val="0"/>
          <c:showCatName val="0"/>
          <c:showSerName val="0"/>
          <c:showPercent val="0"/>
          <c:showBubbleSize val="0"/>
        </c:dLbls>
        <c:marker val="1"/>
        <c:smooth val="0"/>
        <c:axId val="1385598975"/>
        <c:axId val="1"/>
      </c:lineChart>
      <c:catAx>
        <c:axId val="1385598975"/>
        <c:scaling>
          <c:orientation val="minMax"/>
        </c:scaling>
        <c:delete val="0"/>
        <c:axPos val="b"/>
        <c:numFmt formatCode="General" sourceLinked="1"/>
        <c:majorTickMark val="none"/>
        <c:minorTickMark val="none"/>
        <c:tickLblPos val="nextTo"/>
        <c:spPr>
          <a:ln w="3175" cap="flat" cmpd="sng" algn="ctr">
            <a:solidFill>
              <a:srgbClr val="D9D9D9">
                <a:alpha val="100000"/>
              </a:srgbClr>
            </a:solid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3175" cap="flat" cmpd="sng" algn="ctr">
              <a:solidFill>
                <a:srgbClr val="D9D9D9"/>
              </a:solidFill>
              <a:prstDash val="solid"/>
              <a:round/>
            </a:ln>
          </c:spPr>
        </c:majorGridlines>
        <c:numFmt formatCode="General"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385598975"/>
        <c:crosses val="autoZero"/>
        <c:crossBetween val="between"/>
      </c:valAx>
      <c:spPr>
        <a:noFill/>
        <a:ln w="25400">
          <a:noFill/>
        </a:ln>
      </c:spPr>
    </c:plotArea>
    <c:legend>
      <c:legendPos val="r"/>
      <c:layout>
        <c:manualLayout>
          <c:xMode val="edge"/>
          <c:yMode val="edge"/>
          <c:x val="0.0603608174589922"/>
          <c:y val="0.873685194592611"/>
          <c:w val="0.897256297285841"/>
          <c:h val="0.0564533767956424"/>
        </c:manualLayout>
      </c:layout>
      <c:overlay val="0"/>
      <c:spPr>
        <a:noFill/>
        <a:ln w="3175">
          <a:noFill/>
        </a:ln>
      </c:spPr>
      <c:txPr>
        <a:bodyPr rot="0" spcFirstLastPara="0" vertOverflow="ellipsis" vert="horz" wrap="square" anchor="ctr" anchorCtr="1"/>
        <a:lstStyle/>
        <a:p>
          <a:pPr>
            <a:defRPr lang="zh-CN" sz="825" b="0" i="0" u="none" strike="noStrike" kern="1200" baseline="0">
              <a:solidFill>
                <a:srgbClr val="595959"/>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alpha val="100000"/>
      </a:srgbClr>
    </a:solidFill>
    <a:ln w="3175" cap="flat" cmpd="sng" algn="ctr">
      <a:solidFill>
        <a:srgbClr val="D9D9D9">
          <a:alpha val="100000"/>
        </a:srgbClr>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742492-6DD8-4B86-99E0-A8E3A295AB90}">
  <ds:schemaRefs/>
</ds:datastoreItem>
</file>

<file path=docProps/app.xml><?xml version="1.0" encoding="utf-8"?>
<Properties xmlns="http://schemas.openxmlformats.org/officeDocument/2006/extended-properties" xmlns:vt="http://schemas.openxmlformats.org/officeDocument/2006/docPropsVTypes">
  <Template>Normal</Template>
  <Company>SGERI</Company>
  <Pages>59</Pages>
  <Words>3969</Words>
  <Characters>22627</Characters>
  <Lines>188</Lines>
  <Paragraphs>53</Paragraphs>
  <TotalTime>11</TotalTime>
  <ScaleCrop>false</ScaleCrop>
  <LinksUpToDate>false</LinksUpToDate>
  <CharactersWithSpaces>26543</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2023-07-12T09:57:00Z</dcterms:created>
  <dc:creator>He Bo</dc:creator>
  <cp:lastModifiedBy>　　　　　　　　</cp:lastModifiedBy>
  <cp:lastPrinted>2022-09-24T06:13:00Z</cp:lastPrinted>
  <dcterms:modified xsi:type="dcterms:W3CDTF">2023-08-28T07:06:08Z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A662474F40C641CE957B1E922A9CA0FD_13</vt:lpwstr>
  </property>
</Properties>
</file>