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0" w:firstLineChars="0"/>
        <w:jc w:val="center"/>
        <w:textAlignment w:val="auto"/>
        <w:rPr>
          <w:rFonts w:eastAsia="方正小标宋_GBK" w:cs="Times New Roman"/>
          <w:bCs/>
          <w:kern w:val="0"/>
          <w:sz w:val="44"/>
          <w:szCs w:val="44"/>
        </w:rPr>
      </w:pPr>
      <w:r>
        <w:rPr>
          <w:rFonts w:hint="eastAsia" w:eastAsia="方正小标宋_GBK" w:cs="Times New Roman"/>
          <w:bCs/>
          <w:kern w:val="0"/>
          <w:sz w:val="44"/>
          <w:szCs w:val="44"/>
          <w:lang w:eastAsia="zh-CN"/>
        </w:rPr>
        <w:t>青田县</w:t>
      </w:r>
      <w:r>
        <w:rPr>
          <w:rFonts w:hint="eastAsia" w:eastAsia="方正小标宋_GBK" w:cs="Times New Roman"/>
          <w:bCs/>
          <w:kern w:val="0"/>
          <w:sz w:val="44"/>
          <w:szCs w:val="44"/>
        </w:rPr>
        <w:t>公共数据授权运营管理实施细则（试行）（征求意见稿）</w:t>
      </w:r>
    </w:p>
    <w:p>
      <w:pPr>
        <w:pageBreakBefore w:val="0"/>
        <w:tabs>
          <w:tab w:val="left" w:pos="-40"/>
        </w:tabs>
        <w:kinsoku/>
        <w:wordWrap/>
        <w:overflowPunct/>
        <w:topLinePunct w:val="0"/>
        <w:autoSpaceDE/>
        <w:autoSpaceDN/>
        <w:bidi w:val="0"/>
        <w:adjustRightInd/>
        <w:snapToGrid/>
        <w:spacing w:line="560" w:lineRule="exact"/>
        <w:ind w:firstLine="0" w:firstLineChars="0"/>
        <w:textAlignment w:val="auto"/>
        <w:outlineLvl w:val="2"/>
        <w:rPr>
          <w:rFonts w:ascii="仿宋_GB2312" w:cs="Times New Roman"/>
        </w:rPr>
      </w:pP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eastAsia"/>
          <w:lang w:eastAsia="zh-CN"/>
        </w:rPr>
      </w:pPr>
      <w:r>
        <w:rPr>
          <w:rFonts w:hint="eastAsia" w:ascii="仿宋_GB2312" w:cs="Times New Roman"/>
        </w:rPr>
        <w:t>为规范全县公共数据授权运营行为，加快公共数据有序开发利用，培育数据要素市场，根据《浙江省公共数据条例》《浙江省人民政府办公厅关于印发浙江省公共数据授权运营管理办法</w:t>
      </w:r>
      <w:r>
        <w:rPr>
          <w:rFonts w:ascii="仿宋_GB2312" w:cs="Times New Roman"/>
        </w:rPr>
        <w:t>（</w:t>
      </w:r>
      <w:r>
        <w:rPr>
          <w:rFonts w:hint="eastAsia" w:ascii="仿宋_GB2312" w:cs="Times New Roman"/>
        </w:rPr>
        <w:t>试行</w:t>
      </w:r>
      <w:r>
        <w:rPr>
          <w:rFonts w:ascii="仿宋_GB2312" w:cs="Times New Roman"/>
        </w:rPr>
        <w:t>）</w:t>
      </w:r>
      <w:r>
        <w:rPr>
          <w:rFonts w:hint="eastAsia" w:ascii="仿宋_GB2312" w:cs="Times New Roman"/>
        </w:rPr>
        <w:t>的通知》（浙政办发〔2023〕44号，以下简称省管理办法）等文件精神，结合本县实际，制定本实施细则</w:t>
      </w:r>
      <w:r>
        <w:rPr>
          <w:rFonts w:hint="eastAsia" w:ascii="仿宋_GB2312" w:cs="Times New Roman"/>
          <w:lang w:eastAsia="zh-CN"/>
        </w:rPr>
        <w:t>，</w:t>
      </w:r>
      <w:r>
        <w:rPr>
          <w:rFonts w:hint="eastAsia" w:ascii="仿宋_GB2312" w:cs="Times New Roman"/>
          <w:lang w:val="en-US" w:eastAsia="zh-CN"/>
        </w:rPr>
        <w:t>现征求你们意见</w:t>
      </w:r>
      <w:r>
        <w:rPr>
          <w:rFonts w:hint="eastAsia" w:ascii="仿宋_GB2312" w:hAnsi="仿宋_GB2312"/>
          <w:szCs w:val="32"/>
        </w:rPr>
        <w:t>。</w:t>
      </w:r>
    </w:p>
    <w:p>
      <w:pPr>
        <w:pStyle w:val="4"/>
        <w:keepNext/>
        <w:keepLines/>
        <w:pageBreakBefore w:val="0"/>
        <w:numPr>
          <w:ilvl w:val="0"/>
          <w:numId w:val="0"/>
        </w:numPr>
        <w:kinsoku/>
        <w:wordWrap/>
        <w:overflowPunct/>
        <w:topLinePunct w:val="0"/>
        <w:autoSpaceDE/>
        <w:autoSpaceDN/>
        <w:bidi w:val="0"/>
        <w:adjustRightInd/>
        <w:snapToGrid/>
        <w:spacing w:beforeLines="50" w:afterLines="50" w:line="560" w:lineRule="exact"/>
        <w:ind w:leftChars="200"/>
        <w:jc w:val="center"/>
        <w:textAlignment w:val="auto"/>
        <w:rPr>
          <w:rFonts w:hint="default" w:eastAsia="黑体"/>
          <w:b w:val="0"/>
          <w:kern w:val="2"/>
          <w:szCs w:val="32"/>
        </w:rPr>
      </w:pPr>
      <w:r>
        <w:rPr>
          <w:rFonts w:hint="eastAsia" w:eastAsia="黑体"/>
          <w:b w:val="0"/>
          <w:kern w:val="2"/>
          <w:szCs w:val="32"/>
          <w:lang w:eastAsia="zh-CN"/>
        </w:rPr>
        <w:t>第一章</w:t>
      </w:r>
      <w:r>
        <w:rPr>
          <w:rFonts w:hint="eastAsia" w:eastAsia="黑体"/>
          <w:b w:val="0"/>
          <w:kern w:val="2"/>
          <w:szCs w:val="32"/>
          <w:lang w:val="en-US" w:eastAsia="zh-CN"/>
        </w:rPr>
        <w:t xml:space="preserve"> </w:t>
      </w:r>
      <w:r>
        <w:rPr>
          <w:rFonts w:eastAsia="黑体"/>
          <w:b w:val="0"/>
          <w:kern w:val="2"/>
          <w:szCs w:val="32"/>
        </w:rPr>
        <w:t>总则</w:t>
      </w:r>
    </w:p>
    <w:p>
      <w:pPr>
        <w:pageBreakBefore w:val="0"/>
        <w:kinsoku/>
        <w:wordWrap/>
        <w:overflowPunct/>
        <w:topLinePunct w:val="0"/>
        <w:autoSpaceDE/>
        <w:autoSpaceDN/>
        <w:bidi w:val="0"/>
        <w:adjustRightInd/>
        <w:snapToGrid/>
        <w:spacing w:line="560" w:lineRule="exact"/>
        <w:ind w:firstLineChars="0"/>
        <w:textAlignment w:val="auto"/>
        <w:rPr>
          <w:rFonts w:hint="eastAsia" w:ascii="仿宋_GB2312" w:cs="Times New Roman"/>
          <w:b/>
          <w:bCs/>
          <w:szCs w:val="32"/>
          <w:lang w:val="en-US" w:eastAsia="zh-CN"/>
        </w:rPr>
      </w:pPr>
      <w:r>
        <w:rPr>
          <w:rFonts w:hint="eastAsia" w:ascii="仿宋_GB2312" w:cs="Times New Roman"/>
          <w:b/>
          <w:bCs/>
          <w:szCs w:val="32"/>
          <w:lang w:val="en-US" w:eastAsia="zh-CN"/>
        </w:rPr>
        <w:t>第一条 基本原则</w:t>
      </w:r>
      <w:bookmarkStart w:id="0" w:name="_GoBack"/>
      <w:bookmarkEnd w:id="0"/>
    </w:p>
    <w:p>
      <w:pPr>
        <w:pageBreakBefore w:val="0"/>
        <w:kinsoku/>
        <w:wordWrap/>
        <w:overflowPunct/>
        <w:topLinePunct w:val="0"/>
        <w:autoSpaceDE/>
        <w:autoSpaceDN/>
        <w:bidi w:val="0"/>
        <w:adjustRightInd/>
        <w:snapToGrid/>
        <w:spacing w:line="560" w:lineRule="exact"/>
        <w:ind w:firstLineChars="0"/>
        <w:textAlignment w:val="auto"/>
        <w:rPr>
          <w:rFonts w:ascii="仿宋_GB2312" w:cs="Times New Roman"/>
          <w:szCs w:val="32"/>
        </w:rPr>
      </w:pPr>
      <w:r>
        <w:rPr>
          <w:rFonts w:hint="eastAsia" w:ascii="仿宋_GB2312" w:cs="Times New Roman"/>
          <w:b/>
          <w:bCs/>
          <w:szCs w:val="32"/>
          <w:lang w:val="en-US" w:eastAsia="zh-CN"/>
        </w:rPr>
        <w:t xml:space="preserve"> </w:t>
      </w:r>
      <w:r>
        <w:rPr>
          <w:rFonts w:hint="eastAsia" w:ascii="仿宋_GB2312" w:cs="Times New Roman"/>
          <w:szCs w:val="32"/>
        </w:rPr>
        <w:t>公共数据授权运营遵循依法合规、安全可控、统筹规划、稳慎有序的原则，按照“原始数据不出域、数据可用不可见”的要求，在保护个人信息、商业秘密、保密商务信息和确保公共安全的前提下，向社会提供数据产品和服务（以下简称数据产品）。</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eastAsia" w:ascii="仿宋_GB2312" w:cs="Times New Roman"/>
          <w:b/>
          <w:bCs/>
          <w:szCs w:val="32"/>
          <w:lang w:val="en-US" w:eastAsia="zh-CN"/>
        </w:rPr>
      </w:pPr>
      <w:r>
        <w:rPr>
          <w:rFonts w:hint="eastAsia" w:ascii="仿宋_GB2312" w:cs="Times New Roman"/>
          <w:b/>
          <w:bCs/>
          <w:szCs w:val="32"/>
          <w:lang w:val="en-US" w:eastAsia="zh-CN"/>
        </w:rPr>
        <w:t>第二条 适用范围</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hAnsi="仿宋_GB2312"/>
          <w:szCs w:val="32"/>
        </w:rPr>
      </w:pPr>
      <w:r>
        <w:rPr>
          <w:rFonts w:hint="eastAsia" w:ascii="仿宋_GB2312" w:cs="Times New Roman"/>
          <w:b/>
          <w:bCs/>
          <w:szCs w:val="32"/>
          <w:lang w:val="en-US" w:eastAsia="zh-CN"/>
        </w:rPr>
        <w:t xml:space="preserve"> </w:t>
      </w:r>
      <w:r>
        <w:rPr>
          <w:rFonts w:hint="eastAsia" w:ascii="仿宋_GB2312" w:hAnsi="仿宋_GB2312"/>
          <w:szCs w:val="32"/>
        </w:rPr>
        <w:t>本县行政区域内与公共数据授权运营相关的授权、数据加工处理、数据产品和服务定价、安全监管等工作，适用本实施细则。</w:t>
      </w:r>
    </w:p>
    <w:p>
      <w:pPr>
        <w:pageBreakBefore w:val="0"/>
        <w:kinsoku/>
        <w:wordWrap/>
        <w:overflowPunct/>
        <w:topLinePunct w:val="0"/>
        <w:autoSpaceDE/>
        <w:autoSpaceDN/>
        <w:bidi w:val="0"/>
        <w:adjustRightInd/>
        <w:snapToGrid/>
        <w:spacing w:line="560" w:lineRule="exact"/>
        <w:textAlignment w:val="auto"/>
        <w:rPr>
          <w:rFonts w:hint="default" w:ascii="仿宋_GB2312" w:cs="Times New Roman"/>
          <w:b/>
          <w:bCs/>
          <w:szCs w:val="32"/>
          <w:lang w:val="en-US" w:eastAsia="zh-CN"/>
        </w:rPr>
      </w:pPr>
      <w:r>
        <w:rPr>
          <w:rFonts w:hint="eastAsia" w:ascii="仿宋_GB2312" w:cs="Times New Roman"/>
          <w:b/>
          <w:bCs/>
          <w:szCs w:val="32"/>
          <w:lang w:val="en-US" w:eastAsia="zh-CN"/>
        </w:rPr>
        <w:t>第三条 术语定义</w:t>
      </w:r>
    </w:p>
    <w:p>
      <w:pPr>
        <w:pageBreakBefore w:val="0"/>
        <w:kinsoku/>
        <w:wordWrap/>
        <w:overflowPunct/>
        <w:topLinePunct w:val="0"/>
        <w:autoSpaceDE/>
        <w:autoSpaceDN/>
        <w:bidi w:val="0"/>
        <w:adjustRightInd/>
        <w:snapToGrid/>
        <w:spacing w:line="560" w:lineRule="exact"/>
        <w:textAlignment w:val="auto"/>
        <w:rPr>
          <w:rFonts w:ascii="仿宋_GB2312" w:cs="Times New Roman"/>
        </w:rPr>
      </w:pPr>
      <w:r>
        <w:rPr>
          <w:rFonts w:hint="eastAsia" w:ascii="仿宋_GB2312" w:cs="Times New Roman"/>
        </w:rPr>
        <w:t>公共数据，是指本省国家机关、法律法规规章授权的具有管理公共事务职能的组织以及供水、供电、供气、公共交通等公共服务运营单位(以下统称公共管理和服务机构)，在依法履行职责或者提供公共服务过程中收集、产生的数据。</w:t>
      </w:r>
    </w:p>
    <w:p>
      <w:pPr>
        <w:pageBreakBefore w:val="0"/>
        <w:kinsoku/>
        <w:wordWrap/>
        <w:overflowPunct/>
        <w:topLinePunct w:val="0"/>
        <w:autoSpaceDE/>
        <w:autoSpaceDN/>
        <w:bidi w:val="0"/>
        <w:adjustRightInd/>
        <w:snapToGrid/>
        <w:spacing w:line="560" w:lineRule="exact"/>
        <w:textAlignment w:val="auto"/>
        <w:rPr>
          <w:rFonts w:ascii="仿宋_GB2312" w:cs="Times New Roman"/>
        </w:rPr>
      </w:pPr>
      <w:r>
        <w:rPr>
          <w:rFonts w:hint="eastAsia" w:ascii="仿宋_GB2312" w:cs="Times New Roman"/>
        </w:rPr>
        <w:t>公共数据授权运营，是指县级以上政府按程序依法授权法人或者非法人组织，依托</w:t>
      </w:r>
      <w:r>
        <w:rPr>
          <w:rFonts w:ascii="仿宋_GB2312" w:cs="Times New Roman"/>
        </w:rPr>
        <w:t>公共数据</w:t>
      </w:r>
      <w:r>
        <w:rPr>
          <w:rFonts w:hint="eastAsia" w:ascii="仿宋_GB2312" w:cs="Times New Roman"/>
        </w:rPr>
        <w:t>授权运营域，对授权的公共数据进行加工处理，开发形成数据产品或服务，并向社会提供的行为。</w:t>
      </w:r>
    </w:p>
    <w:p>
      <w:pPr>
        <w:pageBreakBefore w:val="0"/>
        <w:kinsoku/>
        <w:wordWrap/>
        <w:overflowPunct/>
        <w:topLinePunct w:val="0"/>
        <w:autoSpaceDE/>
        <w:autoSpaceDN/>
        <w:bidi w:val="0"/>
        <w:adjustRightInd/>
        <w:snapToGrid/>
        <w:spacing w:line="560" w:lineRule="exact"/>
        <w:textAlignment w:val="auto"/>
      </w:pPr>
      <w:r>
        <w:rPr>
          <w:rFonts w:hint="eastAsia"/>
        </w:rPr>
        <w:t>授权运营单位，是指经县级以上政府按程序依法授权，对授权的公共数据进行加工处理，开发形成数据产品或服务，并向社会提供的法人或者非法人组织。</w:t>
      </w:r>
    </w:p>
    <w:p>
      <w:pPr>
        <w:pStyle w:val="16"/>
        <w:pageBreakBefore w:val="0"/>
        <w:kinsoku/>
        <w:wordWrap/>
        <w:overflowPunct/>
        <w:topLinePunct w:val="0"/>
        <w:autoSpaceDE/>
        <w:autoSpaceDN/>
        <w:bidi w:val="0"/>
        <w:adjustRightInd/>
        <w:snapToGrid/>
        <w:spacing w:line="560" w:lineRule="exact"/>
        <w:ind w:firstLine="640"/>
        <w:textAlignment w:val="auto"/>
      </w:pPr>
      <w:r>
        <w:rPr>
          <w:rFonts w:hint="eastAsia" w:ascii="仿宋_GB2312"/>
        </w:rPr>
        <w:t>授权运营域，是指依托一体化智能化公共数据平台（以下简称公共数据平台）建设，为授权运营单位提供加工处理公共数据服务的特定安全域，具备安全脱敏、访问控制、算法建模、监管溯源、接口生成、封存销毁等功能。</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rPr>
      </w:pPr>
      <w:r>
        <w:rPr>
          <w:rFonts w:hint="eastAsia" w:ascii="仿宋_GB2312"/>
        </w:rPr>
        <w:t>授权运营协议</w:t>
      </w:r>
      <w:r>
        <w:rPr>
          <w:rFonts w:hint="eastAsia" w:ascii="仿宋_GB2312" w:cs="Times New Roman"/>
        </w:rPr>
        <w:t>（以下简称运营协议）</w:t>
      </w:r>
      <w:r>
        <w:rPr>
          <w:rFonts w:hint="eastAsia" w:ascii="仿宋_GB2312"/>
        </w:rPr>
        <w:t>，是指县级以上政府与授权运营单位就公共数据授权运营达成的书面协议，明确双方权利义务、授权运营范围、运营期限、合理收益的测算方法、数据安全要求、期限届满后资产处置、退出机制和违约责任等。</w:t>
      </w:r>
    </w:p>
    <w:p>
      <w:pPr>
        <w:pageBreakBefore w:val="0"/>
        <w:kinsoku/>
        <w:wordWrap/>
        <w:overflowPunct/>
        <w:topLinePunct w:val="0"/>
        <w:autoSpaceDE/>
        <w:autoSpaceDN/>
        <w:bidi w:val="0"/>
        <w:adjustRightInd/>
        <w:snapToGrid/>
        <w:spacing w:line="560" w:lineRule="exact"/>
        <w:textAlignment w:val="auto"/>
        <w:rPr>
          <w:rFonts w:ascii="方正楷体_GBK" w:hAnsi="方正楷体_GBK" w:eastAsia="方正楷体_GBK" w:cs="方正楷体_GBK"/>
          <w:szCs w:val="32"/>
        </w:rPr>
      </w:pPr>
      <w:r>
        <w:rPr>
          <w:rFonts w:hint="eastAsia" w:ascii="仿宋_GB2312" w:cs="Times New Roman"/>
        </w:rPr>
        <w:t>数据产品,是指利用公共数据参与加工形成的产品或服务，主要形态有数据包、数据接口、数据模型、数据服务、数据报告、业务服务等。</w:t>
      </w:r>
    </w:p>
    <w:p>
      <w:pPr>
        <w:pageBreakBefore w:val="0"/>
        <w:kinsoku/>
        <w:wordWrap/>
        <w:overflowPunct/>
        <w:topLinePunct w:val="0"/>
        <w:autoSpaceDE/>
        <w:autoSpaceDN/>
        <w:bidi w:val="0"/>
        <w:adjustRightInd/>
        <w:snapToGrid/>
        <w:spacing w:line="560" w:lineRule="exact"/>
        <w:textAlignment w:val="auto"/>
        <w:rPr>
          <w:rFonts w:hint="eastAsia" w:ascii="仿宋_GB2312" w:cs="Times New Roman"/>
          <w:b/>
          <w:bCs/>
          <w:szCs w:val="32"/>
          <w:lang w:val="en-US" w:eastAsia="zh-CN"/>
        </w:rPr>
      </w:pPr>
      <w:r>
        <w:rPr>
          <w:rFonts w:hint="eastAsia" w:ascii="仿宋_GB2312" w:cs="Times New Roman"/>
          <w:b/>
          <w:bCs/>
          <w:szCs w:val="32"/>
          <w:lang w:val="en-US" w:eastAsia="zh-CN"/>
        </w:rPr>
        <w:t>第四条 工作体系</w:t>
      </w:r>
    </w:p>
    <w:p>
      <w:pPr>
        <w:pageBreakBefore w:val="0"/>
        <w:numPr>
          <w:ilvl w:val="0"/>
          <w:numId w:val="0"/>
        </w:numPr>
        <w:kinsoku/>
        <w:wordWrap/>
        <w:overflowPunct/>
        <w:topLinePunct w:val="0"/>
        <w:autoSpaceDE/>
        <w:autoSpaceDN/>
        <w:bidi w:val="0"/>
        <w:adjustRightInd/>
        <w:snapToGrid/>
        <w:spacing w:line="560" w:lineRule="exact"/>
        <w:ind w:firstLine="420" w:firstLineChars="0"/>
        <w:textAlignment w:val="auto"/>
        <w:rPr>
          <w:rFonts w:ascii="仿宋_GB2312" w:cs="Times New Roman"/>
          <w:color w:val="000000" w:themeColor="text1"/>
          <w14:textFill>
            <w14:solidFill>
              <w14:schemeClr w14:val="tx1"/>
            </w14:solidFill>
          </w14:textFill>
        </w:rPr>
      </w:pPr>
      <w:r>
        <w:rPr>
          <w:rFonts w:hint="eastAsia" w:ascii="仿宋_GB2312" w:cs="Times New Roman"/>
          <w:b/>
          <w:bCs/>
          <w:szCs w:val="32"/>
          <w:lang w:val="en-US" w:eastAsia="zh-CN"/>
        </w:rPr>
        <w:t xml:space="preserve"> </w:t>
      </w:r>
      <w:r>
        <w:rPr>
          <w:rFonts w:hint="eastAsia" w:ascii="仿宋_GB2312" w:cs="Times New Roman"/>
          <w:color w:val="000000" w:themeColor="text1"/>
          <w14:textFill>
            <w14:solidFill>
              <w14:schemeClr w14:val="tx1"/>
            </w14:solidFill>
          </w14:textFill>
        </w:rPr>
        <w:t>建立</w:t>
      </w:r>
      <w:r>
        <w:rPr>
          <w:rFonts w:hint="eastAsia" w:ascii="仿宋_GB2312" w:cs="Times New Roman"/>
          <w:color w:val="000000" w:themeColor="text1"/>
          <w:lang w:eastAsia="zh-CN"/>
          <w14:textFill>
            <w14:solidFill>
              <w14:schemeClr w14:val="tx1"/>
            </w14:solidFill>
          </w14:textFill>
        </w:rPr>
        <w:t>青田县</w:t>
      </w:r>
      <w:r>
        <w:rPr>
          <w:rFonts w:hint="eastAsia" w:ascii="仿宋_GB2312" w:cs="Times New Roman"/>
          <w:color w:val="000000" w:themeColor="text1"/>
          <w14:textFill>
            <w14:solidFill>
              <w14:schemeClr w14:val="tx1"/>
            </w14:solidFill>
          </w14:textFill>
        </w:rPr>
        <w:t>公共数据授权运营管理协调机制（以下简称协调机制），</w:t>
      </w:r>
      <w:r>
        <w:rPr>
          <w:rFonts w:hint="eastAsia" w:ascii="仿宋_GB2312" w:cs="Times New Roman"/>
          <w:lang w:val="en-US" w:eastAsia="zh-CN"/>
        </w:rPr>
        <w:t>由县大数据发展中心、县行政服务中心、</w:t>
      </w:r>
      <w:r>
        <w:rPr>
          <w:rFonts w:hint="eastAsia" w:ascii="仿宋_GB2312" w:cs="Times New Roman"/>
          <w:color w:val="000000" w:themeColor="text1"/>
          <w14:textFill>
            <w14:solidFill>
              <w14:schemeClr w14:val="tx1"/>
            </w14:solidFill>
          </w14:textFill>
        </w:rPr>
        <w:t>县委宣传部</w:t>
      </w:r>
      <w:r>
        <w:rPr>
          <w:rFonts w:ascii="仿宋_GB2312" w:cs="Times New Roman"/>
          <w:color w:val="000000" w:themeColor="text1"/>
          <w14:textFill>
            <w14:solidFill>
              <w14:schemeClr w14:val="tx1"/>
            </w14:solidFill>
          </w14:textFill>
        </w:rPr>
        <w:t>（网信办）</w:t>
      </w:r>
      <w:r>
        <w:rPr>
          <w:rFonts w:hint="eastAsia" w:ascii="仿宋_GB2312" w:cs="Times New Roman"/>
          <w:color w:val="000000" w:themeColor="text1"/>
          <w14:textFill>
            <w14:solidFill>
              <w14:schemeClr w14:val="tx1"/>
            </w14:solidFill>
          </w14:textFill>
        </w:rPr>
        <w:t>、县发改局、县经商局、县公安局、县司法局</w:t>
      </w:r>
      <w:r>
        <w:rPr>
          <w:rFonts w:ascii="仿宋_GB2312" w:cs="Times New Roman"/>
          <w:color w:val="000000" w:themeColor="text1"/>
          <w14:textFill>
            <w14:solidFill>
              <w14:schemeClr w14:val="tx1"/>
            </w14:solidFill>
          </w14:textFill>
        </w:rPr>
        <w:t>、</w:t>
      </w:r>
      <w:r>
        <w:rPr>
          <w:rFonts w:hint="eastAsia" w:ascii="仿宋_GB2312" w:cs="Times New Roman"/>
          <w:color w:val="000000" w:themeColor="text1"/>
          <w14:textFill>
            <w14:solidFill>
              <w14:schemeClr w14:val="tx1"/>
            </w14:solidFill>
          </w14:textFill>
        </w:rPr>
        <w:t>县财政局、县市场监管局等部门组成，主要职责包括：</w:t>
      </w:r>
    </w:p>
    <w:p>
      <w:pPr>
        <w:pageBreakBefore w:val="0"/>
        <w:kinsoku/>
        <w:wordWrap/>
        <w:overflowPunct/>
        <w:topLinePunct w:val="0"/>
        <w:autoSpaceDE/>
        <w:autoSpaceDN/>
        <w:bidi w:val="0"/>
        <w:adjustRightInd/>
        <w:snapToGrid/>
        <w:spacing w:line="560" w:lineRule="exact"/>
        <w:textAlignment w:val="auto"/>
        <w:rPr>
          <w:rFonts w:ascii="仿宋_GB2312" w:cs="Times New Roman"/>
          <w:szCs w:val="32"/>
        </w:rPr>
      </w:pPr>
      <w:r>
        <w:rPr>
          <w:rFonts w:hint="eastAsia" w:ascii="仿宋_GB2312" w:cs="Times New Roman"/>
          <w:lang w:eastAsia="zh-CN"/>
        </w:rPr>
        <w:t>（一）</w:t>
      </w:r>
      <w:r>
        <w:rPr>
          <w:rFonts w:hint="eastAsia" w:ascii="仿宋_GB2312" w:cs="Times New Roman"/>
          <w:szCs w:val="32"/>
        </w:rPr>
        <w:t>负责本县公共数据授权运营工作的统筹管理、安全监管、监督评价，建立健全公共数据授权运营相关制度规范和工作机制。</w:t>
      </w:r>
    </w:p>
    <w:p>
      <w:pPr>
        <w:pageBreakBefore w:val="0"/>
        <w:kinsoku/>
        <w:wordWrap/>
        <w:overflowPunct/>
        <w:topLinePunct w:val="0"/>
        <w:autoSpaceDE/>
        <w:autoSpaceDN/>
        <w:bidi w:val="0"/>
        <w:adjustRightInd/>
        <w:snapToGrid/>
        <w:spacing w:line="560" w:lineRule="exact"/>
        <w:textAlignment w:val="auto"/>
        <w:rPr>
          <w:rFonts w:ascii="仿宋_GB2312" w:cs="Times New Roman"/>
          <w:szCs w:val="32"/>
        </w:rPr>
      </w:pPr>
      <w:r>
        <w:rPr>
          <w:rFonts w:hint="eastAsia" w:ascii="仿宋_GB2312" w:cs="Times New Roman"/>
          <w:lang w:eastAsia="zh-CN"/>
        </w:rPr>
        <w:t>（二）</w:t>
      </w:r>
      <w:r>
        <w:rPr>
          <w:rFonts w:hint="eastAsia" w:ascii="仿宋_GB2312" w:cs="Times New Roman"/>
          <w:szCs w:val="32"/>
        </w:rPr>
        <w:t>受县政府委托，审议给予授权、终止或撤销县级授权等重大事项。</w:t>
      </w:r>
    </w:p>
    <w:p>
      <w:pPr>
        <w:pageBreakBefore w:val="0"/>
        <w:kinsoku/>
        <w:wordWrap/>
        <w:overflowPunct/>
        <w:topLinePunct w:val="0"/>
        <w:autoSpaceDE/>
        <w:autoSpaceDN/>
        <w:bidi w:val="0"/>
        <w:adjustRightInd/>
        <w:snapToGrid/>
        <w:spacing w:line="560" w:lineRule="exact"/>
        <w:textAlignment w:val="auto"/>
        <w:rPr>
          <w:rFonts w:ascii="仿宋_GB2312" w:cs="Times New Roman"/>
          <w:szCs w:val="32"/>
        </w:rPr>
      </w:pPr>
      <w:r>
        <w:rPr>
          <w:rFonts w:hint="eastAsia" w:ascii="仿宋_GB2312" w:cs="Times New Roman"/>
          <w:lang w:eastAsia="zh-CN"/>
        </w:rPr>
        <w:t>（三）</w:t>
      </w:r>
      <w:r>
        <w:rPr>
          <w:rFonts w:hint="eastAsia" w:ascii="仿宋_GB2312" w:cs="Times New Roman"/>
          <w:szCs w:val="32"/>
        </w:rPr>
        <w:t>统筹协调解决公共数据授权运营工作中遇到的重大问题。</w:t>
      </w:r>
    </w:p>
    <w:p>
      <w:pPr>
        <w:pageBreakBefore w:val="0"/>
        <w:kinsoku/>
        <w:wordWrap/>
        <w:overflowPunct/>
        <w:topLinePunct w:val="0"/>
        <w:autoSpaceDE/>
        <w:autoSpaceDN/>
        <w:bidi w:val="0"/>
        <w:adjustRightInd/>
        <w:snapToGrid/>
        <w:spacing w:line="560" w:lineRule="exact"/>
        <w:textAlignment w:val="auto"/>
        <w:rPr>
          <w:rFonts w:ascii="仿宋_GB2312" w:cs="Times New Roman"/>
          <w:szCs w:val="32"/>
        </w:rPr>
      </w:pPr>
      <w:r>
        <w:rPr>
          <w:rFonts w:hint="eastAsia" w:ascii="仿宋_GB2312" w:cs="Times New Roman"/>
          <w:color w:val="000000" w:themeColor="text1"/>
          <w:szCs w:val="32"/>
          <w14:textFill>
            <w14:solidFill>
              <w14:schemeClr w14:val="tx1"/>
            </w14:solidFill>
          </w14:textFill>
        </w:rPr>
        <w:t>协调机制办公室设在县大数据发展中心</w:t>
      </w:r>
      <w:r>
        <w:rPr>
          <w:rFonts w:hint="eastAsia" w:ascii="仿宋_GB2312" w:cs="Times New Roman"/>
          <w:szCs w:val="32"/>
        </w:rPr>
        <w:t>，承担协调机制日常工作，负责监督落实协调机制确定的工作任务。协调机制建立联络员制度，联络员由成员单位有关业务负责人担任。</w:t>
      </w:r>
    </w:p>
    <w:p>
      <w:pPr>
        <w:pageBreakBefore w:val="0"/>
        <w:kinsoku/>
        <w:wordWrap/>
        <w:overflowPunct/>
        <w:topLinePunct w:val="0"/>
        <w:autoSpaceDE/>
        <w:autoSpaceDN/>
        <w:bidi w:val="0"/>
        <w:adjustRightInd/>
        <w:snapToGrid/>
        <w:spacing w:line="560" w:lineRule="exact"/>
        <w:textAlignment w:val="auto"/>
        <w:rPr>
          <w:rFonts w:ascii="仿宋_GB2312" w:cs="Times New Roman"/>
          <w:szCs w:val="32"/>
        </w:rPr>
      </w:pPr>
      <w:r>
        <w:rPr>
          <w:rFonts w:hint="eastAsia" w:ascii="仿宋_GB2312" w:cs="Times New Roman"/>
          <w:szCs w:val="32"/>
        </w:rPr>
        <w:t>依托市级公共数据授权运营专家组（以下简称专家组），为公共数据授权运营政策制度制定提供咨询建议，对公共数据授权运营单位资质能力、授权运营应用场景、公共数据产品等进行评审，论证公共数据授权运营中的专业和技术问题，为协调机制决策提供咨询意见。</w:t>
      </w:r>
    </w:p>
    <w:p>
      <w:pPr>
        <w:pageBreakBefore w:val="0"/>
        <w:kinsoku/>
        <w:wordWrap/>
        <w:overflowPunct/>
        <w:topLinePunct w:val="0"/>
        <w:autoSpaceDE/>
        <w:autoSpaceDN/>
        <w:bidi w:val="0"/>
        <w:adjustRightInd/>
        <w:snapToGrid/>
        <w:spacing w:line="560" w:lineRule="exact"/>
        <w:textAlignment w:val="auto"/>
        <w:rPr>
          <w:rFonts w:hint="eastAsia" w:ascii="仿宋_GB2312" w:cs="Times New Roman"/>
          <w:b/>
          <w:bCs/>
          <w:szCs w:val="32"/>
          <w:lang w:val="en-US" w:eastAsia="zh-CN"/>
        </w:rPr>
      </w:pPr>
      <w:r>
        <w:rPr>
          <w:rFonts w:hint="eastAsia" w:ascii="仿宋_GB2312" w:cs="Times New Roman"/>
          <w:b/>
          <w:bCs/>
          <w:szCs w:val="32"/>
          <w:lang w:val="en-US" w:eastAsia="zh-CN"/>
        </w:rPr>
        <w:t xml:space="preserve">第五条 部门职责分工 </w:t>
      </w:r>
    </w:p>
    <w:p>
      <w:pPr>
        <w:pageBreakBefore w:val="0"/>
        <w:kinsoku/>
        <w:wordWrap/>
        <w:overflowPunct/>
        <w:topLinePunct w:val="0"/>
        <w:autoSpaceDE/>
        <w:autoSpaceDN/>
        <w:bidi w:val="0"/>
        <w:adjustRightInd/>
        <w:snapToGrid/>
        <w:spacing w:line="560" w:lineRule="exact"/>
        <w:textAlignment w:val="auto"/>
        <w:rPr>
          <w:rFonts w:ascii="仿宋_GB2312" w:cs="Times New Roman"/>
          <w:szCs w:val="32"/>
        </w:rPr>
      </w:pPr>
      <w:r>
        <w:rPr>
          <w:rFonts w:hint="eastAsia" w:ascii="仿宋_GB2312" w:cs="Times New Roman"/>
          <w:szCs w:val="32"/>
        </w:rPr>
        <w:t>相关单位在各自职责范围内配合协调机制开展公共数据授权运营指导与监督工作：</w:t>
      </w:r>
    </w:p>
    <w:p>
      <w:pPr>
        <w:pStyle w:val="2"/>
        <w:pageBreakBefore w:val="0"/>
        <w:kinsoku/>
        <w:wordWrap/>
        <w:overflowPunct/>
        <w:topLinePunct w:val="0"/>
        <w:autoSpaceDE/>
        <w:autoSpaceDN/>
        <w:bidi w:val="0"/>
        <w:adjustRightInd/>
        <w:snapToGrid/>
        <w:spacing w:line="560" w:lineRule="exact"/>
        <w:textAlignment w:val="auto"/>
        <w:rPr>
          <w:rFonts w:ascii="仿宋_GB2312" w:cs="Times New Roman"/>
          <w:strike/>
          <w:color w:val="FF0000"/>
        </w:rPr>
      </w:pPr>
      <w:r>
        <w:rPr>
          <w:rFonts w:hint="eastAsia" w:ascii="仿宋_GB2312" w:cs="Times New Roman"/>
          <w:color w:val="000000" w:themeColor="text1"/>
          <w:szCs w:val="32"/>
          <w:lang w:eastAsia="zh-CN"/>
          <w14:textFill>
            <w14:solidFill>
              <w14:schemeClr w14:val="tx1"/>
            </w14:solidFill>
          </w14:textFill>
        </w:rPr>
        <w:t>县公共数据主管部门</w:t>
      </w:r>
      <w:r>
        <w:rPr>
          <w:rFonts w:hint="eastAsia" w:ascii="仿宋_GB2312" w:cs="Times New Roman"/>
          <w:szCs w:val="32"/>
        </w:rPr>
        <w:t>负责</w:t>
      </w:r>
      <w:r>
        <w:rPr>
          <w:rFonts w:hint="eastAsia" w:ascii="仿宋_GB2312" w:cs="Times New Roman"/>
        </w:rPr>
        <w:t>全县公共数据授权运营的统筹管理和监督评价，指导、协调、督促其他有关部门按照各自职责做好公共数据授权运营相关工作，会同有关单位开展授权运营情况年度评估。</w:t>
      </w:r>
      <w:r>
        <w:rPr>
          <w:rFonts w:hint="eastAsia"/>
        </w:rPr>
        <w:t>县政府设置的公共数据授权运营合同专用章，由县公共数据主管部门代章。</w:t>
      </w:r>
    </w:p>
    <w:p>
      <w:pPr>
        <w:pageBreakBefore w:val="0"/>
        <w:kinsoku/>
        <w:wordWrap/>
        <w:overflowPunct/>
        <w:topLinePunct w:val="0"/>
        <w:autoSpaceDE/>
        <w:autoSpaceDN/>
        <w:bidi w:val="0"/>
        <w:adjustRightInd/>
        <w:snapToGrid/>
        <w:spacing w:line="560" w:lineRule="exact"/>
        <w:textAlignment w:val="auto"/>
        <w:rPr>
          <w:rFonts w:ascii="仿宋_GB2312" w:cs="Times New Roman"/>
          <w:szCs w:val="32"/>
        </w:rPr>
      </w:pPr>
      <w:r>
        <w:rPr>
          <w:rFonts w:hint="eastAsia" w:ascii="仿宋_GB2312" w:cs="Times New Roman"/>
        </w:rPr>
        <w:t>公共管理和服务机构</w:t>
      </w:r>
      <w:r>
        <w:rPr>
          <w:rFonts w:hint="eastAsia" w:ascii="仿宋_GB2312" w:cs="Times New Roman"/>
          <w:szCs w:val="32"/>
        </w:rPr>
        <w:t>负责推进本领域公共数据授权运营工作，负责做好本单位公共数据治理</w:t>
      </w:r>
      <w:r>
        <w:rPr>
          <w:rFonts w:hint="eastAsia" w:ascii="仿宋_GB2312" w:cs="Times New Roman"/>
        </w:rPr>
        <w:t>、申请审核和安全监管等授权运营相关工作，</w:t>
      </w:r>
      <w:r>
        <w:rPr>
          <w:rFonts w:hint="eastAsia" w:ascii="仿宋_GB2312" w:cs="Times New Roman"/>
          <w:szCs w:val="32"/>
        </w:rPr>
        <w:t>按规定提供可授权运营的公共数据资源，监督本领域公共数据授权运营工作。</w:t>
      </w:r>
    </w:p>
    <w:p>
      <w:pPr>
        <w:pageBreakBefore w:val="0"/>
        <w:kinsoku/>
        <w:wordWrap/>
        <w:overflowPunct/>
        <w:topLinePunct w:val="0"/>
        <w:autoSpaceDE/>
        <w:autoSpaceDN/>
        <w:bidi w:val="0"/>
        <w:adjustRightInd/>
        <w:snapToGrid/>
        <w:spacing w:line="560" w:lineRule="exact"/>
        <w:textAlignment w:val="auto"/>
        <w:rPr>
          <w:rFonts w:ascii="仿宋_GB2312" w:cs="Times New Roman"/>
          <w:color w:val="000000" w:themeColor="text1"/>
          <w:szCs w:val="32"/>
          <w14:textFill>
            <w14:solidFill>
              <w14:schemeClr w14:val="tx1"/>
            </w14:solidFill>
          </w14:textFill>
        </w:rPr>
      </w:pPr>
      <w:r>
        <w:rPr>
          <w:rFonts w:hint="eastAsia" w:ascii="仿宋_GB2312" w:cs="Times New Roman"/>
          <w:color w:val="000000" w:themeColor="text1"/>
          <w:szCs w:val="32"/>
          <w14:textFill>
            <w14:solidFill>
              <w14:schemeClr w14:val="tx1"/>
            </w14:solidFill>
          </w14:textFill>
        </w:rPr>
        <w:t>县发改局、县经商局、县市场监管局等部门按照各自职责，做好数据产品和服务流通交易的监督管理工作。</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cs="Times New Roman"/>
          <w:color w:val="000000" w:themeColor="text1"/>
          <w:szCs w:val="32"/>
          <w14:textFill>
            <w14:solidFill>
              <w14:schemeClr w14:val="tx1"/>
            </w14:solidFill>
          </w14:textFill>
        </w:rPr>
      </w:pPr>
      <w:r>
        <w:rPr>
          <w:rFonts w:hint="eastAsia" w:ascii="仿宋_GB2312" w:cs="Times New Roman"/>
          <w:color w:val="000000" w:themeColor="text1"/>
          <w:szCs w:val="32"/>
          <w14:textFill>
            <w14:solidFill>
              <w14:schemeClr w14:val="tx1"/>
            </w14:solidFill>
          </w14:textFill>
        </w:rPr>
        <w:t>县委宣传部</w:t>
      </w:r>
      <w:r>
        <w:rPr>
          <w:rFonts w:ascii="仿宋_GB2312" w:cs="Times New Roman"/>
          <w:color w:val="000000" w:themeColor="text1"/>
          <w:szCs w:val="32"/>
          <w14:textFill>
            <w14:solidFill>
              <w14:schemeClr w14:val="tx1"/>
            </w14:solidFill>
          </w14:textFill>
        </w:rPr>
        <w:t>（网信办）</w:t>
      </w:r>
      <w:r>
        <w:rPr>
          <w:rFonts w:hint="eastAsia" w:ascii="仿宋_GB2312" w:cs="Times New Roman"/>
          <w:color w:val="000000" w:themeColor="text1"/>
          <w14:textFill>
            <w14:solidFill>
              <w14:schemeClr w14:val="tx1"/>
            </w14:solidFill>
          </w14:textFill>
        </w:rPr>
        <w:t>、县公安局</w:t>
      </w:r>
      <w:r>
        <w:rPr>
          <w:rFonts w:hint="eastAsia" w:ascii="仿宋_GB2312" w:cs="Times New Roman"/>
          <w:color w:val="000000" w:themeColor="text1"/>
          <w:szCs w:val="32"/>
          <w14:textFill>
            <w14:solidFill>
              <w14:schemeClr w14:val="tx1"/>
            </w14:solidFill>
          </w14:textFill>
        </w:rPr>
        <w:t>等部门按照各自职责，做好公共数据授权运营的安全监督管理工作。</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cs="Times New Roman"/>
          <w:color w:val="000000" w:themeColor="text1"/>
          <w:szCs w:val="32"/>
          <w14:textFill>
            <w14:solidFill>
              <w14:schemeClr w14:val="tx1"/>
            </w14:solidFill>
          </w14:textFill>
        </w:rPr>
      </w:pPr>
      <w:r>
        <w:rPr>
          <w:rFonts w:hint="eastAsia" w:ascii="仿宋_GB2312" w:cs="Times New Roman"/>
          <w:color w:val="000000" w:themeColor="text1"/>
          <w:szCs w:val="32"/>
          <w14:textFill>
            <w14:solidFill>
              <w14:schemeClr w14:val="tx1"/>
            </w14:solidFill>
          </w14:textFill>
        </w:rPr>
        <w:t>县财政局为公共数据授权运营平台建设、数据要素市场培育、数据资源高质量供给、引入社会数据拓展政企融合应用场景等工作提供资金保障。</w:t>
      </w:r>
    </w:p>
    <w:p>
      <w:pPr>
        <w:pageBreakBefore w:val="0"/>
        <w:kinsoku/>
        <w:wordWrap/>
        <w:overflowPunct/>
        <w:topLinePunct w:val="0"/>
        <w:autoSpaceDE/>
        <w:autoSpaceDN/>
        <w:bidi w:val="0"/>
        <w:adjustRightInd/>
        <w:snapToGrid/>
        <w:spacing w:line="560" w:lineRule="exact"/>
        <w:textAlignment w:val="auto"/>
        <w:rPr>
          <w:rFonts w:hint="eastAsia" w:ascii="仿宋_GB2312" w:cs="Times New Roman"/>
          <w:b/>
          <w:bCs/>
          <w:szCs w:val="32"/>
          <w:lang w:val="en-US" w:eastAsia="zh-CN"/>
        </w:rPr>
      </w:pPr>
      <w:r>
        <w:rPr>
          <w:rFonts w:hint="eastAsia" w:ascii="仿宋_GB2312" w:cs="Times New Roman"/>
          <w:b/>
          <w:bCs/>
          <w:szCs w:val="32"/>
          <w:lang w:val="en-US" w:eastAsia="zh-CN"/>
        </w:rPr>
        <w:t>第六条 授权主体</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eastAsia" w:ascii="仿宋_GB2312" w:cs="Times New Roman"/>
          <w:szCs w:val="32"/>
        </w:rPr>
      </w:pPr>
      <w:r>
        <w:rPr>
          <w:rFonts w:hint="eastAsia" w:ascii="仿宋_GB2312" w:cs="Times New Roman"/>
          <w:szCs w:val="32"/>
        </w:rPr>
        <w:t>县人民政府是公共数据授权主体，委托</w:t>
      </w:r>
      <w:r>
        <w:rPr>
          <w:rFonts w:hint="eastAsia" w:ascii="仿宋_GB2312" w:cs="Times New Roman"/>
          <w:szCs w:val="32"/>
          <w:lang w:eastAsia="zh-CN"/>
        </w:rPr>
        <w:t>县公共数据主管部门</w:t>
      </w:r>
      <w:r>
        <w:rPr>
          <w:rFonts w:hint="eastAsia" w:ascii="仿宋_GB2312" w:cs="Times New Roman"/>
          <w:szCs w:val="32"/>
        </w:rPr>
        <w:t>负责公共数据授权运营的具体实施工作和对授权运营单位实施日常监督管理。公共管理和服务机构未经批准不得与任何第三方签订公共数据运营协议，不得以合作开发、委托开发、委托运维或运营等方式交由第三方承建（运维或运营）相关信息系统而使其直接获取数据运营权。</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第七条</w:t>
      </w:r>
      <w:r>
        <w:rPr>
          <w:rFonts w:hint="eastAsia" w:ascii="仿宋_GB2312" w:cs="Times New Roman"/>
          <w:b/>
          <w:bCs/>
          <w:szCs w:val="32"/>
          <w:lang w:val="en-US" w:eastAsia="zh-CN"/>
        </w:rPr>
        <w:t xml:space="preserve"> 授权范围</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cs="Times New Roman"/>
        </w:rPr>
      </w:pPr>
      <w:r>
        <w:rPr>
          <w:rFonts w:hint="eastAsia" w:ascii="仿宋_GB2312" w:cs="Times New Roman"/>
        </w:rPr>
        <w:t>公共数据授权运营应优先支持与民生紧密相关、行业发展潜力显著和产业战略意义重大的领域，重点在共同富裕、生态环境、特色文旅、医疗健康、普惠金融、县域社会治理等领域开展公共数据授权运营，由领域主管部门牵头推进。禁止开放的公共数据不得授权运营。</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eastAsia" w:ascii="仿宋_GB2312" w:cs="Times New Roman"/>
          <w:b/>
          <w:bCs/>
          <w:szCs w:val="32"/>
          <w:lang w:val="en-US" w:eastAsia="zh-CN"/>
        </w:rPr>
      </w:pPr>
      <w:r>
        <w:rPr>
          <w:rFonts w:hint="eastAsia" w:ascii="仿宋_GB2312" w:cs="Times New Roman"/>
          <w:b/>
          <w:bCs/>
          <w:szCs w:val="32"/>
          <w:lang w:eastAsia="zh-CN"/>
        </w:rPr>
        <w:t>第八条</w:t>
      </w:r>
      <w:r>
        <w:rPr>
          <w:rFonts w:hint="eastAsia" w:ascii="仿宋_GB2312" w:cs="Times New Roman"/>
          <w:b/>
          <w:bCs/>
          <w:szCs w:val="32"/>
          <w:lang w:val="en-US" w:eastAsia="zh-CN"/>
        </w:rPr>
        <w:t xml:space="preserve"> 授权应用场景要求 </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hAnsi="仿宋_GB2312"/>
          <w:szCs w:val="32"/>
        </w:rPr>
      </w:pPr>
      <w:r>
        <w:rPr>
          <w:rFonts w:hint="eastAsia" w:ascii="仿宋_GB2312" w:hAnsi="仿宋_GB2312"/>
          <w:szCs w:val="32"/>
        </w:rPr>
        <w:t>授权运营单位应当按照应用场景申请公共数据，按要求提供申请授权运营的业务场景清单和数据需求清单。授权运营应用场景应当满足下列申请要求：</w:t>
      </w:r>
      <w:r>
        <w:rPr>
          <w:rFonts w:hint="eastAsia" w:ascii="仿宋_GB2312" w:cs="Times New Roman"/>
        </w:rPr>
        <w:t>应用场景具有重大经济价值和社会价值,并设置数据安全保障措施；应用场景具有较强可实施性，在授权运营期限内有明确目标和计划，能够取得显著成效。短期无法取得成效，但有利于长远发展有长期效益的，也可酌情纳入；应用场景申请使用的公共数据,坚持最小必要原则</w:t>
      </w:r>
      <w:r>
        <w:rPr>
          <w:rFonts w:hint="eastAsia" w:ascii="仿宋_GB2312" w:hAnsi="仿宋_GB2312"/>
          <w:szCs w:val="32"/>
        </w:rPr>
        <w:t>。</w:t>
      </w:r>
    </w:p>
    <w:p>
      <w:pPr>
        <w:pStyle w:val="16"/>
        <w:pageBreakBefore w:val="0"/>
        <w:kinsoku/>
        <w:wordWrap/>
        <w:overflowPunct/>
        <w:topLinePunct w:val="0"/>
        <w:autoSpaceDE/>
        <w:autoSpaceDN/>
        <w:bidi w:val="0"/>
        <w:adjustRightInd/>
        <w:snapToGrid/>
        <w:spacing w:line="560" w:lineRule="exact"/>
        <w:ind w:firstLine="640"/>
        <w:textAlignment w:val="auto"/>
        <w:rPr>
          <w:rFonts w:hint="default" w:ascii="仿宋_GB2312" w:cs="Times New Roman"/>
          <w:b/>
          <w:bCs/>
          <w:szCs w:val="32"/>
          <w:lang w:val="en-US" w:eastAsia="zh-CN"/>
        </w:rPr>
      </w:pPr>
      <w:r>
        <w:rPr>
          <w:rFonts w:hint="eastAsia" w:ascii="仿宋_GB2312" w:cs="Times New Roman"/>
          <w:b/>
          <w:bCs/>
          <w:szCs w:val="32"/>
          <w:lang w:eastAsia="zh-CN"/>
        </w:rPr>
        <w:t>第九条</w:t>
      </w:r>
      <w:r>
        <w:rPr>
          <w:rFonts w:hint="eastAsia" w:ascii="仿宋_GB2312" w:cs="Times New Roman"/>
          <w:b/>
          <w:bCs/>
          <w:szCs w:val="32"/>
          <w:lang w:val="en-US" w:eastAsia="zh-CN"/>
        </w:rPr>
        <w:t xml:space="preserve"> 定价方式</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cs="Times New Roman"/>
        </w:rPr>
      </w:pPr>
      <w:r>
        <w:rPr>
          <w:rFonts w:ascii="仿宋_GB2312" w:cs="Times New Roman"/>
        </w:rPr>
        <w:drawing>
          <wp:anchor distT="0" distB="0" distL="114300" distR="114300" simplePos="0" relativeHeight="251659264" behindDoc="0" locked="0" layoutInCell="1" allowOverlap="1">
            <wp:simplePos x="0" y="0"/>
            <wp:positionH relativeFrom="column">
              <wp:posOffset>-1084580</wp:posOffset>
            </wp:positionH>
            <wp:positionV relativeFrom="paragraph">
              <wp:posOffset>594995</wp:posOffset>
            </wp:positionV>
            <wp:extent cx="16510" cy="6985"/>
            <wp:effectExtent l="0" t="0" r="0" b="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0"/>
                    <a:stretch>
                      <a:fillRect/>
                    </a:stretch>
                  </pic:blipFill>
                  <pic:spPr>
                    <a:xfrm>
                      <a:off x="0" y="0"/>
                      <a:ext cx="16510" cy="6985"/>
                    </a:xfrm>
                    <a:prstGeom prst="rect">
                      <a:avLst/>
                    </a:prstGeom>
                    <a:noFill/>
                    <a:ln>
                      <a:noFill/>
                    </a:ln>
                  </pic:spPr>
                </pic:pic>
              </a:graphicData>
            </a:graphic>
          </wp:anchor>
        </w:drawing>
      </w:r>
      <w:r>
        <w:rPr>
          <w:rFonts w:hint="eastAsia" w:ascii="仿宋_GB2312" w:cs="Times New Roman"/>
        </w:rPr>
        <w:t>授权运营单位应当遵循依法合规、普惠公平、收益合理的原则，按照“谁投入谁受益”要求，对数据产品进行科学合理定价。鼓励授权运营单位面向公共服务、公益事业等领域，提供非营利或免费的公共数据产品。</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cs="Times New Roman"/>
        </w:rPr>
      </w:pPr>
      <w:r>
        <w:rPr>
          <w:rFonts w:hint="eastAsia" w:ascii="仿宋_GB2312" w:cs="Times New Roman"/>
        </w:rPr>
        <w:t>授权运营单位在公共数据授权运营域进行数据产品加工处理时，应承担相应基础设施资源占用、数据处理、安全服务等成本。</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cs="Times New Roman"/>
        </w:rPr>
      </w:pPr>
      <w:r>
        <w:rPr>
          <w:rFonts w:hint="eastAsia" w:ascii="仿宋_GB2312" w:cs="Times New Roman"/>
        </w:rPr>
        <w:t xml:space="preserve">授权运营单位使用部门提供的公共数据所产生的数据产品，提供数据的部门可按协议约定优惠价格或无偿使用。  </w:t>
      </w:r>
    </w:p>
    <w:p>
      <w:pPr>
        <w:pStyle w:val="16"/>
        <w:pageBreakBefore w:val="0"/>
        <w:kinsoku/>
        <w:wordWrap/>
        <w:overflowPunct/>
        <w:topLinePunct w:val="0"/>
        <w:autoSpaceDE/>
        <w:autoSpaceDN/>
        <w:bidi w:val="0"/>
        <w:adjustRightInd/>
        <w:snapToGrid/>
        <w:spacing w:line="560" w:lineRule="exact"/>
        <w:ind w:firstLine="640"/>
        <w:textAlignment w:val="auto"/>
        <w:rPr>
          <w:rFonts w:hint="eastAsia" w:ascii="仿宋_GB2312" w:cs="Times New Roman"/>
        </w:rPr>
      </w:pPr>
      <w:r>
        <w:rPr>
          <w:rFonts w:hint="eastAsia" w:ascii="仿宋_GB2312" w:cs="Times New Roman"/>
        </w:rPr>
        <w:t>未纳入政府定价目录的产品，授权运营单位应做好收费标准公示，保障消费者权益。</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w:t>
      </w:r>
      <w:r>
        <w:rPr>
          <w:rFonts w:hint="eastAsia" w:ascii="仿宋_GB2312" w:cs="Times New Roman"/>
          <w:b/>
          <w:bCs/>
          <w:szCs w:val="32"/>
          <w:lang w:val="en-US" w:eastAsia="zh-CN"/>
        </w:rPr>
        <w:t>十</w:t>
      </w:r>
      <w:r>
        <w:rPr>
          <w:rFonts w:hint="eastAsia" w:ascii="仿宋_GB2312" w:cs="Times New Roman"/>
          <w:b/>
          <w:bCs/>
          <w:szCs w:val="32"/>
          <w:lang w:eastAsia="zh-CN"/>
        </w:rPr>
        <w:t>条</w:t>
      </w:r>
      <w:r>
        <w:rPr>
          <w:rFonts w:hint="eastAsia" w:ascii="仿宋_GB2312" w:cs="Times New Roman"/>
          <w:b/>
          <w:bCs/>
          <w:szCs w:val="32"/>
          <w:lang w:val="en-US" w:eastAsia="zh-CN"/>
        </w:rPr>
        <w:t xml:space="preserve"> 收益机制</w:t>
      </w:r>
    </w:p>
    <w:p>
      <w:pPr>
        <w:pageBreakBefore w:val="0"/>
        <w:tabs>
          <w:tab w:val="left" w:pos="-40"/>
        </w:tabs>
        <w:kinsoku/>
        <w:wordWrap/>
        <w:overflowPunct/>
        <w:topLinePunct w:val="0"/>
        <w:autoSpaceDE/>
        <w:autoSpaceDN/>
        <w:bidi w:val="0"/>
        <w:adjustRightInd/>
        <w:snapToGrid/>
        <w:spacing w:line="560" w:lineRule="exact"/>
        <w:textAlignment w:val="auto"/>
        <w:outlineLvl w:val="2"/>
      </w:pPr>
      <w:r>
        <w:rPr>
          <w:rFonts w:hint="eastAsia" w:ascii="仿宋_GB2312" w:cs="Times New Roman"/>
        </w:rPr>
        <w:t>探索建立政府、企业间公共数据授权运营收益的合理分配机制，探索将公共数据授权运营纳入政府国有资源（资产）有偿使用范围，反哺财政预算收入。</w:t>
      </w:r>
    </w:p>
    <w:p>
      <w:pPr>
        <w:pStyle w:val="4"/>
        <w:keepNext/>
        <w:keepLines/>
        <w:pageBreakBefore w:val="0"/>
        <w:numPr>
          <w:ilvl w:val="0"/>
          <w:numId w:val="0"/>
        </w:numPr>
        <w:kinsoku/>
        <w:wordWrap/>
        <w:overflowPunct/>
        <w:topLinePunct w:val="0"/>
        <w:autoSpaceDE/>
        <w:autoSpaceDN/>
        <w:bidi w:val="0"/>
        <w:adjustRightInd/>
        <w:snapToGrid/>
        <w:spacing w:beforeLines="50" w:afterLines="50" w:line="560" w:lineRule="exact"/>
        <w:ind w:leftChars="200"/>
        <w:jc w:val="center"/>
        <w:textAlignment w:val="auto"/>
        <w:rPr>
          <w:rFonts w:hint="default" w:eastAsia="黑体"/>
          <w:b w:val="0"/>
          <w:kern w:val="2"/>
          <w:szCs w:val="32"/>
        </w:rPr>
      </w:pPr>
      <w:r>
        <w:rPr>
          <w:rFonts w:hint="eastAsia" w:eastAsia="黑体"/>
          <w:b w:val="0"/>
          <w:kern w:val="2"/>
          <w:szCs w:val="32"/>
          <w:lang w:eastAsia="zh-CN"/>
        </w:rPr>
        <w:t>第二章</w:t>
      </w:r>
      <w:r>
        <w:rPr>
          <w:rFonts w:hint="eastAsia" w:eastAsia="黑体"/>
          <w:b w:val="0"/>
          <w:kern w:val="2"/>
          <w:szCs w:val="32"/>
          <w:lang w:val="en-US" w:eastAsia="zh-CN"/>
        </w:rPr>
        <w:t xml:space="preserve"> </w:t>
      </w:r>
      <w:r>
        <w:rPr>
          <w:rFonts w:eastAsia="黑体"/>
          <w:b w:val="0"/>
          <w:kern w:val="2"/>
          <w:szCs w:val="32"/>
        </w:rPr>
        <w:t>授权与授权终止</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第十</w:t>
      </w:r>
      <w:r>
        <w:rPr>
          <w:rFonts w:hint="eastAsia" w:ascii="仿宋_GB2312" w:cs="Times New Roman"/>
          <w:b/>
          <w:bCs/>
          <w:szCs w:val="32"/>
          <w:lang w:val="en-US" w:eastAsia="zh-CN"/>
        </w:rPr>
        <w:t>一</w:t>
      </w:r>
      <w:r>
        <w:rPr>
          <w:rFonts w:hint="eastAsia" w:ascii="仿宋_GB2312" w:cs="Times New Roman"/>
          <w:b/>
          <w:bCs/>
          <w:szCs w:val="32"/>
          <w:lang w:eastAsia="zh-CN"/>
        </w:rPr>
        <w:t>条</w:t>
      </w:r>
      <w:r>
        <w:rPr>
          <w:rFonts w:hint="eastAsia" w:ascii="仿宋_GB2312" w:cs="Times New Roman"/>
          <w:b/>
          <w:bCs/>
          <w:szCs w:val="32"/>
          <w:lang w:val="en-US" w:eastAsia="zh-CN"/>
        </w:rPr>
        <w:t xml:space="preserve"> 发布公告</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rPr>
      </w:pPr>
      <w:r>
        <w:rPr>
          <w:rFonts w:hint="eastAsia" w:ascii="仿宋_GB2312" w:cs="Times New Roman"/>
          <w:color w:val="000000" w:themeColor="text1"/>
          <w:lang w:eastAsia="zh-CN"/>
          <w14:textFill>
            <w14:solidFill>
              <w14:schemeClr w14:val="tx1"/>
            </w14:solidFill>
          </w14:textFill>
        </w:rPr>
        <w:t>县公共数据主管部门</w:t>
      </w:r>
      <w:r>
        <w:rPr>
          <w:rFonts w:hint="eastAsia" w:ascii="仿宋_GB2312" w:cs="Times New Roman"/>
        </w:rPr>
        <w:t>定期在授权运营平台等渠道</w:t>
      </w:r>
      <w:r>
        <w:rPr>
          <w:rFonts w:hint="eastAsia" w:ascii="仿宋_GB2312"/>
        </w:rPr>
        <w:t>发布开展公共数据授权运营通告，明确授权方式、授权范围、申报条件、评审条件等。</w:t>
      </w:r>
    </w:p>
    <w:p>
      <w:pPr>
        <w:pStyle w:val="16"/>
        <w:pageBreakBefore w:val="0"/>
        <w:kinsoku/>
        <w:wordWrap/>
        <w:overflowPunct/>
        <w:topLinePunct w:val="0"/>
        <w:autoSpaceDE/>
        <w:autoSpaceDN/>
        <w:bidi w:val="0"/>
        <w:adjustRightInd/>
        <w:snapToGrid/>
        <w:spacing w:line="560" w:lineRule="exact"/>
        <w:ind w:firstLine="640"/>
        <w:textAlignment w:val="auto"/>
        <w:rPr>
          <w:rFonts w:hint="default" w:ascii="仿宋_GB2312" w:cs="Times New Roman"/>
          <w:b/>
          <w:bCs/>
          <w:szCs w:val="32"/>
          <w:lang w:val="en-US" w:eastAsia="zh-CN"/>
        </w:rPr>
      </w:pPr>
      <w:r>
        <w:rPr>
          <w:rFonts w:hint="eastAsia" w:ascii="仿宋_GB2312" w:cs="Times New Roman"/>
          <w:b/>
          <w:bCs/>
          <w:szCs w:val="32"/>
          <w:lang w:eastAsia="zh-CN"/>
        </w:rPr>
        <w:t>第十</w:t>
      </w:r>
      <w:r>
        <w:rPr>
          <w:rFonts w:hint="eastAsia" w:ascii="仿宋_GB2312" w:cs="Times New Roman"/>
          <w:b/>
          <w:bCs/>
          <w:szCs w:val="32"/>
          <w:lang w:val="en-US" w:eastAsia="zh-CN"/>
        </w:rPr>
        <w:t>二</w:t>
      </w:r>
      <w:r>
        <w:rPr>
          <w:rFonts w:hint="eastAsia" w:ascii="仿宋_GB2312" w:cs="Times New Roman"/>
          <w:b/>
          <w:bCs/>
          <w:szCs w:val="32"/>
          <w:lang w:eastAsia="zh-CN"/>
        </w:rPr>
        <w:t>条</w:t>
      </w:r>
      <w:r>
        <w:rPr>
          <w:rFonts w:hint="eastAsia" w:ascii="仿宋_GB2312" w:cs="Times New Roman"/>
          <w:b/>
          <w:bCs/>
          <w:szCs w:val="32"/>
          <w:lang w:val="en-US" w:eastAsia="zh-CN"/>
        </w:rPr>
        <w:t xml:space="preserve"> 提交申请</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rPr>
      </w:pPr>
      <w:r>
        <w:rPr>
          <w:rFonts w:hint="eastAsia" w:ascii="仿宋_GB2312"/>
        </w:rPr>
        <w:t>授权运营申请单位应当在规定时间内向</w:t>
      </w:r>
      <w:r>
        <w:rPr>
          <w:rFonts w:hint="eastAsia" w:ascii="仿宋_GB2312"/>
          <w:color w:val="000000" w:themeColor="text1"/>
          <w:lang w:eastAsia="zh-CN"/>
          <w14:textFill>
            <w14:solidFill>
              <w14:schemeClr w14:val="tx1"/>
            </w14:solidFill>
          </w14:textFill>
        </w:rPr>
        <w:t>县公共数据主管部门</w:t>
      </w:r>
      <w:r>
        <w:rPr>
          <w:rFonts w:hint="eastAsia" w:ascii="仿宋_GB2312"/>
        </w:rPr>
        <w:t>提交申请，包括提交授权运营申请表、最近一年的第三方审计报告和财务会计报告、数据安全承诺书、安全风险自评报告等相关材料。</w:t>
      </w:r>
    </w:p>
    <w:p>
      <w:pPr>
        <w:pageBreakBefore w:val="0"/>
        <w:kinsoku/>
        <w:wordWrap/>
        <w:overflowPunct/>
        <w:topLinePunct w:val="0"/>
        <w:autoSpaceDE/>
        <w:autoSpaceDN/>
        <w:bidi w:val="0"/>
        <w:adjustRightInd/>
        <w:snapToGrid/>
        <w:spacing w:line="560" w:lineRule="exact"/>
        <w:textAlignment w:val="auto"/>
        <w:rPr>
          <w:rFonts w:ascii="仿宋_GB2312"/>
        </w:rPr>
      </w:pPr>
      <w:r>
        <w:rPr>
          <w:rFonts w:hint="eastAsia" w:ascii="仿宋_GB2312"/>
        </w:rPr>
        <w:t>授权运营单位应当满足省管理办法的基本安全要求、技术安全要求、应用场景基本安全要求等条件。</w:t>
      </w:r>
    </w:p>
    <w:p>
      <w:pPr>
        <w:pStyle w:val="16"/>
        <w:pageBreakBefore w:val="0"/>
        <w:kinsoku/>
        <w:wordWrap/>
        <w:overflowPunct/>
        <w:topLinePunct w:val="0"/>
        <w:autoSpaceDE/>
        <w:autoSpaceDN/>
        <w:bidi w:val="0"/>
        <w:adjustRightInd/>
        <w:snapToGrid/>
        <w:spacing w:line="560" w:lineRule="exact"/>
        <w:ind w:firstLine="640"/>
        <w:textAlignment w:val="auto"/>
        <w:rPr>
          <w:rFonts w:hint="default" w:ascii="仿宋_GB2312" w:cs="Times New Roman"/>
          <w:b/>
          <w:bCs/>
          <w:szCs w:val="32"/>
          <w:lang w:val="en-US" w:eastAsia="zh-CN"/>
        </w:rPr>
      </w:pPr>
      <w:r>
        <w:rPr>
          <w:rFonts w:hint="eastAsia" w:ascii="仿宋_GB2312" w:cs="Times New Roman"/>
          <w:b/>
          <w:bCs/>
          <w:szCs w:val="32"/>
          <w:lang w:eastAsia="zh-CN"/>
        </w:rPr>
        <w:t>第十</w:t>
      </w:r>
      <w:r>
        <w:rPr>
          <w:rFonts w:hint="eastAsia" w:ascii="仿宋_GB2312" w:cs="Times New Roman"/>
          <w:b/>
          <w:bCs/>
          <w:szCs w:val="32"/>
          <w:lang w:val="en-US" w:eastAsia="zh-CN"/>
        </w:rPr>
        <w:t>三</w:t>
      </w:r>
      <w:r>
        <w:rPr>
          <w:rFonts w:hint="eastAsia" w:ascii="仿宋_GB2312" w:cs="Times New Roman"/>
          <w:b/>
          <w:bCs/>
          <w:szCs w:val="32"/>
          <w:lang w:eastAsia="zh-CN"/>
        </w:rPr>
        <w:t>条</w:t>
      </w:r>
      <w:r>
        <w:rPr>
          <w:rFonts w:hint="eastAsia" w:ascii="仿宋_GB2312" w:cs="Times New Roman"/>
          <w:b/>
          <w:bCs/>
          <w:szCs w:val="32"/>
          <w:lang w:val="en-US" w:eastAsia="zh-CN"/>
        </w:rPr>
        <w:t xml:space="preserve"> 评审审批</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rPr>
      </w:pPr>
      <w:r>
        <w:rPr>
          <w:rFonts w:hint="eastAsia" w:ascii="仿宋_GB2312" w:cs="Times New Roman"/>
          <w:color w:val="000000" w:themeColor="text1"/>
          <w:lang w:eastAsia="zh-CN"/>
          <w14:textFill>
            <w14:solidFill>
              <w14:schemeClr w14:val="tx1"/>
            </w14:solidFill>
          </w14:textFill>
        </w:rPr>
        <w:t>县公共数据主管部门</w:t>
      </w:r>
      <w:r>
        <w:rPr>
          <w:rFonts w:hint="eastAsia" w:ascii="仿宋_GB2312" w:cs="Times New Roman"/>
        </w:rPr>
        <w:t>应及时</w:t>
      </w:r>
      <w:r>
        <w:rPr>
          <w:rFonts w:hint="eastAsia" w:ascii="仿宋_GB2312"/>
        </w:rPr>
        <w:t>对授权运营单位提供的申请材料进行初审，申请单位提交材料不齐全或者不符合要求的，应在规定时间内补交相关材料。</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rPr>
      </w:pPr>
      <w:r>
        <w:rPr>
          <w:rFonts w:hint="eastAsia" w:ascii="仿宋_GB2312" w:cs="Times New Roman"/>
          <w:color w:val="000000" w:themeColor="text1"/>
          <w:lang w:eastAsia="zh-CN"/>
          <w14:textFill>
            <w14:solidFill>
              <w14:schemeClr w14:val="tx1"/>
            </w14:solidFill>
          </w14:textFill>
        </w:rPr>
        <w:t>县公共数据主管部门</w:t>
      </w:r>
      <w:r>
        <w:rPr>
          <w:rFonts w:hint="eastAsia" w:ascii="仿宋_GB2312" w:cs="Times New Roman"/>
        </w:rPr>
        <w:t>应定期</w:t>
      </w:r>
      <w:r>
        <w:rPr>
          <w:rFonts w:hint="eastAsia" w:ascii="仿宋_GB2312" w:cs="Times New Roman"/>
          <w:szCs w:val="32"/>
        </w:rPr>
        <w:t>组织协调机制有关成员单位、数据提供单位、专家组进行综合评审</w:t>
      </w:r>
      <w:r>
        <w:rPr>
          <w:rFonts w:hint="eastAsia" w:ascii="仿宋_GB2312"/>
        </w:rPr>
        <w:t>，按照“一场景一授权一审核”、“一授权一预案”要求，出具论证评审意见。</w:t>
      </w:r>
    </w:p>
    <w:p>
      <w:pPr>
        <w:pageBreakBefore w:val="0"/>
        <w:kinsoku/>
        <w:wordWrap/>
        <w:overflowPunct/>
        <w:topLinePunct w:val="0"/>
        <w:autoSpaceDE/>
        <w:autoSpaceDN/>
        <w:bidi w:val="0"/>
        <w:adjustRightInd/>
        <w:snapToGrid/>
        <w:spacing w:line="560" w:lineRule="exact"/>
        <w:textAlignment w:val="auto"/>
        <w:rPr>
          <w:rFonts w:ascii="仿宋_GB2312"/>
        </w:rPr>
      </w:pPr>
      <w:r>
        <w:rPr>
          <w:rFonts w:hint="eastAsia" w:ascii="仿宋_GB2312"/>
        </w:rPr>
        <w:t>县协调机制通过召开工作会议，确定授权运营单位是否通过评审。经县人民政府同意后，确定授权运营单位及其授权领域应用场景。</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第十</w:t>
      </w:r>
      <w:r>
        <w:rPr>
          <w:rFonts w:hint="eastAsia" w:ascii="仿宋_GB2312" w:cs="Times New Roman"/>
          <w:b/>
          <w:bCs/>
          <w:szCs w:val="32"/>
          <w:lang w:val="en-US" w:eastAsia="zh-CN"/>
        </w:rPr>
        <w:t>四</w:t>
      </w:r>
      <w:r>
        <w:rPr>
          <w:rFonts w:hint="eastAsia" w:ascii="仿宋_GB2312" w:cs="Times New Roman"/>
          <w:b/>
          <w:bCs/>
          <w:szCs w:val="32"/>
          <w:lang w:eastAsia="zh-CN"/>
        </w:rPr>
        <w:t>条</w:t>
      </w:r>
      <w:r>
        <w:rPr>
          <w:rFonts w:hint="eastAsia" w:ascii="仿宋_GB2312" w:cs="Times New Roman"/>
          <w:b/>
          <w:bCs/>
          <w:szCs w:val="32"/>
          <w:lang w:val="en-US" w:eastAsia="zh-CN"/>
        </w:rPr>
        <w:t xml:space="preserve"> 公开结果</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rPr>
      </w:pPr>
      <w:r>
        <w:rPr>
          <w:rFonts w:hint="eastAsia" w:ascii="仿宋_GB2312"/>
          <w:color w:val="000000" w:themeColor="text1"/>
          <w:lang w:eastAsia="zh-CN"/>
          <w14:textFill>
            <w14:solidFill>
              <w14:schemeClr w14:val="tx1"/>
            </w14:solidFill>
          </w14:textFill>
        </w:rPr>
        <w:t>县公共数据主管部门</w:t>
      </w:r>
      <w:r>
        <w:rPr>
          <w:rFonts w:hint="eastAsia" w:ascii="仿宋_GB2312"/>
        </w:rPr>
        <w:t>应及时向社会公开已通过评审的公共数据授权运营单位及其授权运营领域，并报省政府备案。</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第十</w:t>
      </w:r>
      <w:r>
        <w:rPr>
          <w:rFonts w:hint="eastAsia" w:ascii="仿宋_GB2312" w:cs="Times New Roman"/>
          <w:b/>
          <w:bCs/>
          <w:szCs w:val="32"/>
          <w:lang w:val="en-US" w:eastAsia="zh-CN"/>
        </w:rPr>
        <w:t>五</w:t>
      </w:r>
      <w:r>
        <w:rPr>
          <w:rFonts w:hint="eastAsia" w:ascii="仿宋_GB2312" w:cs="Times New Roman"/>
          <w:b/>
          <w:bCs/>
          <w:szCs w:val="32"/>
          <w:lang w:eastAsia="zh-CN"/>
        </w:rPr>
        <w:t>条</w:t>
      </w:r>
      <w:r>
        <w:rPr>
          <w:rFonts w:hint="eastAsia" w:ascii="仿宋_GB2312" w:cs="Times New Roman"/>
          <w:b/>
          <w:bCs/>
          <w:szCs w:val="32"/>
          <w:lang w:val="en-US" w:eastAsia="zh-CN"/>
        </w:rPr>
        <w:t xml:space="preserve"> 签订协议</w:t>
      </w:r>
    </w:p>
    <w:p>
      <w:pPr>
        <w:pageBreakBefore w:val="0"/>
        <w:tabs>
          <w:tab w:val="left" w:pos="-40"/>
        </w:tabs>
        <w:kinsoku/>
        <w:wordWrap/>
        <w:overflowPunct/>
        <w:topLinePunct w:val="0"/>
        <w:autoSpaceDE/>
        <w:autoSpaceDN/>
        <w:bidi w:val="0"/>
        <w:adjustRightInd/>
        <w:snapToGrid/>
        <w:spacing w:line="560" w:lineRule="exact"/>
        <w:textAlignment w:val="auto"/>
        <w:outlineLvl w:val="2"/>
      </w:pPr>
      <w:r>
        <w:drawing>
          <wp:anchor distT="0" distB="0" distL="114300" distR="114300" simplePos="0" relativeHeight="251660288" behindDoc="0" locked="0" layoutInCell="1" allowOverlap="1">
            <wp:simplePos x="0" y="0"/>
            <wp:positionH relativeFrom="column">
              <wp:posOffset>4757420</wp:posOffset>
            </wp:positionH>
            <wp:positionV relativeFrom="paragraph">
              <wp:posOffset>146685</wp:posOffset>
            </wp:positionV>
            <wp:extent cx="5715" cy="3175"/>
            <wp:effectExtent l="0" t="0" r="0" b="0"/>
            <wp:wrapNone/>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1"/>
                    <a:stretch>
                      <a:fillRect/>
                    </a:stretch>
                  </pic:blipFill>
                  <pic:spPr>
                    <a:xfrm>
                      <a:off x="0" y="0"/>
                      <a:ext cx="5715" cy="3175"/>
                    </a:xfrm>
                    <a:prstGeom prst="rect">
                      <a:avLst/>
                    </a:prstGeom>
                    <a:noFill/>
                    <a:ln>
                      <a:noFill/>
                    </a:ln>
                  </pic:spPr>
                </pic:pic>
              </a:graphicData>
            </a:graphic>
          </wp:anchor>
        </w:drawing>
      </w:r>
      <w:r>
        <w:rPr>
          <w:rFonts w:hint="eastAsia"/>
        </w:rPr>
        <w:t>县</w:t>
      </w:r>
      <w:r>
        <w:rPr>
          <w:rFonts w:hint="eastAsia" w:ascii="仿宋_GB2312"/>
        </w:rPr>
        <w:t>人民政府委托</w:t>
      </w:r>
      <w:r>
        <w:rPr>
          <w:rFonts w:hint="eastAsia" w:ascii="仿宋_GB2312"/>
          <w:color w:val="000000" w:themeColor="text1"/>
          <w:lang w:eastAsia="zh-CN"/>
          <w14:textFill>
            <w14:solidFill>
              <w14:schemeClr w14:val="tx1"/>
            </w14:solidFill>
          </w14:textFill>
        </w:rPr>
        <w:t>公共数据主管部门</w:t>
      </w:r>
      <w:r>
        <w:rPr>
          <w:rFonts w:hint="eastAsia" w:ascii="仿宋_GB2312"/>
        </w:rPr>
        <w:t>与授权运营单位签订书面运营协议，在协议中应明确授权运营范围、授权运营期限、授权方式等，</w:t>
      </w:r>
      <w:r>
        <w:rPr>
          <w:rFonts w:hint="eastAsia" w:ascii="仿宋_GB2312" w:hAnsi="仿宋_GB2312"/>
          <w:szCs w:val="32"/>
        </w:rPr>
        <w:t>授权运营期限一般不超过3年。期满需要继续开展授权运营的，授权运营单位应在期限届满前6个月内，向</w:t>
      </w:r>
      <w:r>
        <w:rPr>
          <w:rFonts w:hint="eastAsia" w:ascii="仿宋_GB2312" w:hAnsi="仿宋_GB2312"/>
          <w:color w:val="000000" w:themeColor="text1"/>
          <w:szCs w:val="32"/>
          <w:lang w:eastAsia="zh-CN"/>
          <w14:textFill>
            <w14:solidFill>
              <w14:schemeClr w14:val="tx1"/>
            </w14:solidFill>
          </w14:textFill>
        </w:rPr>
        <w:t>县公共数据主管部门</w:t>
      </w:r>
      <w:r>
        <w:rPr>
          <w:rFonts w:hint="eastAsia" w:ascii="仿宋_GB2312" w:hAnsi="仿宋_GB2312"/>
          <w:szCs w:val="32"/>
        </w:rPr>
        <w:t>重新申请授权运营。</w:t>
      </w:r>
    </w:p>
    <w:p>
      <w:pPr>
        <w:pStyle w:val="2"/>
        <w:pageBreakBefore w:val="0"/>
        <w:kinsoku/>
        <w:wordWrap/>
        <w:overflowPunct/>
        <w:topLinePunct w:val="0"/>
        <w:autoSpaceDE/>
        <w:autoSpaceDN/>
        <w:bidi w:val="0"/>
        <w:adjustRightInd/>
        <w:snapToGrid/>
        <w:spacing w:line="560" w:lineRule="exact"/>
        <w:textAlignment w:val="auto"/>
        <w:rPr>
          <w:rFonts w:hint="default" w:ascii="仿宋_GB2312" w:cs="Times New Roman"/>
          <w:b/>
          <w:bCs/>
          <w:szCs w:val="32"/>
          <w:lang w:val="en-US" w:eastAsia="zh-CN"/>
        </w:rPr>
      </w:pPr>
      <w:r>
        <w:rPr>
          <w:rFonts w:hint="eastAsia" w:ascii="仿宋_GB2312" w:cs="Times New Roman"/>
          <w:b/>
          <w:bCs/>
          <w:szCs w:val="32"/>
          <w:lang w:eastAsia="zh-CN"/>
        </w:rPr>
        <w:t>第十</w:t>
      </w:r>
      <w:r>
        <w:rPr>
          <w:rFonts w:hint="eastAsia" w:ascii="仿宋_GB2312" w:cs="Times New Roman"/>
          <w:b/>
          <w:bCs/>
          <w:szCs w:val="32"/>
          <w:lang w:val="en-US" w:eastAsia="zh-CN"/>
        </w:rPr>
        <w:t>六</w:t>
      </w:r>
      <w:r>
        <w:rPr>
          <w:rFonts w:hint="eastAsia" w:ascii="仿宋_GB2312" w:cs="Times New Roman"/>
          <w:b/>
          <w:bCs/>
          <w:szCs w:val="32"/>
          <w:lang w:eastAsia="zh-CN"/>
        </w:rPr>
        <w:t>条</w:t>
      </w:r>
      <w:r>
        <w:rPr>
          <w:rFonts w:hint="eastAsia" w:ascii="仿宋_GB2312" w:cs="Times New Roman"/>
          <w:b/>
          <w:bCs/>
          <w:szCs w:val="32"/>
          <w:lang w:val="en-US" w:eastAsia="zh-CN"/>
        </w:rPr>
        <w:t xml:space="preserve"> 授权终止或撤销</w:t>
      </w:r>
    </w:p>
    <w:p>
      <w:pPr>
        <w:pStyle w:val="2"/>
        <w:pageBreakBefore w:val="0"/>
        <w:kinsoku/>
        <w:wordWrap/>
        <w:overflowPunct/>
        <w:topLinePunct w:val="0"/>
        <w:autoSpaceDE/>
        <w:autoSpaceDN/>
        <w:bidi w:val="0"/>
        <w:adjustRightInd/>
        <w:snapToGrid/>
        <w:spacing w:line="560" w:lineRule="exact"/>
        <w:textAlignment w:val="auto"/>
      </w:pPr>
      <w:r>
        <w:rPr>
          <w:rFonts w:hint="eastAsia"/>
        </w:rPr>
        <w:t>授权终止或撤销包括但不限于以下情形：</w:t>
      </w:r>
    </w:p>
    <w:p>
      <w:pPr>
        <w:pageBreakBefore w:val="0"/>
        <w:tabs>
          <w:tab w:val="left" w:pos="-40"/>
        </w:tabs>
        <w:kinsoku/>
        <w:wordWrap/>
        <w:overflowPunct/>
        <w:topLinePunct w:val="0"/>
        <w:autoSpaceDE/>
        <w:autoSpaceDN/>
        <w:bidi w:val="0"/>
        <w:adjustRightInd/>
        <w:snapToGrid/>
        <w:spacing w:line="560" w:lineRule="exact"/>
        <w:textAlignment w:val="auto"/>
        <w:outlineLvl w:val="2"/>
      </w:pPr>
      <w:r>
        <w:rPr>
          <w:rFonts w:hint="eastAsia"/>
          <w:lang w:eastAsia="zh-CN"/>
        </w:rPr>
        <w:t>（</w:t>
      </w:r>
      <w:r>
        <w:rPr>
          <w:rFonts w:hint="eastAsia"/>
          <w:lang w:val="en-US" w:eastAsia="zh-CN"/>
        </w:rPr>
        <w:t>一</w:t>
      </w:r>
      <w:r>
        <w:rPr>
          <w:rFonts w:hint="eastAsia"/>
          <w:lang w:eastAsia="zh-CN"/>
        </w:rPr>
        <w:t>）</w:t>
      </w:r>
      <w:r>
        <w:rPr>
          <w:rFonts w:hint="eastAsia"/>
        </w:rPr>
        <w:t>授权运营协议期满；</w:t>
      </w:r>
    </w:p>
    <w:p>
      <w:pPr>
        <w:pageBreakBefore w:val="0"/>
        <w:tabs>
          <w:tab w:val="left" w:pos="-40"/>
        </w:tabs>
        <w:kinsoku/>
        <w:wordWrap/>
        <w:overflowPunct/>
        <w:topLinePunct w:val="0"/>
        <w:autoSpaceDE/>
        <w:autoSpaceDN/>
        <w:bidi w:val="0"/>
        <w:adjustRightInd/>
        <w:snapToGrid/>
        <w:spacing w:line="560" w:lineRule="exact"/>
        <w:textAlignment w:val="auto"/>
        <w:outlineLvl w:val="2"/>
      </w:pPr>
      <w:r>
        <w:rPr>
          <w:rFonts w:hint="eastAsia"/>
          <w:lang w:eastAsia="zh-CN"/>
        </w:rPr>
        <w:t>（</w:t>
      </w:r>
      <w:r>
        <w:rPr>
          <w:rFonts w:hint="eastAsia"/>
          <w:lang w:val="en-US" w:eastAsia="zh-CN"/>
        </w:rPr>
        <w:t>二</w:t>
      </w:r>
      <w:r>
        <w:rPr>
          <w:rFonts w:hint="eastAsia"/>
          <w:lang w:eastAsia="zh-CN"/>
        </w:rPr>
        <w:t>）</w:t>
      </w:r>
      <w:r>
        <w:rPr>
          <w:rFonts w:hint="eastAsia"/>
        </w:rPr>
        <w:t>授权运营主体申请提前终止协议；</w:t>
      </w:r>
    </w:p>
    <w:p>
      <w:pPr>
        <w:pageBreakBefore w:val="0"/>
        <w:tabs>
          <w:tab w:val="left" w:pos="-40"/>
        </w:tabs>
        <w:kinsoku/>
        <w:wordWrap/>
        <w:overflowPunct/>
        <w:topLinePunct w:val="0"/>
        <w:autoSpaceDE/>
        <w:autoSpaceDN/>
        <w:bidi w:val="0"/>
        <w:adjustRightInd/>
        <w:snapToGrid/>
        <w:spacing w:line="560" w:lineRule="exact"/>
        <w:textAlignment w:val="auto"/>
        <w:outlineLvl w:val="2"/>
      </w:pPr>
      <w:r>
        <w:rPr>
          <w:rFonts w:hint="eastAsia"/>
          <w:lang w:eastAsia="zh-CN"/>
        </w:rPr>
        <w:t>（三）</w:t>
      </w:r>
      <w:r>
        <w:rPr>
          <w:rFonts w:hint="eastAsia"/>
        </w:rPr>
        <w:t>授权运营主体违反协议，</w:t>
      </w:r>
      <w:r>
        <w:rPr>
          <w:rFonts w:hint="eastAsia"/>
          <w:color w:val="000000" w:themeColor="text1"/>
          <w:lang w:eastAsia="zh-CN"/>
          <w14:textFill>
            <w14:solidFill>
              <w14:schemeClr w14:val="tx1"/>
            </w14:solidFill>
          </w14:textFill>
        </w:rPr>
        <w:t>县公共数据主管部门</w:t>
      </w:r>
      <w:r>
        <w:rPr>
          <w:rFonts w:hint="eastAsia"/>
        </w:rPr>
        <w:t>按照协议约定要求其改正，授权运营单位未按要求改正的，终止其相关公共数据授权。</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rPr>
      </w:pPr>
      <w:r>
        <w:rPr>
          <w:rFonts w:hint="eastAsia" w:ascii="仿宋_GB2312"/>
        </w:rPr>
        <w:t>授权</w:t>
      </w:r>
      <w:r>
        <w:rPr>
          <w:rFonts w:hint="eastAsia" w:ascii="仿宋_GB2312" w:cs="Times New Roman"/>
        </w:rPr>
        <w:t>运营协议</w:t>
      </w:r>
      <w:r>
        <w:rPr>
          <w:rFonts w:hint="eastAsia" w:ascii="仿宋_GB2312" w:cs="Times New Roman"/>
          <w:kern w:val="0"/>
          <w:szCs w:val="32"/>
        </w:rPr>
        <w:t>终止或撤销的，</w:t>
      </w:r>
      <w:r>
        <w:rPr>
          <w:rFonts w:hint="eastAsia" w:ascii="仿宋_GB2312" w:cs="Times New Roman"/>
          <w:color w:val="000000" w:themeColor="text1"/>
          <w:kern w:val="0"/>
          <w:szCs w:val="32"/>
          <w:lang w:eastAsia="zh-CN"/>
          <w14:textFill>
            <w14:solidFill>
              <w14:schemeClr w14:val="tx1"/>
            </w14:solidFill>
          </w14:textFill>
        </w:rPr>
        <w:t>县公共数据主管部门</w:t>
      </w:r>
      <w:r>
        <w:rPr>
          <w:rFonts w:hint="eastAsia" w:ascii="仿宋_GB2312" w:cs="Times New Roman"/>
          <w:kern w:val="0"/>
          <w:szCs w:val="32"/>
        </w:rPr>
        <w:t>应及</w:t>
      </w:r>
      <w:r>
        <w:rPr>
          <w:rFonts w:hint="eastAsia" w:ascii="仿宋_GB2312" w:cs="Times New Roman"/>
        </w:rPr>
        <w:t>时关闭授权运营单位的授权运营平台使用权限</w:t>
      </w:r>
      <w:r>
        <w:rPr>
          <w:rFonts w:hint="eastAsia" w:ascii="仿宋_GB2312" w:cs="Times New Roman"/>
          <w:kern w:val="0"/>
          <w:szCs w:val="32"/>
        </w:rPr>
        <w:t>，及时删除授权运营平台内留存的相关数据，并按照规定留存相关网络日志不少于6个月。</w:t>
      </w:r>
    </w:p>
    <w:p>
      <w:pPr>
        <w:pStyle w:val="4"/>
        <w:keepNext/>
        <w:keepLines/>
        <w:pageBreakBefore w:val="0"/>
        <w:numPr>
          <w:ilvl w:val="0"/>
          <w:numId w:val="0"/>
        </w:numPr>
        <w:kinsoku/>
        <w:wordWrap/>
        <w:overflowPunct/>
        <w:topLinePunct w:val="0"/>
        <w:autoSpaceDE/>
        <w:autoSpaceDN/>
        <w:bidi w:val="0"/>
        <w:adjustRightInd/>
        <w:snapToGrid/>
        <w:spacing w:beforeLines="50" w:afterLines="50" w:line="560" w:lineRule="exact"/>
        <w:ind w:leftChars="200"/>
        <w:jc w:val="center"/>
        <w:textAlignment w:val="auto"/>
        <w:rPr>
          <w:rFonts w:hint="default" w:eastAsia="黑体"/>
          <w:b w:val="0"/>
          <w:kern w:val="2"/>
          <w:szCs w:val="32"/>
        </w:rPr>
      </w:pPr>
      <w:r>
        <w:rPr>
          <w:rFonts w:hint="eastAsia" w:eastAsia="黑体"/>
          <w:b w:val="0"/>
          <w:kern w:val="2"/>
          <w:szCs w:val="32"/>
          <w:lang w:eastAsia="zh-CN"/>
        </w:rPr>
        <w:t>第三章</w:t>
      </w:r>
      <w:r>
        <w:rPr>
          <w:rFonts w:hint="eastAsia" w:eastAsia="黑体"/>
          <w:b w:val="0"/>
          <w:kern w:val="2"/>
          <w:szCs w:val="32"/>
          <w:lang w:val="en-US" w:eastAsia="zh-CN"/>
        </w:rPr>
        <w:t xml:space="preserve"> </w:t>
      </w:r>
      <w:r>
        <w:rPr>
          <w:rFonts w:eastAsia="黑体"/>
          <w:b w:val="0"/>
          <w:kern w:val="2"/>
          <w:szCs w:val="32"/>
        </w:rPr>
        <w:t>授权运营单位权利与行为规范</w:t>
      </w:r>
    </w:p>
    <w:p>
      <w:pPr>
        <w:pStyle w:val="16"/>
        <w:pageBreakBefore w:val="0"/>
        <w:kinsoku/>
        <w:wordWrap/>
        <w:overflowPunct/>
        <w:topLinePunct w:val="0"/>
        <w:autoSpaceDE/>
        <w:autoSpaceDN/>
        <w:bidi w:val="0"/>
        <w:adjustRightInd/>
        <w:snapToGrid/>
        <w:spacing w:line="560" w:lineRule="exact"/>
        <w:ind w:firstLine="640"/>
        <w:textAlignment w:val="auto"/>
        <w:rPr>
          <w:rFonts w:hint="default" w:ascii="仿宋_GB2312" w:cs="Times New Roman"/>
          <w:b/>
          <w:bCs/>
          <w:szCs w:val="32"/>
          <w:lang w:val="en-US" w:eastAsia="zh-CN"/>
        </w:rPr>
      </w:pPr>
      <w:r>
        <w:rPr>
          <w:rFonts w:hint="eastAsia" w:ascii="仿宋_GB2312" w:cs="Times New Roman"/>
          <w:b/>
          <w:bCs/>
          <w:szCs w:val="32"/>
          <w:lang w:eastAsia="zh-CN"/>
        </w:rPr>
        <w:t>第</w:t>
      </w:r>
      <w:r>
        <w:rPr>
          <w:rFonts w:hint="eastAsia" w:ascii="仿宋_GB2312" w:cs="Times New Roman"/>
          <w:b/>
          <w:bCs/>
          <w:szCs w:val="32"/>
          <w:lang w:val="en-US" w:eastAsia="zh-CN"/>
        </w:rPr>
        <w:t>十七</w:t>
      </w:r>
      <w:r>
        <w:rPr>
          <w:rFonts w:hint="eastAsia" w:ascii="仿宋_GB2312" w:cs="Times New Roman"/>
          <w:b/>
          <w:bCs/>
          <w:szCs w:val="32"/>
          <w:lang w:eastAsia="zh-CN"/>
        </w:rPr>
        <w:t>条</w:t>
      </w:r>
      <w:r>
        <w:rPr>
          <w:rFonts w:hint="eastAsia" w:ascii="仿宋_GB2312" w:cs="Times New Roman"/>
          <w:b/>
          <w:bCs/>
          <w:szCs w:val="32"/>
          <w:lang w:val="en-US" w:eastAsia="zh-CN"/>
        </w:rPr>
        <w:t xml:space="preserve"> 授权数据获取</w:t>
      </w:r>
    </w:p>
    <w:p>
      <w:pPr>
        <w:pStyle w:val="16"/>
        <w:pageBreakBefore w:val="0"/>
        <w:kinsoku/>
        <w:wordWrap/>
        <w:overflowPunct/>
        <w:topLinePunct w:val="0"/>
        <w:autoSpaceDE/>
        <w:autoSpaceDN/>
        <w:bidi w:val="0"/>
        <w:adjustRightInd/>
        <w:snapToGrid/>
        <w:spacing w:line="560" w:lineRule="exact"/>
        <w:ind w:firstLine="640"/>
        <w:textAlignment w:val="auto"/>
        <w:rPr>
          <w:rFonts w:ascii="仿宋_GB2312"/>
        </w:rPr>
      </w:pPr>
      <w:r>
        <w:rPr>
          <w:rFonts w:hint="eastAsia" w:ascii="仿宋_GB2312"/>
        </w:rPr>
        <w:t>授权运营单位应依托</w:t>
      </w:r>
      <w:r>
        <w:rPr>
          <w:rFonts w:hint="eastAsia"/>
        </w:rPr>
        <w:t>一体化数字资源系统等渠道</w:t>
      </w:r>
      <w:r>
        <w:rPr>
          <w:rFonts w:hint="eastAsia" w:ascii="仿宋_GB2312"/>
        </w:rPr>
        <w:t>提出公共数据需求清单，由</w:t>
      </w:r>
      <w:r>
        <w:rPr>
          <w:rFonts w:hint="eastAsia" w:ascii="仿宋_GB2312"/>
          <w:color w:val="000000" w:themeColor="text1"/>
          <w:lang w:eastAsia="zh-CN"/>
          <w14:textFill>
            <w14:solidFill>
              <w14:schemeClr w14:val="tx1"/>
            </w14:solidFill>
          </w14:textFill>
        </w:rPr>
        <w:t>县公共数据主管部门</w:t>
      </w:r>
      <w:r>
        <w:rPr>
          <w:rFonts w:hint="eastAsia" w:ascii="仿宋_GB2312"/>
        </w:rPr>
        <w:t>会同数据提供单位完成技术审核。涉及省回流数据的应经省</w:t>
      </w:r>
      <w:r>
        <w:rPr>
          <w:rFonts w:hint="eastAsia" w:ascii="仿宋_GB2312"/>
          <w:color w:val="000000" w:themeColor="text1"/>
          <w:lang w:eastAsia="zh-CN"/>
          <w14:textFill>
            <w14:solidFill>
              <w14:schemeClr w14:val="tx1"/>
            </w14:solidFill>
          </w14:textFill>
        </w:rPr>
        <w:t>公共数据主管部门</w:t>
      </w:r>
      <w:r>
        <w:rPr>
          <w:rFonts w:hint="eastAsia" w:ascii="仿宋_GB2312"/>
        </w:rPr>
        <w:t>同意。经</w:t>
      </w:r>
      <w:r>
        <w:rPr>
          <w:rFonts w:ascii="仿宋_GB2312"/>
        </w:rPr>
        <w:t>市、</w:t>
      </w:r>
      <w:r>
        <w:rPr>
          <w:rFonts w:hint="eastAsia" w:ascii="仿宋_GB2312"/>
          <w:color w:val="000000" w:themeColor="text1"/>
          <w:lang w:eastAsia="zh-CN"/>
          <w14:textFill>
            <w14:solidFill>
              <w14:schemeClr w14:val="tx1"/>
            </w14:solidFill>
          </w14:textFill>
        </w:rPr>
        <w:t>县公共数据主管部门</w:t>
      </w:r>
      <w:r>
        <w:rPr>
          <w:rFonts w:hint="eastAsia" w:ascii="仿宋_GB2312"/>
        </w:rPr>
        <w:t>审核批准，授权运营单位可将依法依规获取的社会数据导入授权运营域，与授权运营的公共数据进行融合计算。</w:t>
      </w:r>
    </w:p>
    <w:p>
      <w:pPr>
        <w:pageBreakBefore w:val="0"/>
        <w:kinsoku/>
        <w:wordWrap/>
        <w:overflowPunct/>
        <w:topLinePunct w:val="0"/>
        <w:autoSpaceDE/>
        <w:autoSpaceDN/>
        <w:bidi w:val="0"/>
        <w:adjustRightInd/>
        <w:snapToGrid/>
        <w:spacing w:line="560" w:lineRule="exact"/>
        <w:textAlignment w:val="auto"/>
      </w:pPr>
      <w:r>
        <w:rPr>
          <w:rFonts w:hint="eastAsia" w:ascii="仿宋_GB2312" w:hAnsi="仿宋_GB2312"/>
          <w:szCs w:val="32"/>
        </w:rPr>
        <w:t>涉及个人信息、商业秘密、保密商务信息的公共数据，不得以“一揽子授权”、强制同意等方式获取</w:t>
      </w:r>
      <w:r>
        <w:rPr>
          <w:rFonts w:hint="eastAsia" w:ascii="仿宋_GB2312"/>
          <w:szCs w:val="32"/>
        </w:rPr>
        <w:t>。</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第十</w:t>
      </w:r>
      <w:r>
        <w:rPr>
          <w:rFonts w:hint="eastAsia" w:ascii="仿宋_GB2312" w:cs="Times New Roman"/>
          <w:b/>
          <w:bCs/>
          <w:szCs w:val="32"/>
          <w:lang w:val="en-US" w:eastAsia="zh-CN"/>
        </w:rPr>
        <w:t>八</w:t>
      </w:r>
      <w:r>
        <w:rPr>
          <w:rFonts w:hint="eastAsia" w:ascii="仿宋_GB2312" w:cs="Times New Roman"/>
          <w:b/>
          <w:bCs/>
          <w:szCs w:val="32"/>
          <w:lang w:eastAsia="zh-CN"/>
        </w:rPr>
        <w:t>条</w:t>
      </w:r>
      <w:r>
        <w:rPr>
          <w:rFonts w:hint="eastAsia" w:ascii="仿宋_GB2312" w:cs="Times New Roman"/>
          <w:b/>
          <w:bCs/>
          <w:szCs w:val="32"/>
          <w:lang w:val="en-US" w:eastAsia="zh-CN"/>
        </w:rPr>
        <w:t xml:space="preserve"> 数据加工和处理</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rPr>
      </w:pPr>
      <w:r>
        <w:rPr>
          <w:rFonts w:hint="eastAsia" w:ascii="仿宋_GB2312"/>
        </w:rPr>
        <w:t>授权运营单位应当在授权运营域内对所申请的公共数据进行加工处理，并形成数据产品。原始数据对数据加工人员应不可见，授权运营单位应使用经抽样、脱敏后的公共数据，进行数据产品的模型训练与验证。参与数据加工处理的人员须经实名认证、备案与审查，签订数据安全承诺书、保密协议；操作行为应做到有记录、可审查。</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w:t>
      </w:r>
      <w:r>
        <w:rPr>
          <w:rFonts w:hint="eastAsia" w:ascii="仿宋_GB2312" w:cs="Times New Roman"/>
          <w:b/>
          <w:bCs/>
          <w:szCs w:val="32"/>
          <w:lang w:val="en-US" w:eastAsia="zh-CN"/>
        </w:rPr>
        <w:t>十九</w:t>
      </w:r>
      <w:r>
        <w:rPr>
          <w:rFonts w:hint="eastAsia" w:ascii="仿宋_GB2312" w:cs="Times New Roman"/>
          <w:b/>
          <w:bCs/>
          <w:szCs w:val="32"/>
          <w:lang w:eastAsia="zh-CN"/>
        </w:rPr>
        <w:t>条</w:t>
      </w:r>
      <w:r>
        <w:rPr>
          <w:rFonts w:hint="eastAsia" w:ascii="仿宋_GB2312" w:cs="Times New Roman"/>
          <w:b/>
          <w:bCs/>
          <w:szCs w:val="32"/>
          <w:lang w:val="en-US" w:eastAsia="zh-CN"/>
        </w:rPr>
        <w:t xml:space="preserve"> 数据产品</w:t>
      </w:r>
    </w:p>
    <w:p>
      <w:pPr>
        <w:pageBreakBefore w:val="0"/>
        <w:tabs>
          <w:tab w:val="left" w:pos="-40"/>
        </w:tabs>
        <w:kinsoku/>
        <w:wordWrap/>
        <w:overflowPunct/>
        <w:topLinePunct w:val="0"/>
        <w:autoSpaceDE/>
        <w:autoSpaceDN/>
        <w:bidi w:val="0"/>
        <w:adjustRightInd/>
        <w:snapToGrid/>
        <w:spacing w:line="560" w:lineRule="exact"/>
        <w:textAlignment w:val="auto"/>
        <w:outlineLvl w:val="2"/>
      </w:pPr>
      <w:r>
        <w:rPr>
          <w:rFonts w:hint="eastAsia"/>
        </w:rPr>
        <w:t>授权运营单位加工形成的数据产品应接受</w:t>
      </w:r>
      <w:r>
        <w:rPr>
          <w:rFonts w:hint="eastAsia"/>
          <w:color w:val="000000" w:themeColor="text1"/>
          <w:lang w:eastAsia="zh-CN"/>
          <w14:textFill>
            <w14:solidFill>
              <w14:schemeClr w14:val="tx1"/>
            </w14:solidFill>
          </w14:textFill>
        </w:rPr>
        <w:t>县公共数据主管部门</w:t>
      </w:r>
      <w:r>
        <w:rPr>
          <w:rFonts w:hint="eastAsia"/>
        </w:rPr>
        <w:t>审核，经审核批准后导出的数据产品，不得用于未经审批的应用场景。通过可逆模型或算法还原出原始数据包的数据产品，不得导出授权运营域。</w:t>
      </w:r>
    </w:p>
    <w:p>
      <w:pPr>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授权运营单位应加强数据知识产权保护意识，对“依法收集、经过一定算法加工、具有实用价值和智力成果属性”的数据、数据产品进行知识产权存证公证、登记申请。</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w:t>
      </w:r>
      <w:r>
        <w:rPr>
          <w:rFonts w:hint="eastAsia" w:ascii="仿宋_GB2312" w:cs="Times New Roman"/>
          <w:b/>
          <w:bCs/>
          <w:szCs w:val="32"/>
          <w:lang w:val="en-US" w:eastAsia="zh-CN"/>
        </w:rPr>
        <w:t>二十</w:t>
      </w:r>
      <w:r>
        <w:rPr>
          <w:rFonts w:hint="eastAsia" w:ascii="仿宋_GB2312" w:cs="Times New Roman"/>
          <w:b/>
          <w:bCs/>
          <w:szCs w:val="32"/>
          <w:lang w:eastAsia="zh-CN"/>
        </w:rPr>
        <w:t>条</w:t>
      </w:r>
      <w:r>
        <w:rPr>
          <w:rFonts w:hint="eastAsia" w:ascii="仿宋_GB2312" w:cs="Times New Roman"/>
          <w:b/>
          <w:bCs/>
          <w:szCs w:val="32"/>
          <w:lang w:val="en-US" w:eastAsia="zh-CN"/>
        </w:rPr>
        <w:t xml:space="preserve"> 数据治理</w:t>
      </w:r>
    </w:p>
    <w:p>
      <w:pPr>
        <w:pageBreakBefore w:val="0"/>
        <w:tabs>
          <w:tab w:val="left" w:pos="-40"/>
        </w:tabs>
        <w:kinsoku/>
        <w:wordWrap/>
        <w:overflowPunct/>
        <w:topLinePunct w:val="0"/>
        <w:autoSpaceDE/>
        <w:autoSpaceDN/>
        <w:bidi w:val="0"/>
        <w:adjustRightInd/>
        <w:snapToGrid/>
        <w:spacing w:line="560" w:lineRule="exact"/>
        <w:textAlignment w:val="auto"/>
        <w:outlineLvl w:val="2"/>
      </w:pPr>
      <w:r>
        <w:rPr>
          <w:rFonts w:hint="eastAsia" w:ascii="仿宋_GB2312"/>
        </w:rPr>
        <w:t>授权运营单位在数据加工处理或提供服务过程中发现公共数据存在质量问题的，可向</w:t>
      </w:r>
      <w:r>
        <w:rPr>
          <w:rFonts w:hint="eastAsia" w:ascii="仿宋_GB2312"/>
          <w:color w:val="000000" w:themeColor="text1"/>
          <w:lang w:eastAsia="zh-CN"/>
          <w14:textFill>
            <w14:solidFill>
              <w14:schemeClr w14:val="tx1"/>
            </w14:solidFill>
          </w14:textFill>
        </w:rPr>
        <w:t>县公共数据主管部门</w:t>
      </w:r>
      <w:r>
        <w:rPr>
          <w:rFonts w:hint="eastAsia" w:ascii="仿宋_GB2312"/>
        </w:rPr>
        <w:t>提出数据治理需求，需求合理的，</w:t>
      </w:r>
      <w:r>
        <w:rPr>
          <w:rFonts w:hint="eastAsia" w:ascii="仿宋_GB2312"/>
          <w:color w:val="000000" w:themeColor="text1"/>
          <w:lang w:eastAsia="zh-CN"/>
          <w14:textFill>
            <w14:solidFill>
              <w14:schemeClr w14:val="tx1"/>
            </w14:solidFill>
          </w14:textFill>
        </w:rPr>
        <w:t>县公共数据主管部门</w:t>
      </w:r>
      <w:r>
        <w:rPr>
          <w:rFonts w:hint="eastAsia" w:ascii="仿宋_GB2312"/>
        </w:rPr>
        <w:t>应当督促数据提供单位在规定期限内完成数据治理。</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第二十</w:t>
      </w:r>
      <w:r>
        <w:rPr>
          <w:rFonts w:hint="eastAsia" w:ascii="仿宋_GB2312" w:cs="Times New Roman"/>
          <w:b/>
          <w:bCs/>
          <w:szCs w:val="32"/>
          <w:lang w:val="en-US" w:eastAsia="zh-CN"/>
        </w:rPr>
        <w:t>一</w:t>
      </w:r>
      <w:r>
        <w:rPr>
          <w:rFonts w:hint="eastAsia" w:ascii="仿宋_GB2312" w:cs="Times New Roman"/>
          <w:b/>
          <w:bCs/>
          <w:szCs w:val="32"/>
          <w:lang w:eastAsia="zh-CN"/>
        </w:rPr>
        <w:t>条</w:t>
      </w:r>
      <w:r>
        <w:rPr>
          <w:rFonts w:hint="eastAsia" w:ascii="仿宋_GB2312" w:cs="Times New Roman"/>
          <w:b/>
          <w:bCs/>
          <w:szCs w:val="32"/>
          <w:lang w:val="en-US" w:eastAsia="zh-CN"/>
        </w:rPr>
        <w:t xml:space="preserve"> 规范管理</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cs="Times New Roman"/>
        </w:rPr>
      </w:pPr>
      <w:r>
        <w:rPr>
          <w:rFonts w:hint="eastAsia" w:ascii="仿宋_GB2312" w:cs="Times New Roman"/>
        </w:rPr>
        <w:t>授权运营单位应依法合规开展公共数据授权运营，建立健全高效的技术防护和运行管理体系，确保公共数据安全，切实保护个人信息；应按规定组织人员参加授权运营岗前培训，接受相关部门监督检查，及时报告数据风险情况，定期提交年度运营报告，并遵守省管理办法相关规定。</w:t>
      </w:r>
    </w:p>
    <w:p>
      <w:pPr>
        <w:pStyle w:val="4"/>
        <w:keepNext/>
        <w:keepLines/>
        <w:pageBreakBefore w:val="0"/>
        <w:numPr>
          <w:ilvl w:val="0"/>
          <w:numId w:val="0"/>
        </w:numPr>
        <w:kinsoku/>
        <w:wordWrap/>
        <w:overflowPunct/>
        <w:topLinePunct w:val="0"/>
        <w:autoSpaceDE/>
        <w:autoSpaceDN/>
        <w:bidi w:val="0"/>
        <w:adjustRightInd/>
        <w:snapToGrid/>
        <w:spacing w:beforeLines="50" w:afterLines="50" w:line="560" w:lineRule="exact"/>
        <w:ind w:leftChars="200"/>
        <w:jc w:val="center"/>
        <w:textAlignment w:val="auto"/>
        <w:rPr>
          <w:rFonts w:hint="default" w:eastAsia="黑体"/>
          <w:b w:val="0"/>
          <w:kern w:val="2"/>
          <w:szCs w:val="32"/>
        </w:rPr>
      </w:pPr>
      <w:r>
        <w:rPr>
          <w:rFonts w:hint="eastAsia" w:eastAsia="黑体"/>
          <w:b w:val="0"/>
          <w:kern w:val="2"/>
          <w:szCs w:val="32"/>
          <w:lang w:eastAsia="zh-CN"/>
        </w:rPr>
        <w:t>第四章</w:t>
      </w:r>
      <w:r>
        <w:rPr>
          <w:rFonts w:hint="eastAsia" w:eastAsia="黑体"/>
          <w:b w:val="0"/>
          <w:kern w:val="2"/>
          <w:szCs w:val="32"/>
          <w:lang w:val="en-US" w:eastAsia="zh-CN"/>
        </w:rPr>
        <w:t xml:space="preserve"> </w:t>
      </w:r>
      <w:r>
        <w:rPr>
          <w:rFonts w:eastAsia="黑体"/>
          <w:b w:val="0"/>
          <w:kern w:val="2"/>
          <w:szCs w:val="32"/>
        </w:rPr>
        <w:t>授权运营域</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eastAsia" w:ascii="仿宋_GB2312" w:cs="Times New Roman"/>
          <w:b/>
          <w:bCs/>
          <w:szCs w:val="32"/>
          <w:lang w:eastAsia="zh-CN"/>
        </w:rPr>
      </w:pPr>
      <w:r>
        <w:rPr>
          <w:rFonts w:hint="eastAsia" w:ascii="仿宋_GB2312" w:cs="Times New Roman"/>
          <w:b/>
          <w:bCs/>
          <w:szCs w:val="32"/>
          <w:lang w:eastAsia="zh-CN"/>
        </w:rPr>
        <w:t>第二十</w:t>
      </w:r>
      <w:r>
        <w:rPr>
          <w:rFonts w:hint="eastAsia" w:ascii="仿宋_GB2312" w:cs="Times New Roman"/>
          <w:b/>
          <w:bCs/>
          <w:szCs w:val="32"/>
          <w:lang w:val="en-US" w:eastAsia="zh-CN"/>
        </w:rPr>
        <w:t>二</w:t>
      </w:r>
      <w:r>
        <w:rPr>
          <w:rFonts w:hint="eastAsia" w:ascii="仿宋_GB2312" w:cs="Times New Roman"/>
          <w:b/>
          <w:bCs/>
          <w:szCs w:val="32"/>
          <w:lang w:eastAsia="zh-CN"/>
        </w:rPr>
        <w:t>条</w:t>
      </w:r>
      <w:r>
        <w:rPr>
          <w:rFonts w:hint="eastAsia" w:ascii="仿宋_GB2312" w:cs="Times New Roman"/>
          <w:b/>
          <w:bCs/>
          <w:szCs w:val="32"/>
          <w:lang w:val="en-US" w:eastAsia="zh-CN"/>
        </w:rPr>
        <w:t xml:space="preserve"> </w:t>
      </w:r>
      <w:r>
        <w:rPr>
          <w:rFonts w:hint="eastAsia" w:ascii="仿宋_GB2312" w:cs="Times New Roman"/>
          <w:b/>
          <w:bCs/>
          <w:szCs w:val="32"/>
          <w:lang w:eastAsia="zh-CN"/>
        </w:rPr>
        <w:t>授权运营域使用</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eastAsia" w:ascii="仿宋_GB2312" w:cs="Times New Roman"/>
        </w:rPr>
      </w:pPr>
      <w:r>
        <w:rPr>
          <w:rFonts w:hint="eastAsia" w:ascii="仿宋_GB2312" w:cs="Times New Roman"/>
        </w:rPr>
        <w:t>县级依托市级授权运营域开展工作，不再单独建设授权运营域。</w:t>
      </w:r>
    </w:p>
    <w:p>
      <w:pPr>
        <w:pStyle w:val="4"/>
        <w:keepNext/>
        <w:keepLines/>
        <w:pageBreakBefore w:val="0"/>
        <w:numPr>
          <w:ilvl w:val="0"/>
          <w:numId w:val="0"/>
        </w:numPr>
        <w:kinsoku/>
        <w:wordWrap/>
        <w:overflowPunct/>
        <w:topLinePunct w:val="0"/>
        <w:autoSpaceDE/>
        <w:autoSpaceDN/>
        <w:bidi w:val="0"/>
        <w:adjustRightInd/>
        <w:snapToGrid/>
        <w:spacing w:beforeLines="50" w:afterLines="50" w:line="560" w:lineRule="exact"/>
        <w:ind w:leftChars="200"/>
        <w:jc w:val="center"/>
        <w:textAlignment w:val="auto"/>
        <w:rPr>
          <w:rFonts w:hint="default" w:eastAsia="黑体"/>
          <w:b w:val="0"/>
          <w:kern w:val="2"/>
          <w:szCs w:val="32"/>
        </w:rPr>
      </w:pPr>
      <w:r>
        <w:rPr>
          <w:rFonts w:hint="eastAsia" w:eastAsia="黑体"/>
          <w:b w:val="0"/>
          <w:kern w:val="2"/>
          <w:szCs w:val="32"/>
          <w:lang w:eastAsia="zh-CN"/>
        </w:rPr>
        <w:t>第五章</w:t>
      </w:r>
      <w:r>
        <w:rPr>
          <w:rFonts w:hint="eastAsia" w:eastAsia="黑体"/>
          <w:b w:val="0"/>
          <w:kern w:val="2"/>
          <w:szCs w:val="32"/>
          <w:lang w:val="en-US" w:eastAsia="zh-CN"/>
        </w:rPr>
        <w:t xml:space="preserve"> </w:t>
      </w:r>
      <w:r>
        <w:rPr>
          <w:rFonts w:eastAsia="黑体"/>
          <w:b w:val="0"/>
          <w:kern w:val="2"/>
          <w:szCs w:val="32"/>
        </w:rPr>
        <w:t>数据安全与监督管理</w:t>
      </w:r>
    </w:p>
    <w:p>
      <w:pPr>
        <w:pageBreakBefore w:val="0"/>
        <w:widowControl/>
        <w:kinsoku/>
        <w:wordWrap/>
        <w:overflowPunct/>
        <w:topLinePunct w:val="0"/>
        <w:autoSpaceDE/>
        <w:autoSpaceDN/>
        <w:bidi w:val="0"/>
        <w:adjustRightInd/>
        <w:snapToGrid/>
        <w:spacing w:line="560" w:lineRule="exact"/>
        <w:textAlignment w:val="auto"/>
        <w:rPr>
          <w:rFonts w:hint="default" w:ascii="仿宋_GB2312" w:cs="Times New Roman"/>
          <w:b/>
          <w:bCs/>
          <w:szCs w:val="32"/>
          <w:lang w:val="en-US" w:eastAsia="zh-CN"/>
        </w:rPr>
      </w:pPr>
      <w:r>
        <w:rPr>
          <w:rFonts w:hint="eastAsia" w:ascii="仿宋_GB2312" w:cs="Times New Roman"/>
          <w:b/>
          <w:bCs/>
          <w:szCs w:val="32"/>
          <w:lang w:eastAsia="zh-CN"/>
        </w:rPr>
        <w:t>第二十</w:t>
      </w:r>
      <w:r>
        <w:rPr>
          <w:rFonts w:hint="eastAsia" w:ascii="仿宋_GB2312" w:cs="Times New Roman"/>
          <w:b/>
          <w:bCs/>
          <w:szCs w:val="32"/>
          <w:lang w:val="en-US" w:eastAsia="zh-CN"/>
        </w:rPr>
        <w:t>三</w:t>
      </w:r>
      <w:r>
        <w:rPr>
          <w:rFonts w:hint="eastAsia" w:ascii="仿宋_GB2312" w:cs="Times New Roman"/>
          <w:b/>
          <w:bCs/>
          <w:szCs w:val="32"/>
          <w:lang w:eastAsia="zh-CN"/>
        </w:rPr>
        <w:t>条</w:t>
      </w:r>
      <w:r>
        <w:rPr>
          <w:rFonts w:hint="eastAsia" w:ascii="仿宋_GB2312" w:cs="Times New Roman"/>
          <w:b/>
          <w:bCs/>
          <w:szCs w:val="32"/>
          <w:lang w:val="en-US" w:eastAsia="zh-CN"/>
        </w:rPr>
        <w:t xml:space="preserve"> 授权运营单位数据安全工作要求</w:t>
      </w:r>
    </w:p>
    <w:p>
      <w:pPr>
        <w:pageBreakBefore w:val="0"/>
        <w:widowControl/>
        <w:kinsoku/>
        <w:wordWrap/>
        <w:overflowPunct/>
        <w:topLinePunct w:val="0"/>
        <w:autoSpaceDE/>
        <w:autoSpaceDN/>
        <w:bidi w:val="0"/>
        <w:adjustRightInd/>
        <w:snapToGrid/>
        <w:spacing w:line="560" w:lineRule="exact"/>
        <w:textAlignment w:val="auto"/>
      </w:pPr>
      <w:r>
        <w:rPr>
          <w:rFonts w:hint="eastAsia" w:ascii="仿宋_GB2312" w:hAnsi="仿宋_GB2312"/>
          <w:szCs w:val="32"/>
        </w:rPr>
        <w:t>公共数据授权运营安全坚持谁运营谁负责、谁使用谁负责的原则。授权运营单位主要负责人是运营公共数据安全的第一责任人。</w:t>
      </w:r>
    </w:p>
    <w:p>
      <w:pPr>
        <w:pageBreakBefore w:val="0"/>
        <w:widowControl/>
        <w:kinsoku/>
        <w:wordWrap/>
        <w:overflowPunct/>
        <w:topLinePunct w:val="0"/>
        <w:autoSpaceDE/>
        <w:autoSpaceDN/>
        <w:bidi w:val="0"/>
        <w:adjustRightInd/>
        <w:snapToGrid/>
        <w:spacing w:line="560" w:lineRule="exact"/>
        <w:textAlignment w:val="auto"/>
        <w:rPr>
          <w:rFonts w:ascii="仿宋_GB2312" w:hAnsi="仿宋_GB2312"/>
          <w:szCs w:val="32"/>
        </w:rPr>
      </w:pPr>
      <w:r>
        <w:rPr>
          <w:rFonts w:hint="eastAsia" w:ascii="仿宋_GB2312" w:hAnsi="仿宋_GB2312"/>
          <w:szCs w:val="32"/>
        </w:rPr>
        <w:t>授权运营单位应根据公共数据分类分级管理要求，建立健全公共数据安全管理制度，对本单位公共数据授权运营相关的岗位人员、系统平台、技术应用、对外合作等实施全面的安全管理。</w:t>
      </w:r>
    </w:p>
    <w:p>
      <w:pPr>
        <w:pageBreakBefore w:val="0"/>
        <w:kinsoku/>
        <w:wordWrap/>
        <w:overflowPunct/>
        <w:topLinePunct w:val="0"/>
        <w:autoSpaceDE/>
        <w:autoSpaceDN/>
        <w:bidi w:val="0"/>
        <w:adjustRightInd/>
        <w:snapToGrid/>
        <w:spacing w:line="560" w:lineRule="exact"/>
        <w:textAlignment w:val="auto"/>
        <w:rPr>
          <w:rFonts w:ascii="仿宋_GB2312" w:hAnsi="仿宋_GB2312"/>
          <w:szCs w:val="32"/>
        </w:rPr>
      </w:pPr>
      <w:r>
        <w:rPr>
          <w:rFonts w:hint="eastAsia" w:ascii="仿宋_GB2312" w:hAnsi="仿宋_GB2312"/>
          <w:szCs w:val="32"/>
        </w:rPr>
        <w:t>在数据授权运营过程中，授权运营单位如发现存在数据安全隐患或其他不安全因素，应立即停止数据处理活动，积极采取措施消除安全隐患，及时向</w:t>
      </w:r>
      <w:r>
        <w:rPr>
          <w:rFonts w:hint="eastAsia" w:ascii="仿宋_GB2312" w:hAnsi="仿宋_GB2312"/>
          <w:color w:val="000000" w:themeColor="text1"/>
          <w:szCs w:val="32"/>
          <w:lang w:eastAsia="zh-CN"/>
          <w14:textFill>
            <w14:solidFill>
              <w14:schemeClr w14:val="tx1"/>
            </w14:solidFill>
          </w14:textFill>
        </w:rPr>
        <w:t>县公共数据主管部门</w:t>
      </w:r>
      <w:r>
        <w:rPr>
          <w:rFonts w:hint="eastAsia" w:ascii="仿宋_GB2312" w:hAnsi="仿宋_GB2312"/>
          <w:szCs w:val="32"/>
        </w:rPr>
        <w:t>报告风险情况。</w:t>
      </w:r>
    </w:p>
    <w:p>
      <w:pPr>
        <w:pageBreakBefore w:val="0"/>
        <w:widowControl/>
        <w:kinsoku/>
        <w:wordWrap/>
        <w:overflowPunct/>
        <w:topLinePunct w:val="0"/>
        <w:autoSpaceDE/>
        <w:autoSpaceDN/>
        <w:bidi w:val="0"/>
        <w:adjustRightInd/>
        <w:snapToGrid/>
        <w:spacing w:line="560" w:lineRule="exact"/>
        <w:textAlignment w:val="auto"/>
        <w:rPr>
          <w:rFonts w:hint="eastAsia" w:ascii="仿宋_GB2312" w:cs="Times New Roman"/>
          <w:b/>
          <w:bCs/>
          <w:szCs w:val="32"/>
          <w:lang w:eastAsia="zh-CN"/>
        </w:rPr>
      </w:pPr>
      <w:r>
        <w:rPr>
          <w:rFonts w:hint="eastAsia" w:ascii="仿宋_GB2312" w:cs="Times New Roman"/>
          <w:b/>
          <w:bCs/>
          <w:szCs w:val="32"/>
          <w:lang w:eastAsia="zh-CN"/>
        </w:rPr>
        <w:t>第二十</w:t>
      </w:r>
      <w:r>
        <w:rPr>
          <w:rFonts w:hint="eastAsia" w:ascii="仿宋_GB2312" w:cs="Times New Roman"/>
          <w:b/>
          <w:bCs/>
          <w:szCs w:val="32"/>
          <w:lang w:val="en-US" w:eastAsia="zh-CN"/>
        </w:rPr>
        <w:t>四</w:t>
      </w:r>
      <w:r>
        <w:rPr>
          <w:rFonts w:hint="eastAsia" w:ascii="仿宋_GB2312" w:cs="Times New Roman"/>
          <w:b/>
          <w:bCs/>
          <w:szCs w:val="32"/>
          <w:lang w:eastAsia="zh-CN"/>
        </w:rPr>
        <w:t>条</w:t>
      </w:r>
      <w:r>
        <w:rPr>
          <w:rFonts w:hint="eastAsia" w:ascii="仿宋_GB2312" w:cs="Times New Roman"/>
          <w:b/>
          <w:bCs/>
          <w:szCs w:val="32"/>
          <w:lang w:val="en-US" w:eastAsia="zh-CN"/>
        </w:rPr>
        <w:t xml:space="preserve"> 县公共数据主管部门数据安全工作要求</w:t>
      </w:r>
    </w:p>
    <w:p>
      <w:pPr>
        <w:pStyle w:val="2"/>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建立健全授权运营安全防护技术标准和规范，落实安全审查、风险评估、监测预警、应急处置等管理机制，开展公共数据安全培训。</w:t>
      </w:r>
    </w:p>
    <w:p>
      <w:pPr>
        <w:pStyle w:val="2"/>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实施数据产品和服务的安全合规管理，对授权运营域的操作人员进行认证、授权和访问控制，记录数据来源、产品加工和数据调用等全流程日志信息。</w:t>
      </w:r>
    </w:p>
    <w:p>
      <w:pPr>
        <w:pStyle w:val="2"/>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实施公共数据授权运营安全的监督检查。</w:t>
      </w:r>
    </w:p>
    <w:p>
      <w:pPr>
        <w:pageBreakBefore w:val="0"/>
        <w:tabs>
          <w:tab w:val="left" w:pos="-40"/>
        </w:tabs>
        <w:kinsoku/>
        <w:wordWrap/>
        <w:overflowPunct/>
        <w:topLinePunct w:val="0"/>
        <w:autoSpaceDE/>
        <w:autoSpaceDN/>
        <w:bidi w:val="0"/>
        <w:adjustRightInd/>
        <w:snapToGrid/>
        <w:spacing w:line="560" w:lineRule="exact"/>
        <w:textAlignment w:val="auto"/>
        <w:outlineLvl w:val="2"/>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监督授权运营单位落实公共数据开发利用与安全管理责任。</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hAnsi="仿宋_GB2312"/>
          <w:szCs w:val="32"/>
        </w:rPr>
      </w:pPr>
      <w:r>
        <w:rPr>
          <w:rFonts w:hint="eastAsia"/>
          <w:color w:val="000000" w:themeColor="text1"/>
          <w:lang w:eastAsia="zh-CN"/>
          <w14:textFill>
            <w14:solidFill>
              <w14:schemeClr w14:val="tx1"/>
            </w14:solidFill>
          </w14:textFill>
        </w:rPr>
        <w:t>（五）</w:t>
      </w:r>
      <w:r>
        <w:rPr>
          <w:rFonts w:hint="eastAsia" w:ascii="仿宋_GB2312" w:hAnsi="仿宋_GB2312"/>
          <w:szCs w:val="32"/>
        </w:rPr>
        <w:t>会同县委宣传部</w:t>
      </w:r>
      <w:r>
        <w:rPr>
          <w:rFonts w:ascii="仿宋_GB2312" w:hAnsi="仿宋_GB2312"/>
          <w:szCs w:val="32"/>
        </w:rPr>
        <w:t>（网信办）</w:t>
      </w:r>
      <w:r>
        <w:rPr>
          <w:rFonts w:hint="eastAsia" w:ascii="仿宋_GB2312" w:hAnsi="仿宋_GB2312"/>
          <w:szCs w:val="32"/>
        </w:rPr>
        <w:t>、县公安局等单位，按照“一授权一预案”要求，结合公共数据授权运营的应用场景制定应急预案，并组织应急演练。发生数据安全事件时，应按照应急预案启动应急响应。</w:t>
      </w:r>
    </w:p>
    <w:p>
      <w:pPr>
        <w:pageBreakBefore w:val="0"/>
        <w:widowControl/>
        <w:kinsoku/>
        <w:wordWrap/>
        <w:overflowPunct/>
        <w:topLinePunct w:val="0"/>
        <w:autoSpaceDE/>
        <w:autoSpaceDN/>
        <w:bidi w:val="0"/>
        <w:adjustRightInd/>
        <w:snapToGrid/>
        <w:spacing w:line="560" w:lineRule="exact"/>
        <w:textAlignment w:val="auto"/>
        <w:rPr>
          <w:rFonts w:hint="eastAsia" w:ascii="仿宋_GB2312" w:cs="Times New Roman"/>
          <w:b/>
          <w:bCs/>
          <w:szCs w:val="32"/>
          <w:lang w:eastAsia="zh-CN"/>
        </w:rPr>
      </w:pPr>
      <w:r>
        <w:rPr>
          <w:rFonts w:hint="eastAsia" w:ascii="仿宋_GB2312" w:cs="Times New Roman"/>
          <w:b/>
          <w:bCs/>
          <w:szCs w:val="32"/>
          <w:lang w:eastAsia="zh-CN"/>
        </w:rPr>
        <w:t>第二十</w:t>
      </w:r>
      <w:r>
        <w:rPr>
          <w:rFonts w:hint="eastAsia" w:ascii="仿宋_GB2312" w:cs="Times New Roman"/>
          <w:b/>
          <w:bCs/>
          <w:szCs w:val="32"/>
          <w:lang w:val="en-US" w:eastAsia="zh-CN"/>
        </w:rPr>
        <w:t>五</w:t>
      </w:r>
      <w:r>
        <w:rPr>
          <w:rFonts w:hint="eastAsia" w:ascii="仿宋_GB2312" w:cs="Times New Roman"/>
          <w:b/>
          <w:bCs/>
          <w:szCs w:val="32"/>
          <w:lang w:eastAsia="zh-CN"/>
        </w:rPr>
        <w:t>条</w:t>
      </w:r>
      <w:r>
        <w:rPr>
          <w:rFonts w:hint="eastAsia" w:ascii="仿宋_GB2312" w:cs="Times New Roman"/>
          <w:b/>
          <w:bCs/>
          <w:szCs w:val="32"/>
          <w:lang w:val="en-US" w:eastAsia="zh-CN"/>
        </w:rPr>
        <w:t xml:space="preserve"> 运营监督管理</w:t>
      </w:r>
    </w:p>
    <w:p>
      <w:pPr>
        <w:pStyle w:val="2"/>
        <w:pageBreakBefore w:val="0"/>
        <w:kinsoku/>
        <w:wordWrap/>
        <w:overflowPunct/>
        <w:topLinePunct w:val="0"/>
        <w:autoSpaceDE/>
        <w:autoSpaceDN/>
        <w:bidi w:val="0"/>
        <w:adjustRightInd/>
        <w:snapToGrid/>
        <w:spacing w:line="560" w:lineRule="exact"/>
        <w:textAlignment w:val="auto"/>
        <w:rPr>
          <w:rFonts w:ascii="仿宋_GB2312" w:hAnsi="仿宋_GB2312" w:cs="仿宋_GB2312"/>
          <w:szCs w:val="32"/>
        </w:rPr>
      </w:pPr>
      <w:r>
        <w:rPr>
          <w:rFonts w:hint="eastAsia" w:ascii="仿宋_GB2312" w:hAnsi="仿宋_GB2312" w:cs="仿宋_GB2312"/>
          <w:szCs w:val="32"/>
          <w:lang w:eastAsia="zh-CN"/>
        </w:rPr>
        <w:t>（一）</w:t>
      </w:r>
      <w:r>
        <w:rPr>
          <w:rFonts w:hint="eastAsia" w:ascii="仿宋_GB2312" w:hAnsi="仿宋_GB2312" w:cs="仿宋_GB2312"/>
          <w:szCs w:val="32"/>
        </w:rPr>
        <w:t>县市场监管局应协同县发改局、县经商局、县财政局等单位完善数据产品的市场化运营管理制度。对违反反垄断、反不正当竞争、消费者权益保护等法律法规规定的，有关部门按照职责依法处置，相关不良信息记入其信用档案。</w:t>
      </w:r>
    </w:p>
    <w:p>
      <w:pPr>
        <w:pStyle w:val="2"/>
        <w:pageBreakBefore w:val="0"/>
        <w:kinsoku/>
        <w:wordWrap/>
        <w:overflowPunct/>
        <w:topLinePunct w:val="0"/>
        <w:autoSpaceDE/>
        <w:autoSpaceDN/>
        <w:bidi w:val="0"/>
        <w:adjustRightInd/>
        <w:snapToGrid/>
        <w:spacing w:line="560" w:lineRule="exact"/>
        <w:textAlignment w:val="auto"/>
      </w:pPr>
      <w:r>
        <w:rPr>
          <w:rFonts w:hint="eastAsia" w:ascii="仿宋_GB2312" w:hAnsi="仿宋_GB2312" w:cs="仿宋_GB2312"/>
          <w:szCs w:val="32"/>
          <w:lang w:eastAsia="zh-CN"/>
        </w:rPr>
        <w:t>（二）</w:t>
      </w:r>
      <w:r>
        <w:rPr>
          <w:rFonts w:hint="eastAsia" w:ascii="仿宋_GB2312" w:hAnsi="仿宋_GB2312" w:cs="仿宋_GB2312"/>
          <w:szCs w:val="32"/>
        </w:rPr>
        <w:t>县市场监管局应会同县发改局、县经商局、县司法局等单位建立知识产权保护制度，推进数据知识产权保护和运用。</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hint="default" w:ascii="仿宋_GB2312" w:cs="Times New Roman"/>
          <w:b/>
          <w:bCs/>
          <w:szCs w:val="32"/>
          <w:lang w:val="en-US" w:eastAsia="zh-CN"/>
        </w:rPr>
      </w:pPr>
      <w:r>
        <w:rPr>
          <w:rFonts w:hint="eastAsia" w:ascii="仿宋_GB2312" w:cs="Times New Roman"/>
          <w:b/>
          <w:bCs/>
          <w:szCs w:val="32"/>
          <w:lang w:eastAsia="zh-CN"/>
        </w:rPr>
        <w:t>第二十</w:t>
      </w:r>
      <w:r>
        <w:rPr>
          <w:rFonts w:hint="eastAsia" w:ascii="仿宋_GB2312" w:cs="Times New Roman"/>
          <w:b/>
          <w:bCs/>
          <w:szCs w:val="32"/>
          <w:lang w:val="en-US" w:eastAsia="zh-CN"/>
        </w:rPr>
        <w:t>六</w:t>
      </w:r>
      <w:r>
        <w:rPr>
          <w:rFonts w:hint="eastAsia" w:ascii="仿宋_GB2312" w:cs="Times New Roman"/>
          <w:b/>
          <w:bCs/>
          <w:szCs w:val="32"/>
          <w:lang w:eastAsia="zh-CN"/>
        </w:rPr>
        <w:t>条</w:t>
      </w:r>
      <w:r>
        <w:rPr>
          <w:rFonts w:hint="eastAsia" w:ascii="仿宋_GB2312" w:cs="Times New Roman"/>
          <w:b/>
          <w:bCs/>
          <w:szCs w:val="32"/>
          <w:lang w:val="en-US" w:eastAsia="zh-CN"/>
        </w:rPr>
        <w:t xml:space="preserve"> 年度运营评估</w:t>
      </w:r>
    </w:p>
    <w:p>
      <w:pPr>
        <w:pageBreakBefore w:val="0"/>
        <w:tabs>
          <w:tab w:val="left" w:pos="-40"/>
        </w:tabs>
        <w:kinsoku/>
        <w:wordWrap/>
        <w:overflowPunct/>
        <w:topLinePunct w:val="0"/>
        <w:autoSpaceDE/>
        <w:autoSpaceDN/>
        <w:bidi w:val="0"/>
        <w:adjustRightInd/>
        <w:snapToGrid/>
        <w:spacing w:line="560" w:lineRule="exact"/>
        <w:textAlignment w:val="auto"/>
        <w:outlineLvl w:val="2"/>
        <w:rPr>
          <w:rFonts w:ascii="仿宋_GB2312" w:hAnsi="仿宋_GB2312" w:cs="仿宋_GB2312"/>
          <w:szCs w:val="32"/>
        </w:rPr>
      </w:pPr>
      <w:r>
        <w:rPr>
          <w:rFonts w:hint="eastAsia" w:ascii="仿宋_GB2312" w:hAnsi="仿宋_GB2312" w:cs="仿宋_GB2312"/>
          <w:szCs w:val="32"/>
        </w:rPr>
        <w:t>授权运营单位应在授权运营满一年时，向</w:t>
      </w:r>
      <w:r>
        <w:rPr>
          <w:rFonts w:hint="eastAsia" w:ascii="仿宋_GB2312" w:hAnsi="仿宋_GB2312" w:cs="仿宋_GB2312"/>
          <w:color w:val="000000" w:themeColor="text1"/>
          <w:szCs w:val="32"/>
          <w:lang w:eastAsia="zh-CN"/>
          <w14:textFill>
            <w14:solidFill>
              <w14:schemeClr w14:val="tx1"/>
            </w14:solidFill>
          </w14:textFill>
        </w:rPr>
        <w:t>县公共数据主管部门</w:t>
      </w:r>
      <w:r>
        <w:rPr>
          <w:rFonts w:hint="eastAsia" w:ascii="仿宋_GB2312" w:hAnsi="仿宋_GB2312" w:cs="仿宋_GB2312"/>
          <w:szCs w:val="32"/>
        </w:rPr>
        <w:t>提供年度运营报告。</w:t>
      </w:r>
      <w:r>
        <w:rPr>
          <w:rFonts w:hint="eastAsia" w:ascii="仿宋_GB2312" w:hAnsi="仿宋_GB2312" w:cs="仿宋_GB2312"/>
          <w:color w:val="000000" w:themeColor="text1"/>
          <w:szCs w:val="32"/>
          <w:lang w:eastAsia="zh-CN"/>
          <w14:textFill>
            <w14:solidFill>
              <w14:schemeClr w14:val="tx1"/>
            </w14:solidFill>
          </w14:textFill>
        </w:rPr>
        <w:t>县公共数据主管部门</w:t>
      </w:r>
      <w:r>
        <w:rPr>
          <w:rFonts w:hint="eastAsia" w:ascii="仿宋_GB2312" w:hAnsi="仿宋_GB2312" w:cs="仿宋_GB2312"/>
          <w:szCs w:val="32"/>
        </w:rPr>
        <w:t>会同协调机制相关单位、数据提供单位或委托第三方机构，对授权运营单位的协议执行情况、数据产品使用情况等开展年度评估，评估结果作为继续申请授权运营的重要依据。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cs="Times New Roman"/>
          <w:b/>
          <w:bCs/>
          <w:szCs w:val="32"/>
          <w:lang w:val="en-US" w:eastAsia="zh-CN"/>
        </w:rPr>
      </w:pPr>
      <w:r>
        <w:rPr>
          <w:rFonts w:hint="eastAsia" w:ascii="仿宋_GB2312" w:cs="Times New Roman"/>
          <w:b/>
          <w:bCs/>
          <w:szCs w:val="32"/>
          <w:lang w:eastAsia="zh-CN"/>
        </w:rPr>
        <w:t>第二十</w:t>
      </w:r>
      <w:r>
        <w:rPr>
          <w:rFonts w:hint="eastAsia" w:ascii="仿宋_GB2312" w:cs="Times New Roman"/>
          <w:b/>
          <w:bCs/>
          <w:szCs w:val="32"/>
          <w:lang w:val="en-US" w:eastAsia="zh-CN"/>
        </w:rPr>
        <w:t>七</w:t>
      </w:r>
      <w:r>
        <w:rPr>
          <w:rFonts w:hint="eastAsia" w:ascii="仿宋_GB2312" w:cs="Times New Roman"/>
          <w:b/>
          <w:bCs/>
          <w:szCs w:val="32"/>
          <w:lang w:eastAsia="zh-CN"/>
        </w:rPr>
        <w:t>条</w:t>
      </w:r>
      <w:r>
        <w:rPr>
          <w:rFonts w:hint="eastAsia" w:ascii="仿宋_GB2312" w:cs="Times New Roman"/>
          <w:b/>
          <w:bCs/>
          <w:szCs w:val="32"/>
          <w:lang w:val="en-US" w:eastAsia="zh-CN"/>
        </w:rPr>
        <w:t xml:space="preserve"> 违法协议整改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rPr>
      </w:pPr>
      <w:r>
        <w:rPr>
          <w:rFonts w:hint="eastAsia" w:ascii="仿宋_GB2312"/>
        </w:rPr>
        <w:t>授权运营单位有下列情形之一的，</w:t>
      </w:r>
      <w:r>
        <w:rPr>
          <w:rFonts w:hint="eastAsia" w:ascii="仿宋_GB2312"/>
          <w:color w:val="000000" w:themeColor="text1"/>
          <w:lang w:eastAsia="zh-CN"/>
          <w14:textFill>
            <w14:solidFill>
              <w14:schemeClr w14:val="tx1"/>
            </w14:solidFill>
          </w14:textFill>
        </w:rPr>
        <w:t>县公共数据主管部门</w:t>
      </w:r>
      <w:r>
        <w:rPr>
          <w:rFonts w:hint="eastAsia" w:ascii="仿宋_GB2312"/>
        </w:rPr>
        <w:t>有权要求授权运营单位在一定期限内进行整改，授权运营单位应在指定限期内完成整改，并向</w:t>
      </w:r>
      <w:r>
        <w:rPr>
          <w:rFonts w:hint="eastAsia" w:ascii="仿宋_GB2312"/>
          <w:color w:val="000000" w:themeColor="text1"/>
          <w:lang w:eastAsia="zh-CN"/>
          <w14:textFill>
            <w14:solidFill>
              <w14:schemeClr w14:val="tx1"/>
            </w14:solidFill>
          </w14:textFill>
        </w:rPr>
        <w:t>县公共数据主管部门</w:t>
      </w:r>
      <w:r>
        <w:rPr>
          <w:rFonts w:hint="eastAsia" w:ascii="仿宋_GB2312"/>
        </w:rPr>
        <w:t>反馈整改情况：</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仿宋_GB2312"/>
        </w:rPr>
      </w:pPr>
      <w:r>
        <w:rPr>
          <w:rFonts w:hint="eastAsia" w:ascii="仿宋_GB2312"/>
        </w:rPr>
        <w:t>未履行公共数据安全管理义务的；</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rPr>
      </w:pPr>
      <w:r>
        <w:rPr>
          <w:rFonts w:hint="eastAsia" w:ascii="仿宋_GB2312"/>
        </w:rPr>
        <w:t>违规使用公共数据并造成损失的；</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rPr>
      </w:pPr>
      <w:r>
        <w:rPr>
          <w:rFonts w:hint="eastAsia" w:ascii="仿宋_GB2312"/>
        </w:rPr>
        <w:t>授权运营活动存在较大安全风险的；</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color w:val="000000" w:themeColor="text1"/>
          <w14:textFill>
            <w14:solidFill>
              <w14:schemeClr w14:val="tx1"/>
            </w14:solidFill>
          </w14:textFill>
        </w:rPr>
      </w:pPr>
      <w:r>
        <w:rPr>
          <w:rFonts w:hint="eastAsia" w:ascii="仿宋_GB2312"/>
        </w:rPr>
        <w:t>出现泄露、窃取、篡改、毁损、丢失、不当利用公共数据等数据安全风险事件时，未第一时间报告</w:t>
      </w:r>
      <w:r>
        <w:rPr>
          <w:rFonts w:hint="eastAsia" w:ascii="仿宋_GB2312"/>
          <w:color w:val="000000" w:themeColor="text1"/>
          <w:lang w:eastAsia="zh-CN"/>
          <w14:textFill>
            <w14:solidFill>
              <w14:schemeClr w14:val="tx1"/>
            </w14:solidFill>
          </w14:textFill>
        </w:rPr>
        <w:t>公共数据主管部门</w:t>
      </w:r>
      <w:r>
        <w:rPr>
          <w:rFonts w:hint="eastAsia" w:ascii="仿宋_GB2312"/>
          <w:color w:val="000000" w:themeColor="text1"/>
          <w14:textFill>
            <w14:solidFill>
              <w14:schemeClr w14:val="tx1"/>
            </w14:solidFill>
          </w14:textFill>
        </w:rPr>
        <w:t>的；</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违反协议约定及法律法规规定的其他情形。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eastAsia"/>
        </w:rPr>
        <w:t>授权运营单位未按照要求完成整改或整改不到位的，</w:t>
      </w:r>
      <w:r>
        <w:rPr>
          <w:rFonts w:hint="eastAsia"/>
          <w:color w:val="000000" w:themeColor="text1"/>
          <w:lang w:eastAsia="zh-CN"/>
          <w14:textFill>
            <w14:solidFill>
              <w14:schemeClr w14:val="tx1"/>
            </w14:solidFill>
          </w14:textFill>
        </w:rPr>
        <w:t>县公共数据主管部门</w:t>
      </w:r>
      <w:r>
        <w:rPr>
          <w:rFonts w:hint="eastAsia"/>
        </w:rPr>
        <w:t>有权中止/暂停乙方授权运营域使用资格，或由</w:t>
      </w:r>
      <w:r>
        <w:t>县</w:t>
      </w:r>
      <w:r>
        <w:rPr>
          <w:rFonts w:hint="eastAsia"/>
        </w:rPr>
        <w:t>协调机制按规定撤销授权，协议自动失效，撤销授权后的数据资产处置按本细则第</w:t>
      </w:r>
      <w:r>
        <w:rPr>
          <w:rFonts w:hint="eastAsia"/>
          <w:color w:val="000000"/>
        </w:rPr>
        <w:t>十八条</w:t>
      </w:r>
      <w:r>
        <w:rPr>
          <w:rFonts w:hint="eastAsia"/>
        </w:rPr>
        <w:t>执行。</w:t>
      </w:r>
      <w:r>
        <w:rPr>
          <w:rFonts w:hint="eastAsia"/>
        </w:rPr>
        <w:br w:type="textWrapping"/>
      </w:r>
      <w:r>
        <w:rPr>
          <w:rFonts w:hint="eastAsia"/>
        </w:rPr>
        <w:t xml:space="preserve">    授权运营单位有第五款所列情形，情节严重、造成重大损失且无法改正的，</w:t>
      </w:r>
      <w:r>
        <w:t>县</w:t>
      </w:r>
      <w:r>
        <w:rPr>
          <w:rFonts w:hint="eastAsia"/>
        </w:rPr>
        <w:t>协调机制有权直接撤销授权。</w:t>
      </w:r>
    </w:p>
    <w:p>
      <w:pPr>
        <w:pStyle w:val="4"/>
        <w:keepNext/>
        <w:keepLines/>
        <w:pageBreakBefore w:val="0"/>
        <w:numPr>
          <w:ilvl w:val="0"/>
          <w:numId w:val="0"/>
        </w:numPr>
        <w:kinsoku/>
        <w:wordWrap/>
        <w:overflowPunct/>
        <w:topLinePunct w:val="0"/>
        <w:autoSpaceDE/>
        <w:autoSpaceDN/>
        <w:bidi w:val="0"/>
        <w:adjustRightInd/>
        <w:snapToGrid/>
        <w:spacing w:beforeLines="50" w:afterLines="50" w:line="560" w:lineRule="exact"/>
        <w:ind w:leftChars="200"/>
        <w:jc w:val="center"/>
        <w:textAlignment w:val="auto"/>
        <w:rPr>
          <w:rFonts w:hint="default" w:eastAsia="黑体"/>
          <w:b w:val="0"/>
          <w:kern w:val="2"/>
          <w:szCs w:val="32"/>
        </w:rPr>
      </w:pPr>
      <w:r>
        <w:rPr>
          <w:rFonts w:hint="eastAsia" w:eastAsia="黑体"/>
          <w:b w:val="0"/>
          <w:kern w:val="2"/>
          <w:szCs w:val="32"/>
          <w:lang w:eastAsia="zh-CN"/>
        </w:rPr>
        <w:t>第六章</w:t>
      </w:r>
      <w:r>
        <w:rPr>
          <w:rFonts w:hint="eastAsia" w:eastAsia="黑体"/>
          <w:b w:val="0"/>
          <w:kern w:val="2"/>
          <w:szCs w:val="32"/>
          <w:lang w:val="en-US" w:eastAsia="zh-CN"/>
        </w:rPr>
        <w:t xml:space="preserve"> </w:t>
      </w:r>
      <w:r>
        <w:rPr>
          <w:rFonts w:eastAsia="黑体"/>
          <w:b w:val="0"/>
          <w:kern w:val="2"/>
          <w:szCs w:val="32"/>
        </w:rPr>
        <w:t>附则</w:t>
      </w:r>
    </w:p>
    <w:p>
      <w:pPr>
        <w:pageBreakBefore w:val="0"/>
        <w:tabs>
          <w:tab w:val="left" w:pos="-40"/>
        </w:tabs>
        <w:kinsoku/>
        <w:wordWrap/>
        <w:overflowPunct/>
        <w:topLinePunct w:val="0"/>
        <w:autoSpaceDE/>
        <w:autoSpaceDN/>
        <w:bidi w:val="0"/>
        <w:adjustRightInd/>
        <w:snapToGrid/>
        <w:spacing w:line="560" w:lineRule="exact"/>
        <w:textAlignment w:val="auto"/>
        <w:outlineLvl w:val="2"/>
      </w:pPr>
      <w:r>
        <w:rPr>
          <w:rFonts w:hint="eastAsia" w:ascii="仿宋_GB2312" w:hAnsi="仿宋_GB2312" w:cs="仿宋_GB2312"/>
          <w:szCs w:val="32"/>
        </w:rPr>
        <w:t>本实施细则自2023年XX月XX日起施行，</w:t>
      </w:r>
      <w:r>
        <w:rPr>
          <w:rFonts w:hint="eastAsia"/>
        </w:rPr>
        <w:t>国家、省、市对公共数据授权运营管理有新规定的，从其规定。</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11"/>
          <w:ind w:firstLine="360"/>
          <w:jc w:val="center"/>
        </w:pPr>
        <w:r>
          <w:fldChar w:fldCharType="begin"/>
        </w:r>
        <w:r>
          <w:instrText xml:space="preserve">PAGE   \* MERGEFORMAT</w:instrText>
        </w:r>
        <w:r>
          <w:fldChar w:fldCharType="separate"/>
        </w:r>
        <w:r>
          <w:rPr>
            <w:lang w:val="zh-CN"/>
          </w:rPr>
          <w:t>1</w:t>
        </w:r>
        <w:r>
          <w:fldChar w:fldCharType="end"/>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95580"/>
    <w:multiLevelType w:val="singleLevel"/>
    <w:tmpl w:val="D7995580"/>
    <w:lvl w:ilvl="0" w:tentative="0">
      <w:start w:val="1"/>
      <w:numFmt w:val="chineseCounting"/>
      <w:suff w:val="nothing"/>
      <w:lvlText w:val="（%1）"/>
      <w:lvlJc w:val="left"/>
      <w:rPr>
        <w:rFonts w:hint="eastAsia"/>
      </w:rPr>
    </w:lvl>
  </w:abstractNum>
  <w:abstractNum w:abstractNumId="1">
    <w:nsid w:val="F7C2B326"/>
    <w:multiLevelType w:val="singleLevel"/>
    <w:tmpl w:val="F7C2B326"/>
    <w:lvl w:ilvl="0" w:tentative="0">
      <w:start w:val="1"/>
      <w:numFmt w:val="chineseCounting"/>
      <w:pStyle w:val="4"/>
      <w:suff w:val="nothing"/>
      <w:lvlText w:val="（%1）"/>
      <w:lvlJc w:val="left"/>
      <w:pPr>
        <w:ind w:left="0" w:firstLine="397"/>
      </w:pPr>
      <w:rPr>
        <w:rFonts w:hint="eastAsia"/>
      </w:rPr>
    </w:lvl>
  </w:abstractNum>
  <w:abstractNum w:abstractNumId="2">
    <w:nsid w:val="08040D08"/>
    <w:multiLevelType w:val="singleLevel"/>
    <w:tmpl w:val="08040D08"/>
    <w:lvl w:ilvl="0" w:tentative="0">
      <w:start w:val="1"/>
      <w:numFmt w:val="decimal"/>
      <w:pStyle w:val="5"/>
      <w:suff w:val="nothing"/>
      <w:lvlText w:val="%1．"/>
      <w:lvlJc w:val="left"/>
      <w:pPr>
        <w:ind w:left="0" w:firstLine="0"/>
      </w:pPr>
      <w:rPr>
        <w:rFonts w:hint="default"/>
      </w:rPr>
    </w:lvl>
  </w:abstractNum>
  <w:abstractNum w:abstractNumId="3">
    <w:nsid w:val="2A89390B"/>
    <w:multiLevelType w:val="singleLevel"/>
    <w:tmpl w:val="2A89390B"/>
    <w:lvl w:ilvl="0" w:tentative="0">
      <w:start w:val="1"/>
      <w:numFmt w:val="chineseCounting"/>
      <w:pStyle w:val="3"/>
      <w:suff w:val="nothing"/>
      <w:lvlText w:val="%1、"/>
      <w:lvlJc w:val="left"/>
      <w:pPr>
        <w:ind w:left="0" w:firstLine="567"/>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jhhYjBkNjcwNDg5ZjM2MzVkNDc4YmM5ODViZTMifQ=="/>
  </w:docVars>
  <w:rsids>
    <w:rsidRoot w:val="00C5484F"/>
    <w:rsid w:val="000A5AC5"/>
    <w:rsid w:val="003E7B7D"/>
    <w:rsid w:val="00A64AAE"/>
    <w:rsid w:val="00C5484F"/>
    <w:rsid w:val="067B7F7E"/>
    <w:rsid w:val="0BDC8638"/>
    <w:rsid w:val="0C6B1D37"/>
    <w:rsid w:val="0CB13AC9"/>
    <w:rsid w:val="0CFB3805"/>
    <w:rsid w:val="0EE1776A"/>
    <w:rsid w:val="0FFF9BAF"/>
    <w:rsid w:val="0FFFED6B"/>
    <w:rsid w:val="11A77023"/>
    <w:rsid w:val="1597D33E"/>
    <w:rsid w:val="167B0489"/>
    <w:rsid w:val="170F2C38"/>
    <w:rsid w:val="178D797D"/>
    <w:rsid w:val="17B397F3"/>
    <w:rsid w:val="17FA148C"/>
    <w:rsid w:val="18BA5F47"/>
    <w:rsid w:val="18DE1C74"/>
    <w:rsid w:val="1AFF702B"/>
    <w:rsid w:val="1BCF5147"/>
    <w:rsid w:val="1DBF2BB1"/>
    <w:rsid w:val="1DFF22DA"/>
    <w:rsid w:val="1E012A79"/>
    <w:rsid w:val="1E77DBA8"/>
    <w:rsid w:val="1FB9666F"/>
    <w:rsid w:val="1FD78D47"/>
    <w:rsid w:val="1FDE7FF6"/>
    <w:rsid w:val="1FDED732"/>
    <w:rsid w:val="1FF2CCEA"/>
    <w:rsid w:val="1FFA7B84"/>
    <w:rsid w:val="20646499"/>
    <w:rsid w:val="235F43F6"/>
    <w:rsid w:val="237BA42F"/>
    <w:rsid w:val="239160AA"/>
    <w:rsid w:val="23DFEB02"/>
    <w:rsid w:val="23E96DFF"/>
    <w:rsid w:val="250749B9"/>
    <w:rsid w:val="25495C7C"/>
    <w:rsid w:val="26BF24EC"/>
    <w:rsid w:val="2ADF5974"/>
    <w:rsid w:val="2ADFEC5D"/>
    <w:rsid w:val="2AF27F24"/>
    <w:rsid w:val="2B155672"/>
    <w:rsid w:val="2B77736C"/>
    <w:rsid w:val="2B957056"/>
    <w:rsid w:val="2BFF75A9"/>
    <w:rsid w:val="2CAC15D6"/>
    <w:rsid w:val="2DB9BDAF"/>
    <w:rsid w:val="2EEFA4F5"/>
    <w:rsid w:val="2FAF81AB"/>
    <w:rsid w:val="2FE72868"/>
    <w:rsid w:val="2FED47F9"/>
    <w:rsid w:val="32FFEE3D"/>
    <w:rsid w:val="340F420B"/>
    <w:rsid w:val="34FA21C1"/>
    <w:rsid w:val="353E08DE"/>
    <w:rsid w:val="35BDBDAE"/>
    <w:rsid w:val="35F58C78"/>
    <w:rsid w:val="36F1C43D"/>
    <w:rsid w:val="374F0CA1"/>
    <w:rsid w:val="376538C5"/>
    <w:rsid w:val="37FE0B46"/>
    <w:rsid w:val="399C3DC5"/>
    <w:rsid w:val="39E70503"/>
    <w:rsid w:val="3AFF1896"/>
    <w:rsid w:val="3B71B04B"/>
    <w:rsid w:val="3B79A2E0"/>
    <w:rsid w:val="3B8F6FD7"/>
    <w:rsid w:val="3BF6FE84"/>
    <w:rsid w:val="3CFFEF0A"/>
    <w:rsid w:val="3D7F1795"/>
    <w:rsid w:val="3DBCD1A7"/>
    <w:rsid w:val="3DEC2C77"/>
    <w:rsid w:val="3DFDB185"/>
    <w:rsid w:val="3DFEDC7C"/>
    <w:rsid w:val="3E6CDF41"/>
    <w:rsid w:val="3E836C87"/>
    <w:rsid w:val="3E97487D"/>
    <w:rsid w:val="3EBF39E4"/>
    <w:rsid w:val="3EEF4925"/>
    <w:rsid w:val="3EF2252C"/>
    <w:rsid w:val="3F53653B"/>
    <w:rsid w:val="3F75E3AC"/>
    <w:rsid w:val="3F7B07E0"/>
    <w:rsid w:val="3F7EAD72"/>
    <w:rsid w:val="3F8D8965"/>
    <w:rsid w:val="3F920AB1"/>
    <w:rsid w:val="3F9F8B9E"/>
    <w:rsid w:val="3FC3A773"/>
    <w:rsid w:val="3FEEE4B5"/>
    <w:rsid w:val="3FEEF418"/>
    <w:rsid w:val="3FF6DF87"/>
    <w:rsid w:val="3FF958D5"/>
    <w:rsid w:val="3FFE3829"/>
    <w:rsid w:val="3FFF0E3E"/>
    <w:rsid w:val="3FFFC418"/>
    <w:rsid w:val="41FF727C"/>
    <w:rsid w:val="42376720"/>
    <w:rsid w:val="437C6C44"/>
    <w:rsid w:val="46BF8860"/>
    <w:rsid w:val="46D91D0F"/>
    <w:rsid w:val="46FF4FB4"/>
    <w:rsid w:val="47572E73"/>
    <w:rsid w:val="477F62D0"/>
    <w:rsid w:val="47868ADF"/>
    <w:rsid w:val="47CDC4BC"/>
    <w:rsid w:val="47ED952F"/>
    <w:rsid w:val="47F37F04"/>
    <w:rsid w:val="47FFBDF4"/>
    <w:rsid w:val="48EC7433"/>
    <w:rsid w:val="49EA64D4"/>
    <w:rsid w:val="49F7F6D7"/>
    <w:rsid w:val="4A7EF16D"/>
    <w:rsid w:val="4BBFC64A"/>
    <w:rsid w:val="4BFE38F8"/>
    <w:rsid w:val="4C37264E"/>
    <w:rsid w:val="4E6A1991"/>
    <w:rsid w:val="4F59441C"/>
    <w:rsid w:val="4FED6DBD"/>
    <w:rsid w:val="4FFA4E99"/>
    <w:rsid w:val="4FFB82D5"/>
    <w:rsid w:val="537F2663"/>
    <w:rsid w:val="547B6F59"/>
    <w:rsid w:val="54BF119C"/>
    <w:rsid w:val="553AAC52"/>
    <w:rsid w:val="559A3E2E"/>
    <w:rsid w:val="55BF1344"/>
    <w:rsid w:val="55FEBBDE"/>
    <w:rsid w:val="55FF14C8"/>
    <w:rsid w:val="55FFBD8C"/>
    <w:rsid w:val="56CECF99"/>
    <w:rsid w:val="56FC7068"/>
    <w:rsid w:val="57DC3CCA"/>
    <w:rsid w:val="57F7C1B7"/>
    <w:rsid w:val="58FF48EB"/>
    <w:rsid w:val="5A37717F"/>
    <w:rsid w:val="5A7D7E67"/>
    <w:rsid w:val="5B423BDA"/>
    <w:rsid w:val="5B4D51CE"/>
    <w:rsid w:val="5B7B5203"/>
    <w:rsid w:val="5BAF4F2E"/>
    <w:rsid w:val="5BEF90C0"/>
    <w:rsid w:val="5BF58784"/>
    <w:rsid w:val="5BFFB229"/>
    <w:rsid w:val="5C299348"/>
    <w:rsid w:val="5C7FA90B"/>
    <w:rsid w:val="5C7FCB78"/>
    <w:rsid w:val="5CBFD7DA"/>
    <w:rsid w:val="5D7941A7"/>
    <w:rsid w:val="5DDB6117"/>
    <w:rsid w:val="5E555185"/>
    <w:rsid w:val="5E6F4AB9"/>
    <w:rsid w:val="5E765AE8"/>
    <w:rsid w:val="5E7FD5C4"/>
    <w:rsid w:val="5E9DA0FD"/>
    <w:rsid w:val="5EEDB34B"/>
    <w:rsid w:val="5EF4EF11"/>
    <w:rsid w:val="5EF552B9"/>
    <w:rsid w:val="5EF73859"/>
    <w:rsid w:val="5EFB3ADA"/>
    <w:rsid w:val="5EFD609F"/>
    <w:rsid w:val="5F793892"/>
    <w:rsid w:val="5F7DC79E"/>
    <w:rsid w:val="5F7FBC25"/>
    <w:rsid w:val="5FAFF915"/>
    <w:rsid w:val="5FBFD73D"/>
    <w:rsid w:val="5FCD88CB"/>
    <w:rsid w:val="5FDB2FB3"/>
    <w:rsid w:val="5FDC8A77"/>
    <w:rsid w:val="5FDFC369"/>
    <w:rsid w:val="5FE55101"/>
    <w:rsid w:val="5FEF3533"/>
    <w:rsid w:val="5FF4FCA3"/>
    <w:rsid w:val="5FF6BE4F"/>
    <w:rsid w:val="5FF7FB74"/>
    <w:rsid w:val="5FF9EB27"/>
    <w:rsid w:val="5FFBF1EB"/>
    <w:rsid w:val="5FFC24E4"/>
    <w:rsid w:val="5FFC9F79"/>
    <w:rsid w:val="5FFDDC65"/>
    <w:rsid w:val="5FFF29F9"/>
    <w:rsid w:val="5FFFFB64"/>
    <w:rsid w:val="63536F18"/>
    <w:rsid w:val="635B2450"/>
    <w:rsid w:val="637BD8C7"/>
    <w:rsid w:val="65BFB775"/>
    <w:rsid w:val="65EE579C"/>
    <w:rsid w:val="65FF5F35"/>
    <w:rsid w:val="667B4F21"/>
    <w:rsid w:val="66BD9B59"/>
    <w:rsid w:val="66BECFE4"/>
    <w:rsid w:val="66EF7020"/>
    <w:rsid w:val="66FD62B4"/>
    <w:rsid w:val="66FD6558"/>
    <w:rsid w:val="671ED478"/>
    <w:rsid w:val="677B497F"/>
    <w:rsid w:val="677DF287"/>
    <w:rsid w:val="67BF194E"/>
    <w:rsid w:val="67F16BF8"/>
    <w:rsid w:val="67F6DB96"/>
    <w:rsid w:val="67FCA4E0"/>
    <w:rsid w:val="67FCF6D0"/>
    <w:rsid w:val="67FDFCAB"/>
    <w:rsid w:val="67FF6F8F"/>
    <w:rsid w:val="69DA1DCE"/>
    <w:rsid w:val="6ADD8B3B"/>
    <w:rsid w:val="6ADFAC35"/>
    <w:rsid w:val="6AFE9FD5"/>
    <w:rsid w:val="6B7B8C9E"/>
    <w:rsid w:val="6BE7AFA2"/>
    <w:rsid w:val="6BED3873"/>
    <w:rsid w:val="6BEE92AB"/>
    <w:rsid w:val="6BFB83F7"/>
    <w:rsid w:val="6D479280"/>
    <w:rsid w:val="6DBEA991"/>
    <w:rsid w:val="6DFF394B"/>
    <w:rsid w:val="6DFF6B93"/>
    <w:rsid w:val="6E278957"/>
    <w:rsid w:val="6E6C79D2"/>
    <w:rsid w:val="6E7BFB3E"/>
    <w:rsid w:val="6E9FB739"/>
    <w:rsid w:val="6EBE427F"/>
    <w:rsid w:val="6ED133E0"/>
    <w:rsid w:val="6EEBB75E"/>
    <w:rsid w:val="6F4BFE53"/>
    <w:rsid w:val="6F5B5808"/>
    <w:rsid w:val="6F7A218C"/>
    <w:rsid w:val="6F7B1A58"/>
    <w:rsid w:val="6F7E5F15"/>
    <w:rsid w:val="6FBD5000"/>
    <w:rsid w:val="6FD63DB8"/>
    <w:rsid w:val="6FD7F2F7"/>
    <w:rsid w:val="6FDBEF78"/>
    <w:rsid w:val="6FDF4759"/>
    <w:rsid w:val="6FDFC042"/>
    <w:rsid w:val="6FE79E92"/>
    <w:rsid w:val="6FE8E642"/>
    <w:rsid w:val="6FF38665"/>
    <w:rsid w:val="6FF3C689"/>
    <w:rsid w:val="6FF3F9ED"/>
    <w:rsid w:val="6FF60F32"/>
    <w:rsid w:val="6FF668E0"/>
    <w:rsid w:val="6FFD8DB6"/>
    <w:rsid w:val="6FFF0F01"/>
    <w:rsid w:val="71764FC5"/>
    <w:rsid w:val="71FF66F1"/>
    <w:rsid w:val="7217B6C2"/>
    <w:rsid w:val="7262735A"/>
    <w:rsid w:val="72E20F13"/>
    <w:rsid w:val="72F58287"/>
    <w:rsid w:val="7344771D"/>
    <w:rsid w:val="735BCE03"/>
    <w:rsid w:val="739F6597"/>
    <w:rsid w:val="739FD98C"/>
    <w:rsid w:val="73CF1A75"/>
    <w:rsid w:val="73D70E91"/>
    <w:rsid w:val="73DF5F43"/>
    <w:rsid w:val="73EE5F6A"/>
    <w:rsid w:val="754BFBDA"/>
    <w:rsid w:val="756F3F28"/>
    <w:rsid w:val="757DEBF4"/>
    <w:rsid w:val="75BB9BE6"/>
    <w:rsid w:val="75BE21D6"/>
    <w:rsid w:val="75EF296F"/>
    <w:rsid w:val="75F785F8"/>
    <w:rsid w:val="75FFC76D"/>
    <w:rsid w:val="75FFDF8E"/>
    <w:rsid w:val="76BF0351"/>
    <w:rsid w:val="76EDFC12"/>
    <w:rsid w:val="76EF872E"/>
    <w:rsid w:val="76F3E8D5"/>
    <w:rsid w:val="76F61B32"/>
    <w:rsid w:val="76FF1AC9"/>
    <w:rsid w:val="7733F814"/>
    <w:rsid w:val="7760B256"/>
    <w:rsid w:val="777FC39D"/>
    <w:rsid w:val="77968FBA"/>
    <w:rsid w:val="779FB591"/>
    <w:rsid w:val="77BEE859"/>
    <w:rsid w:val="77C90985"/>
    <w:rsid w:val="77CB7E5C"/>
    <w:rsid w:val="77DFBC6C"/>
    <w:rsid w:val="77E7DFB9"/>
    <w:rsid w:val="77EC0B93"/>
    <w:rsid w:val="77ED83C5"/>
    <w:rsid w:val="77F72513"/>
    <w:rsid w:val="77FE4853"/>
    <w:rsid w:val="77FF4283"/>
    <w:rsid w:val="77FF7DAB"/>
    <w:rsid w:val="77FF803D"/>
    <w:rsid w:val="77FFE77F"/>
    <w:rsid w:val="787C3A38"/>
    <w:rsid w:val="78EF3418"/>
    <w:rsid w:val="78FF18EA"/>
    <w:rsid w:val="7971C055"/>
    <w:rsid w:val="797B2E1D"/>
    <w:rsid w:val="79BF3FC8"/>
    <w:rsid w:val="79D2767F"/>
    <w:rsid w:val="79DF7E12"/>
    <w:rsid w:val="79DF9CA9"/>
    <w:rsid w:val="79FB4871"/>
    <w:rsid w:val="79FFD84F"/>
    <w:rsid w:val="7ABA01C1"/>
    <w:rsid w:val="7ABA0C6A"/>
    <w:rsid w:val="7AE7632E"/>
    <w:rsid w:val="7AF7F191"/>
    <w:rsid w:val="7AFD73B8"/>
    <w:rsid w:val="7AFF00FE"/>
    <w:rsid w:val="7B17D85A"/>
    <w:rsid w:val="7B3B2BB4"/>
    <w:rsid w:val="7B57C7BE"/>
    <w:rsid w:val="7B57FFB5"/>
    <w:rsid w:val="7B5F0326"/>
    <w:rsid w:val="7B6FB8E2"/>
    <w:rsid w:val="7B7EA41F"/>
    <w:rsid w:val="7BA741D6"/>
    <w:rsid w:val="7BAEABAD"/>
    <w:rsid w:val="7BB17374"/>
    <w:rsid w:val="7BBD06A8"/>
    <w:rsid w:val="7BCEA862"/>
    <w:rsid w:val="7BD65773"/>
    <w:rsid w:val="7BDA6E86"/>
    <w:rsid w:val="7BDEDDAB"/>
    <w:rsid w:val="7BDF6E58"/>
    <w:rsid w:val="7BEFA74D"/>
    <w:rsid w:val="7BF7007C"/>
    <w:rsid w:val="7BFB704F"/>
    <w:rsid w:val="7BFD5C08"/>
    <w:rsid w:val="7BFF327D"/>
    <w:rsid w:val="7BFF5FBE"/>
    <w:rsid w:val="7BFF9D98"/>
    <w:rsid w:val="7BFFB2DF"/>
    <w:rsid w:val="7C6C6E07"/>
    <w:rsid w:val="7C732D89"/>
    <w:rsid w:val="7C7EE964"/>
    <w:rsid w:val="7CDFE087"/>
    <w:rsid w:val="7CFF334A"/>
    <w:rsid w:val="7D35777E"/>
    <w:rsid w:val="7D3D384E"/>
    <w:rsid w:val="7D87B615"/>
    <w:rsid w:val="7D9A77DE"/>
    <w:rsid w:val="7DBD3E9B"/>
    <w:rsid w:val="7DBDFFCB"/>
    <w:rsid w:val="7DCFF5BB"/>
    <w:rsid w:val="7DD78201"/>
    <w:rsid w:val="7DDBFF3B"/>
    <w:rsid w:val="7DDD2952"/>
    <w:rsid w:val="7DDF2FBF"/>
    <w:rsid w:val="7DEC0749"/>
    <w:rsid w:val="7DF1FD73"/>
    <w:rsid w:val="7DF3AF05"/>
    <w:rsid w:val="7DF75BD8"/>
    <w:rsid w:val="7DF7E51F"/>
    <w:rsid w:val="7DFF4EB1"/>
    <w:rsid w:val="7DFFA965"/>
    <w:rsid w:val="7DFFD8F2"/>
    <w:rsid w:val="7E4F7681"/>
    <w:rsid w:val="7E5BA8EF"/>
    <w:rsid w:val="7E7BC8B7"/>
    <w:rsid w:val="7E7BEF65"/>
    <w:rsid w:val="7E7BFAA4"/>
    <w:rsid w:val="7EAF5F8C"/>
    <w:rsid w:val="7EB93B0F"/>
    <w:rsid w:val="7ED7BF0B"/>
    <w:rsid w:val="7EEEE1A7"/>
    <w:rsid w:val="7EEF49DB"/>
    <w:rsid w:val="7EF62285"/>
    <w:rsid w:val="7EFD1B01"/>
    <w:rsid w:val="7EFDF233"/>
    <w:rsid w:val="7EFF44F4"/>
    <w:rsid w:val="7EFF554A"/>
    <w:rsid w:val="7F2F37E0"/>
    <w:rsid w:val="7F3B7035"/>
    <w:rsid w:val="7F3BA12C"/>
    <w:rsid w:val="7F3C76C2"/>
    <w:rsid w:val="7F3E5A2E"/>
    <w:rsid w:val="7F3F4F98"/>
    <w:rsid w:val="7F5D97B1"/>
    <w:rsid w:val="7F5E7205"/>
    <w:rsid w:val="7F5FF3A5"/>
    <w:rsid w:val="7F6C9D1A"/>
    <w:rsid w:val="7F77A5D9"/>
    <w:rsid w:val="7F77A90A"/>
    <w:rsid w:val="7F79F2A6"/>
    <w:rsid w:val="7F7B0E32"/>
    <w:rsid w:val="7F7B90E9"/>
    <w:rsid w:val="7F7B95B8"/>
    <w:rsid w:val="7F7F72F4"/>
    <w:rsid w:val="7F7F7326"/>
    <w:rsid w:val="7F7FC8D2"/>
    <w:rsid w:val="7F80E637"/>
    <w:rsid w:val="7F9B21E7"/>
    <w:rsid w:val="7FAC214F"/>
    <w:rsid w:val="7FAFC980"/>
    <w:rsid w:val="7FB59347"/>
    <w:rsid w:val="7FB6DA54"/>
    <w:rsid w:val="7FBC7A25"/>
    <w:rsid w:val="7FBD2031"/>
    <w:rsid w:val="7FBFAF0F"/>
    <w:rsid w:val="7FC4AF4D"/>
    <w:rsid w:val="7FCF7B39"/>
    <w:rsid w:val="7FCFEF1C"/>
    <w:rsid w:val="7FDC9DB9"/>
    <w:rsid w:val="7FDD1E0E"/>
    <w:rsid w:val="7FDF595F"/>
    <w:rsid w:val="7FE292B5"/>
    <w:rsid w:val="7FEDD35B"/>
    <w:rsid w:val="7FEF4621"/>
    <w:rsid w:val="7FF32FDC"/>
    <w:rsid w:val="7FF5C308"/>
    <w:rsid w:val="7FF691F8"/>
    <w:rsid w:val="7FF7DC27"/>
    <w:rsid w:val="7FF7E035"/>
    <w:rsid w:val="7FF9FB13"/>
    <w:rsid w:val="7FFBCF37"/>
    <w:rsid w:val="7FFBED3B"/>
    <w:rsid w:val="7FFD40E6"/>
    <w:rsid w:val="7FFE44DF"/>
    <w:rsid w:val="7FFF3AAC"/>
    <w:rsid w:val="7FFF5484"/>
    <w:rsid w:val="7FFF817F"/>
    <w:rsid w:val="7FFFBF68"/>
    <w:rsid w:val="7FFFE104"/>
    <w:rsid w:val="7FFFFC6B"/>
    <w:rsid w:val="8BFBBD4B"/>
    <w:rsid w:val="8CF9384A"/>
    <w:rsid w:val="8D3F7283"/>
    <w:rsid w:val="9566596F"/>
    <w:rsid w:val="97E74F44"/>
    <w:rsid w:val="97EE2F1E"/>
    <w:rsid w:val="97FF0C7F"/>
    <w:rsid w:val="9B6BD6E0"/>
    <w:rsid w:val="9BB707AB"/>
    <w:rsid w:val="9BBBED46"/>
    <w:rsid w:val="9BF84DDF"/>
    <w:rsid w:val="9DF67F77"/>
    <w:rsid w:val="9DF90898"/>
    <w:rsid w:val="9DFD187D"/>
    <w:rsid w:val="9DFEE0B9"/>
    <w:rsid w:val="9E5E84BB"/>
    <w:rsid w:val="9EBF1884"/>
    <w:rsid w:val="9EDD82B6"/>
    <w:rsid w:val="9EF3FC7E"/>
    <w:rsid w:val="9EF680BA"/>
    <w:rsid w:val="9EFD944C"/>
    <w:rsid w:val="9FEA17ED"/>
    <w:rsid w:val="9FF90E48"/>
    <w:rsid w:val="9FFD9C6A"/>
    <w:rsid w:val="9FFFFFC3"/>
    <w:rsid w:val="A29AF0FD"/>
    <w:rsid w:val="A77F2C39"/>
    <w:rsid w:val="A7BF234D"/>
    <w:rsid w:val="ABEFCBB4"/>
    <w:rsid w:val="ABF767E7"/>
    <w:rsid w:val="ABFEFFCD"/>
    <w:rsid w:val="AD35713C"/>
    <w:rsid w:val="ADFE1626"/>
    <w:rsid w:val="ADFF8DBC"/>
    <w:rsid w:val="ADFFC507"/>
    <w:rsid w:val="AEB77B5C"/>
    <w:rsid w:val="AFD5BBFC"/>
    <w:rsid w:val="AFDF7C83"/>
    <w:rsid w:val="AFEA0625"/>
    <w:rsid w:val="AFFF693F"/>
    <w:rsid w:val="AFFF9B04"/>
    <w:rsid w:val="AFFFAE6D"/>
    <w:rsid w:val="B24DD7E7"/>
    <w:rsid w:val="B2FE87A3"/>
    <w:rsid w:val="B3558C84"/>
    <w:rsid w:val="B367E1B6"/>
    <w:rsid w:val="B3D72D2D"/>
    <w:rsid w:val="B3F70D1C"/>
    <w:rsid w:val="B5B7D23D"/>
    <w:rsid w:val="B5FBDF73"/>
    <w:rsid w:val="B5FFC982"/>
    <w:rsid w:val="B6FD7DEE"/>
    <w:rsid w:val="B76FBC6F"/>
    <w:rsid w:val="B7F60A7C"/>
    <w:rsid w:val="B7F72D30"/>
    <w:rsid w:val="B8371534"/>
    <w:rsid w:val="B9BA2153"/>
    <w:rsid w:val="BABF7D9F"/>
    <w:rsid w:val="BABFE703"/>
    <w:rsid w:val="BAC726C9"/>
    <w:rsid w:val="BB3C1569"/>
    <w:rsid w:val="BB730707"/>
    <w:rsid w:val="BBD7959A"/>
    <w:rsid w:val="BBDA8C9A"/>
    <w:rsid w:val="BBDE2B0E"/>
    <w:rsid w:val="BBEF9EDC"/>
    <w:rsid w:val="BBEFD59C"/>
    <w:rsid w:val="BBF356E4"/>
    <w:rsid w:val="BBFAD98E"/>
    <w:rsid w:val="BC6FB6A3"/>
    <w:rsid w:val="BCBBE1C3"/>
    <w:rsid w:val="BCD77C71"/>
    <w:rsid w:val="BCEEB57A"/>
    <w:rsid w:val="BD6F07D3"/>
    <w:rsid w:val="BD7F1ED7"/>
    <w:rsid w:val="BDB3D3AF"/>
    <w:rsid w:val="BDF5B2E4"/>
    <w:rsid w:val="BDFF482B"/>
    <w:rsid w:val="BE1DF7C7"/>
    <w:rsid w:val="BE6143C7"/>
    <w:rsid w:val="BE7AFC11"/>
    <w:rsid w:val="BE7F199D"/>
    <w:rsid w:val="BEDECB2B"/>
    <w:rsid w:val="BEEDE000"/>
    <w:rsid w:val="BEF8A13E"/>
    <w:rsid w:val="BEFF782C"/>
    <w:rsid w:val="BF371F8B"/>
    <w:rsid w:val="BF3E26FA"/>
    <w:rsid w:val="BF3F08FC"/>
    <w:rsid w:val="BF6B27EF"/>
    <w:rsid w:val="BF76B060"/>
    <w:rsid w:val="BF7C3899"/>
    <w:rsid w:val="BF7F9DA2"/>
    <w:rsid w:val="BF921542"/>
    <w:rsid w:val="BF9ACFAA"/>
    <w:rsid w:val="BF9E7599"/>
    <w:rsid w:val="BF9FFABD"/>
    <w:rsid w:val="BFB49723"/>
    <w:rsid w:val="BFC59312"/>
    <w:rsid w:val="BFDD16F3"/>
    <w:rsid w:val="BFDFB111"/>
    <w:rsid w:val="BFF4B3DE"/>
    <w:rsid w:val="BFF5429A"/>
    <w:rsid w:val="BFFBAC6F"/>
    <w:rsid w:val="BFFD93A6"/>
    <w:rsid w:val="C1DA101C"/>
    <w:rsid w:val="C2ABA186"/>
    <w:rsid w:val="C3F9F4CD"/>
    <w:rsid w:val="C8EEA826"/>
    <w:rsid w:val="CBEE5BBB"/>
    <w:rsid w:val="CDD8A3F5"/>
    <w:rsid w:val="CEFF9724"/>
    <w:rsid w:val="D3E59B1A"/>
    <w:rsid w:val="D3FED574"/>
    <w:rsid w:val="D71DEC6F"/>
    <w:rsid w:val="D72F91C8"/>
    <w:rsid w:val="D73F3335"/>
    <w:rsid w:val="D7797A13"/>
    <w:rsid w:val="D7AA1917"/>
    <w:rsid w:val="D7BF89ED"/>
    <w:rsid w:val="D7FA3C09"/>
    <w:rsid w:val="D8A7860D"/>
    <w:rsid w:val="D9A29F4D"/>
    <w:rsid w:val="D9DD7170"/>
    <w:rsid w:val="D9FDF590"/>
    <w:rsid w:val="DA7F7AB8"/>
    <w:rsid w:val="DAB3F1ED"/>
    <w:rsid w:val="DB2BC2E7"/>
    <w:rsid w:val="DB370857"/>
    <w:rsid w:val="DB53BE3C"/>
    <w:rsid w:val="DB5EB8CA"/>
    <w:rsid w:val="DBDA7597"/>
    <w:rsid w:val="DBFB6B39"/>
    <w:rsid w:val="DC3D0EF0"/>
    <w:rsid w:val="DCBC796C"/>
    <w:rsid w:val="DDDD3403"/>
    <w:rsid w:val="DDF8C857"/>
    <w:rsid w:val="DDFD6EBF"/>
    <w:rsid w:val="DDFE8463"/>
    <w:rsid w:val="DDFF78A0"/>
    <w:rsid w:val="DECB8A19"/>
    <w:rsid w:val="DEED7486"/>
    <w:rsid w:val="DEFD05D4"/>
    <w:rsid w:val="DF3A9508"/>
    <w:rsid w:val="DF44A73E"/>
    <w:rsid w:val="DF59E368"/>
    <w:rsid w:val="DF5B0097"/>
    <w:rsid w:val="DF62A041"/>
    <w:rsid w:val="DF6B1624"/>
    <w:rsid w:val="DF7709DF"/>
    <w:rsid w:val="DF7AF756"/>
    <w:rsid w:val="DF7BCABA"/>
    <w:rsid w:val="DF7EDC0B"/>
    <w:rsid w:val="DF9737CD"/>
    <w:rsid w:val="DF9E4A85"/>
    <w:rsid w:val="DFB229AE"/>
    <w:rsid w:val="DFC0714C"/>
    <w:rsid w:val="DFF97924"/>
    <w:rsid w:val="DFFA78D6"/>
    <w:rsid w:val="DFFBBECA"/>
    <w:rsid w:val="DFFBF00A"/>
    <w:rsid w:val="DFFD67EE"/>
    <w:rsid w:val="DFFD7637"/>
    <w:rsid w:val="DFFD9BD4"/>
    <w:rsid w:val="DFFF57AE"/>
    <w:rsid w:val="DFFF9AD1"/>
    <w:rsid w:val="DFFFA73A"/>
    <w:rsid w:val="E317E6D4"/>
    <w:rsid w:val="E37FA38E"/>
    <w:rsid w:val="E3FD4202"/>
    <w:rsid w:val="E4DBA871"/>
    <w:rsid w:val="E5F52610"/>
    <w:rsid w:val="E5FE1C32"/>
    <w:rsid w:val="E6BD9A00"/>
    <w:rsid w:val="E6DA20CE"/>
    <w:rsid w:val="E6FC24E3"/>
    <w:rsid w:val="E763DCB4"/>
    <w:rsid w:val="E7678449"/>
    <w:rsid w:val="E7BE61E0"/>
    <w:rsid w:val="E9CFAAA9"/>
    <w:rsid w:val="E9FF8444"/>
    <w:rsid w:val="EA78521D"/>
    <w:rsid w:val="EAFF40CF"/>
    <w:rsid w:val="EAFF5AF1"/>
    <w:rsid w:val="EBDF93F8"/>
    <w:rsid w:val="EBFB9AFF"/>
    <w:rsid w:val="EBFFB8DD"/>
    <w:rsid w:val="ECBDC96F"/>
    <w:rsid w:val="ED6F3B72"/>
    <w:rsid w:val="EDBE0560"/>
    <w:rsid w:val="EDD6B2C6"/>
    <w:rsid w:val="EDD791D7"/>
    <w:rsid w:val="EDDFB515"/>
    <w:rsid w:val="EDFAB5BF"/>
    <w:rsid w:val="EDFF5033"/>
    <w:rsid w:val="EE3B946D"/>
    <w:rsid w:val="EEABEC78"/>
    <w:rsid w:val="EEAEF174"/>
    <w:rsid w:val="EEFD217B"/>
    <w:rsid w:val="EEFF9C85"/>
    <w:rsid w:val="EF3DCD1E"/>
    <w:rsid w:val="EF3F50A5"/>
    <w:rsid w:val="EF3F619B"/>
    <w:rsid w:val="EF5DA376"/>
    <w:rsid w:val="EF5E6E64"/>
    <w:rsid w:val="EF5F89BF"/>
    <w:rsid w:val="EF5FCD6E"/>
    <w:rsid w:val="EF71C1D5"/>
    <w:rsid w:val="EFAD7166"/>
    <w:rsid w:val="EFD6649C"/>
    <w:rsid w:val="EFD7E3FC"/>
    <w:rsid w:val="EFED2AC1"/>
    <w:rsid w:val="EFEF4CF5"/>
    <w:rsid w:val="EFFB48EC"/>
    <w:rsid w:val="EFFDB602"/>
    <w:rsid w:val="EFFDDC8C"/>
    <w:rsid w:val="EFFF71EE"/>
    <w:rsid w:val="EFFFB504"/>
    <w:rsid w:val="F1BDA1A2"/>
    <w:rsid w:val="F1E94704"/>
    <w:rsid w:val="F1FF764E"/>
    <w:rsid w:val="F2F57D58"/>
    <w:rsid w:val="F2FFAD4C"/>
    <w:rsid w:val="F3FF4C14"/>
    <w:rsid w:val="F45F3CFD"/>
    <w:rsid w:val="F4B7DAF4"/>
    <w:rsid w:val="F4FF993E"/>
    <w:rsid w:val="F55B1D87"/>
    <w:rsid w:val="F566597D"/>
    <w:rsid w:val="F59DD130"/>
    <w:rsid w:val="F5C9A962"/>
    <w:rsid w:val="F5EE997D"/>
    <w:rsid w:val="F5FD7D0F"/>
    <w:rsid w:val="F6D5009E"/>
    <w:rsid w:val="F6EFA575"/>
    <w:rsid w:val="F7758CED"/>
    <w:rsid w:val="F77DCEB0"/>
    <w:rsid w:val="F77DD918"/>
    <w:rsid w:val="F79D1F87"/>
    <w:rsid w:val="F79FBA43"/>
    <w:rsid w:val="F7AFA2F4"/>
    <w:rsid w:val="F7AFBC41"/>
    <w:rsid w:val="F7DD0ABB"/>
    <w:rsid w:val="F7E946F4"/>
    <w:rsid w:val="F7F33029"/>
    <w:rsid w:val="F7F7F479"/>
    <w:rsid w:val="F7FE4F4B"/>
    <w:rsid w:val="F7FF8BBC"/>
    <w:rsid w:val="F87B6653"/>
    <w:rsid w:val="F8B7A522"/>
    <w:rsid w:val="F93C71A2"/>
    <w:rsid w:val="F97F411D"/>
    <w:rsid w:val="F9F51334"/>
    <w:rsid w:val="F9FBA3E8"/>
    <w:rsid w:val="F9FDF34A"/>
    <w:rsid w:val="F9FF4AAD"/>
    <w:rsid w:val="FA2BD959"/>
    <w:rsid w:val="FABD1623"/>
    <w:rsid w:val="FABEB149"/>
    <w:rsid w:val="FAEB4362"/>
    <w:rsid w:val="FAEEE1B9"/>
    <w:rsid w:val="FAFB3B28"/>
    <w:rsid w:val="FAFDADAD"/>
    <w:rsid w:val="FAFDDBDE"/>
    <w:rsid w:val="FB631F50"/>
    <w:rsid w:val="FBADC955"/>
    <w:rsid w:val="FBAF16C3"/>
    <w:rsid w:val="FBBBABF4"/>
    <w:rsid w:val="FBD5DAF4"/>
    <w:rsid w:val="FBDFCE08"/>
    <w:rsid w:val="FBE70934"/>
    <w:rsid w:val="FBEFCDED"/>
    <w:rsid w:val="FBF3ABFF"/>
    <w:rsid w:val="FBFA4B5D"/>
    <w:rsid w:val="FBFF3C06"/>
    <w:rsid w:val="FC6E2BE7"/>
    <w:rsid w:val="FC6F4908"/>
    <w:rsid w:val="FCC4798E"/>
    <w:rsid w:val="FCFDB10E"/>
    <w:rsid w:val="FD27F5EA"/>
    <w:rsid w:val="FD6B6C53"/>
    <w:rsid w:val="FD7749D0"/>
    <w:rsid w:val="FDBB0201"/>
    <w:rsid w:val="FDBF2863"/>
    <w:rsid w:val="FDC994C3"/>
    <w:rsid w:val="FDDFDB80"/>
    <w:rsid w:val="FDE91F80"/>
    <w:rsid w:val="FDEF1ED5"/>
    <w:rsid w:val="FDEFDE7D"/>
    <w:rsid w:val="FDF36DA1"/>
    <w:rsid w:val="FDF5DAD7"/>
    <w:rsid w:val="FDF75434"/>
    <w:rsid w:val="FDFD2516"/>
    <w:rsid w:val="FDFD67F7"/>
    <w:rsid w:val="FDFE04BB"/>
    <w:rsid w:val="FDFE13D2"/>
    <w:rsid w:val="FDFF23EA"/>
    <w:rsid w:val="FDFFBC26"/>
    <w:rsid w:val="FE3F3DA7"/>
    <w:rsid w:val="FE555E06"/>
    <w:rsid w:val="FE5AA36A"/>
    <w:rsid w:val="FE97DB59"/>
    <w:rsid w:val="FE9B2C54"/>
    <w:rsid w:val="FEB757C6"/>
    <w:rsid w:val="FEBA95E0"/>
    <w:rsid w:val="FEBB6D37"/>
    <w:rsid w:val="FEDF2D85"/>
    <w:rsid w:val="FEDFBDEF"/>
    <w:rsid w:val="FEE75B00"/>
    <w:rsid w:val="FEEE959E"/>
    <w:rsid w:val="FEEF7D78"/>
    <w:rsid w:val="FEEF977C"/>
    <w:rsid w:val="FEF734CA"/>
    <w:rsid w:val="FEFFAE91"/>
    <w:rsid w:val="FEFFE5C0"/>
    <w:rsid w:val="FF2771DF"/>
    <w:rsid w:val="FF2E0E38"/>
    <w:rsid w:val="FF2E8074"/>
    <w:rsid w:val="FF3EB845"/>
    <w:rsid w:val="FF3F6F8F"/>
    <w:rsid w:val="FF6719B2"/>
    <w:rsid w:val="FF732AE8"/>
    <w:rsid w:val="FF77B337"/>
    <w:rsid w:val="FF7E153E"/>
    <w:rsid w:val="FF7FA5EE"/>
    <w:rsid w:val="FF7FE232"/>
    <w:rsid w:val="FF8F6DB2"/>
    <w:rsid w:val="FF95AC48"/>
    <w:rsid w:val="FF9740B3"/>
    <w:rsid w:val="FF9E2B9E"/>
    <w:rsid w:val="FFADBA81"/>
    <w:rsid w:val="FFB3DCB0"/>
    <w:rsid w:val="FFBA5825"/>
    <w:rsid w:val="FFBB8392"/>
    <w:rsid w:val="FFBBCE5E"/>
    <w:rsid w:val="FFBDCF35"/>
    <w:rsid w:val="FFBE2C20"/>
    <w:rsid w:val="FFBF29CF"/>
    <w:rsid w:val="FFBF881E"/>
    <w:rsid w:val="FFBFB5EC"/>
    <w:rsid w:val="FFBFC490"/>
    <w:rsid w:val="FFBFED28"/>
    <w:rsid w:val="FFC41B7A"/>
    <w:rsid w:val="FFC8C267"/>
    <w:rsid w:val="FFD579F8"/>
    <w:rsid w:val="FFD94CE3"/>
    <w:rsid w:val="FFDB0A2B"/>
    <w:rsid w:val="FFDDB258"/>
    <w:rsid w:val="FFDF50A9"/>
    <w:rsid w:val="FFE59595"/>
    <w:rsid w:val="FFE79369"/>
    <w:rsid w:val="FFEF6A20"/>
    <w:rsid w:val="FFF73033"/>
    <w:rsid w:val="FFF785CE"/>
    <w:rsid w:val="FFF79A71"/>
    <w:rsid w:val="FFF7A6EA"/>
    <w:rsid w:val="FFF7FA9D"/>
    <w:rsid w:val="FFFBDC2F"/>
    <w:rsid w:val="FFFD3EFE"/>
    <w:rsid w:val="FFFE549B"/>
    <w:rsid w:val="FFFE5D8E"/>
    <w:rsid w:val="FFFF14CA"/>
    <w:rsid w:val="FFFF52EB"/>
    <w:rsid w:val="FFFF7FE3"/>
    <w:rsid w:val="FFFFF6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numPr>
        <w:ilvl w:val="0"/>
        <w:numId w:val="1"/>
      </w:numPr>
      <w:spacing w:line="560" w:lineRule="exact"/>
      <w:outlineLvl w:val="0"/>
    </w:pPr>
    <w:rPr>
      <w:rFonts w:eastAsia="黑体"/>
      <w:kern w:val="44"/>
    </w:rPr>
  </w:style>
  <w:style w:type="paragraph" w:styleId="4">
    <w:name w:val="heading 2"/>
    <w:basedOn w:val="1"/>
    <w:next w:val="1"/>
    <w:link w:val="22"/>
    <w:unhideWhenUsed/>
    <w:qFormat/>
    <w:uiPriority w:val="0"/>
    <w:pPr>
      <w:numPr>
        <w:ilvl w:val="0"/>
        <w:numId w:val="2"/>
      </w:numPr>
      <w:ind w:firstLine="0" w:firstLineChars="0"/>
      <w:jc w:val="left"/>
      <w:outlineLvl w:val="1"/>
    </w:pPr>
    <w:rPr>
      <w:rFonts w:hint="eastAsia" w:eastAsia="楷体_GB2312" w:cs="Times New Roman"/>
      <w:b/>
      <w:bCs/>
      <w:kern w:val="0"/>
      <w:szCs w:val="36"/>
    </w:rPr>
  </w:style>
  <w:style w:type="paragraph" w:styleId="5">
    <w:name w:val="heading 3"/>
    <w:basedOn w:val="1"/>
    <w:next w:val="1"/>
    <w:unhideWhenUsed/>
    <w:qFormat/>
    <w:uiPriority w:val="0"/>
    <w:pPr>
      <w:keepNext/>
      <w:keepLines/>
      <w:numPr>
        <w:ilvl w:val="0"/>
        <w:numId w:val="3"/>
      </w:numPr>
      <w:outlineLvl w:val="2"/>
    </w:pPr>
    <w:rPr>
      <w:b/>
    </w:rPr>
  </w:style>
  <w:style w:type="paragraph" w:styleId="6">
    <w:name w:val="heading 4"/>
    <w:basedOn w:val="1"/>
    <w:next w:val="1"/>
    <w:unhideWhenUsed/>
    <w:qFormat/>
    <w:uiPriority w:val="0"/>
    <w:pPr>
      <w:keepNext/>
      <w:keepLines/>
      <w:spacing w:line="560" w:lineRule="exact"/>
      <w:outlineLvl w:val="3"/>
    </w:pPr>
    <w:rPr>
      <w:rFonts w:ascii="Arial" w:hAnsi="Arial"/>
      <w:b/>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qFormat/>
    <w:uiPriority w:val="99"/>
  </w:style>
  <w:style w:type="paragraph" w:styleId="7">
    <w:name w:val="annotation text"/>
    <w:basedOn w:val="1"/>
    <w:link w:val="25"/>
    <w:qFormat/>
    <w:uiPriority w:val="0"/>
    <w:pPr>
      <w:jc w:val="left"/>
    </w:pPr>
  </w:style>
  <w:style w:type="paragraph" w:styleId="8">
    <w:name w:val="Body Text"/>
    <w:basedOn w:val="1"/>
    <w:qFormat/>
    <w:uiPriority w:val="0"/>
  </w:style>
  <w:style w:type="paragraph" w:styleId="9">
    <w:name w:val="Body Text Indent"/>
    <w:basedOn w:val="1"/>
    <w:link w:val="29"/>
    <w:qFormat/>
    <w:uiPriority w:val="99"/>
  </w:style>
  <w:style w:type="paragraph" w:styleId="10">
    <w:name w:val="Balloon Text"/>
    <w:basedOn w:val="1"/>
    <w:link w:val="32"/>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7"/>
    <w:next w:val="7"/>
    <w:link w:val="26"/>
    <w:qFormat/>
    <w:uiPriority w:val="0"/>
    <w:rPr>
      <w:b/>
      <w:bCs/>
    </w:rPr>
  </w:style>
  <w:style w:type="paragraph" w:styleId="16">
    <w:name w:val="Body Text First Indent 2"/>
    <w:basedOn w:val="9"/>
    <w:next w:val="1"/>
    <w:link w:val="27"/>
    <w:qFormat/>
    <w:uiPriority w:val="0"/>
    <w:pPr>
      <w:ind w:firstLine="420"/>
    </w:pPr>
  </w:style>
  <w:style w:type="character" w:styleId="19">
    <w:name w:val="Emphasis"/>
    <w:basedOn w:val="18"/>
    <w:qFormat/>
    <w:uiPriority w:val="0"/>
    <w:rPr>
      <w:i/>
    </w:rPr>
  </w:style>
  <w:style w:type="character" w:styleId="20">
    <w:name w:val="annotation reference"/>
    <w:basedOn w:val="18"/>
    <w:qFormat/>
    <w:uiPriority w:val="0"/>
    <w:rPr>
      <w:sz w:val="21"/>
      <w:szCs w:val="21"/>
    </w:rPr>
  </w:style>
  <w:style w:type="paragraph" w:customStyle="1" w:styleId="21">
    <w:name w:val="列出段落1"/>
    <w:basedOn w:val="1"/>
    <w:qFormat/>
    <w:uiPriority w:val="99"/>
    <w:pPr>
      <w:ind w:firstLine="420"/>
    </w:pPr>
  </w:style>
  <w:style w:type="character" w:customStyle="1" w:styleId="22">
    <w:name w:val="标题 2 Char"/>
    <w:basedOn w:val="18"/>
    <w:link w:val="4"/>
    <w:qFormat/>
    <w:uiPriority w:val="0"/>
    <w:rPr>
      <w:rFonts w:eastAsia="楷体_GB2312"/>
      <w:b/>
      <w:bCs/>
      <w:sz w:val="32"/>
      <w:szCs w:val="36"/>
    </w:rPr>
  </w:style>
  <w:style w:type="paragraph" w:customStyle="1" w:styleId="23">
    <w:name w:val="修订1"/>
    <w:hidden/>
    <w:semiHidden/>
    <w:qFormat/>
    <w:uiPriority w:val="99"/>
    <w:rPr>
      <w:rFonts w:ascii="Times New Roman" w:hAnsi="Times New Roman" w:eastAsia="仿宋_GB2312" w:cstheme="minorBidi"/>
      <w:kern w:val="2"/>
      <w:sz w:val="32"/>
      <w:szCs w:val="22"/>
      <w:lang w:val="en-US" w:eastAsia="zh-CN" w:bidi="ar-SA"/>
    </w:rPr>
  </w:style>
  <w:style w:type="character" w:customStyle="1" w:styleId="24">
    <w:name w:val="页脚 Char"/>
    <w:basedOn w:val="18"/>
    <w:link w:val="11"/>
    <w:qFormat/>
    <w:uiPriority w:val="99"/>
    <w:rPr>
      <w:rFonts w:eastAsia="仿宋_GB2312" w:cstheme="minorBidi"/>
      <w:kern w:val="2"/>
      <w:sz w:val="18"/>
      <w:szCs w:val="22"/>
    </w:rPr>
  </w:style>
  <w:style w:type="character" w:customStyle="1" w:styleId="25">
    <w:name w:val="批注文字 Char"/>
    <w:basedOn w:val="18"/>
    <w:link w:val="7"/>
    <w:qFormat/>
    <w:uiPriority w:val="0"/>
    <w:rPr>
      <w:rFonts w:eastAsia="仿宋_GB2312" w:cstheme="minorBidi"/>
      <w:kern w:val="2"/>
      <w:sz w:val="32"/>
      <w:szCs w:val="22"/>
    </w:rPr>
  </w:style>
  <w:style w:type="character" w:customStyle="1" w:styleId="26">
    <w:name w:val="批注主题 Char"/>
    <w:basedOn w:val="25"/>
    <w:link w:val="15"/>
    <w:qFormat/>
    <w:uiPriority w:val="0"/>
    <w:rPr>
      <w:rFonts w:eastAsia="仿宋_GB2312" w:cstheme="minorBidi"/>
      <w:b/>
      <w:bCs/>
      <w:kern w:val="2"/>
      <w:sz w:val="32"/>
      <w:szCs w:val="22"/>
    </w:rPr>
  </w:style>
  <w:style w:type="character" w:customStyle="1" w:styleId="27">
    <w:name w:val="正文首行缩进 2 Char"/>
    <w:basedOn w:val="18"/>
    <w:link w:val="16"/>
    <w:qFormat/>
    <w:uiPriority w:val="0"/>
    <w:rPr>
      <w:rFonts w:eastAsia="仿宋_GB2312" w:cstheme="minorBidi"/>
      <w:kern w:val="2"/>
      <w:sz w:val="32"/>
      <w:szCs w:val="22"/>
    </w:rPr>
  </w:style>
  <w:style w:type="character" w:customStyle="1" w:styleId="28">
    <w:name w:val="ediassetstextcon"/>
    <w:basedOn w:val="18"/>
    <w:qFormat/>
    <w:uiPriority w:val="0"/>
  </w:style>
  <w:style w:type="character" w:customStyle="1" w:styleId="29">
    <w:name w:val="正文文本缩进 Char"/>
    <w:basedOn w:val="18"/>
    <w:link w:val="9"/>
    <w:qFormat/>
    <w:uiPriority w:val="99"/>
    <w:rPr>
      <w:rFonts w:eastAsia="仿宋_GB2312" w:cstheme="minorBidi"/>
      <w:kern w:val="2"/>
      <w:sz w:val="32"/>
      <w:szCs w:val="22"/>
    </w:rPr>
  </w:style>
  <w:style w:type="paragraph" w:customStyle="1" w:styleId="30">
    <w:name w:val="p1"/>
    <w:basedOn w:val="1"/>
    <w:unhideWhenUsed/>
    <w:qFormat/>
    <w:uiPriority w:val="0"/>
    <w:pPr>
      <w:ind w:firstLine="0" w:firstLineChars="0"/>
      <w:jc w:val="left"/>
    </w:pPr>
    <w:rPr>
      <w:rFonts w:ascii="Helvetica Neue" w:hAnsi="Helvetica Neue" w:eastAsia="Helvetica Neue"/>
      <w:kern w:val="0"/>
      <w:sz w:val="50"/>
      <w:szCs w:val="50"/>
    </w:rPr>
  </w:style>
  <w:style w:type="character" w:customStyle="1" w:styleId="31">
    <w:name w:val="页眉 Char"/>
    <w:basedOn w:val="18"/>
    <w:link w:val="12"/>
    <w:qFormat/>
    <w:uiPriority w:val="0"/>
    <w:rPr>
      <w:rFonts w:eastAsia="仿宋_GB2312" w:cstheme="minorBidi"/>
      <w:kern w:val="2"/>
      <w:sz w:val="18"/>
      <w:szCs w:val="22"/>
    </w:rPr>
  </w:style>
  <w:style w:type="character" w:customStyle="1" w:styleId="32">
    <w:name w:val="批注框文本 Char"/>
    <w:basedOn w:val="18"/>
    <w:link w:val="10"/>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3-07-20T23:26:56"/>
    </inkml:context>
    <inkml:brush xml:id="br0">
      <inkml:brushProperty name="width" value="0.0146666681393981" units="cm"/>
      <inkml:brushProperty name="height" value="0.0146666681393981" units="cm"/>
      <inkml:brushProperty name="color" value="#f2395b"/>
      <inkml:brushProperty name="fitToCurve" value="1"/>
      <inkml:brushProperty name="ignorePressure" value="0"/>
    </inkml:brush>
  </inkml:definitions>
  <inkml:trace contextRef="#ctx0" brushRef="#br0">1037 128330 999,'-54'-3'0,"7"-8"0,7-7 0,8-7 0,7 3-6,7 15-12,7 14-12,7 15-12</inkml:trace>
</inkml:ink>
</file>

<file path=customXml/item3.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3-07-20T23:26:56"/>
    </inkml:context>
    <inkml:brush xml:id="br0">
      <inkml:brushProperty name="width" value="0.0146666662767529" units="cm"/>
      <inkml:brushProperty name="height" value="0.0146666662767529" units="cm"/>
      <inkml:brushProperty name="color" value="#f2395b"/>
      <inkml:brushProperty name="fitToCurve" value="1"/>
      <inkml:brushProperty name="ignorePressure" value="0"/>
    </inkml:brush>
  </inkml:definitions>
  <inkml:trace contextRef="#ctx0" brushRef="#br0">81000 1.08795e+06 999,'-43'-4'-6,"17"-5"-12,15-7-12,16-5-12</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5E362-651C-4021-A709-328655B53429}">
  <ds:schemaRefs/>
</ds:datastoreItem>
</file>

<file path=customXml/itemProps3.xml><?xml version="1.0" encoding="utf-8"?>
<ds:datastoreItem xmlns:ds="http://schemas.openxmlformats.org/officeDocument/2006/customXml" ds:itemID="{F5DA736A-F512-4974-AE3B-63E99B61BD6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5386</Words>
  <Characters>5395</Characters>
  <Lines>38</Lines>
  <Paragraphs>10</Paragraphs>
  <TotalTime>2</TotalTime>
  <ScaleCrop>false</ScaleCrop>
  <LinksUpToDate>false</LinksUpToDate>
  <CharactersWithSpaces>5439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2021-10-14T11:06:00Z</dcterms:created>
  <dc:creator>Amazing</dc:creator>
  <cp:lastModifiedBy>青田县大数据发展中心文书</cp:lastModifiedBy>
  <cp:lastPrinted>2023-11-13T07:07:00Z</cp:lastPrinted>
  <dcterms:modified xsi:type="dcterms:W3CDTF">2023-11-23T06:05:30Z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2EB8AACDE2EE4ED98E635FFC3B2A308D_13</vt:lpwstr>
  </property>
</Properties>
</file>