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eastAsia="华文中宋" w:cs="Times New Roman"/>
          <w:b/>
          <w:sz w:val="32"/>
          <w:szCs w:val="32"/>
        </w:rPr>
      </w:pPr>
    </w:p>
    <w:p>
      <w:pPr>
        <w:adjustRightInd w:val="0"/>
        <w:snapToGrid w:val="0"/>
        <w:spacing w:line="640" w:lineRule="exact"/>
        <w:jc w:val="center"/>
        <w:outlineLvl w:val="0"/>
        <w:rPr>
          <w:rFonts w:eastAsia="方正小标宋简体" w:cs="Times New Roman"/>
          <w:bCs/>
          <w:sz w:val="44"/>
          <w:szCs w:val="32"/>
        </w:rPr>
      </w:pPr>
      <w:r>
        <w:rPr>
          <w:rFonts w:hint="eastAsia" w:eastAsia="方正小标宋简体" w:cs="Times New Roman"/>
          <w:bCs/>
          <w:sz w:val="44"/>
          <w:szCs w:val="32"/>
          <w:lang w:eastAsia="zh-CN"/>
        </w:rPr>
        <w:t>平阳</w:t>
      </w:r>
      <w:r>
        <w:rPr>
          <w:rFonts w:hint="eastAsia" w:eastAsia="方正小标宋简体" w:cs="Times New Roman"/>
          <w:bCs/>
          <w:sz w:val="44"/>
          <w:szCs w:val="32"/>
        </w:rPr>
        <w:t>水网建设规划编制说明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楷体_GB2312" w:cs="Times New Roman"/>
          <w:sz w:val="32"/>
          <w:szCs w:val="24"/>
          <w:lang w:val="en-US" w:eastAsia="zh-CN"/>
        </w:rPr>
      </w:pPr>
      <w:r>
        <w:rPr>
          <w:rFonts w:hint="default" w:ascii="Times New Roman" w:hAnsi="Times New Roman" w:eastAsia="楷体_GB2312" w:cs="Times New Roman"/>
          <w:sz w:val="32"/>
          <w:szCs w:val="24"/>
          <w:lang w:val="en-US" w:eastAsia="zh-CN"/>
        </w:rPr>
        <w:t>平阳县水利局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楷体_GB2312" w:cs="Times New Roman"/>
          <w:sz w:val="32"/>
          <w:szCs w:val="24"/>
          <w:lang w:val="en-US" w:eastAsia="zh-CN"/>
        </w:rPr>
      </w:pPr>
      <w:r>
        <w:rPr>
          <w:rFonts w:hint="default" w:ascii="Times New Roman" w:hAnsi="Times New Roman" w:eastAsia="楷体_GB2312" w:cs="Times New Roman"/>
          <w:sz w:val="32"/>
          <w:szCs w:val="24"/>
          <w:lang w:val="en-US" w:eastAsia="zh-CN"/>
        </w:rPr>
        <w:t>（202</w:t>
      </w:r>
      <w:r>
        <w:rPr>
          <w:rFonts w:hint="eastAsia" w:eastAsia="楷体_GB2312" w:cs="Times New Roman"/>
          <w:sz w:val="32"/>
          <w:szCs w:val="24"/>
          <w:lang w:val="en-US" w:eastAsia="zh-CN"/>
        </w:rPr>
        <w:t>4</w:t>
      </w:r>
      <w:r>
        <w:rPr>
          <w:rFonts w:hint="default" w:ascii="Times New Roman" w:hAnsi="Times New Roman" w:eastAsia="楷体_GB2312" w:cs="Times New Roman"/>
          <w:sz w:val="32"/>
          <w:szCs w:val="24"/>
          <w:lang w:val="en-US" w:eastAsia="zh-CN"/>
        </w:rPr>
        <w:t>年</w:t>
      </w:r>
      <w:r>
        <w:rPr>
          <w:rFonts w:hint="eastAsia" w:eastAsia="楷体_GB2312" w:cs="Times New Roman"/>
          <w:sz w:val="32"/>
          <w:szCs w:val="24"/>
          <w:lang w:val="en-US" w:eastAsia="zh-CN"/>
        </w:rPr>
        <w:t>3</w:t>
      </w:r>
      <w:r>
        <w:rPr>
          <w:rFonts w:hint="default" w:ascii="Times New Roman" w:hAnsi="Times New Roman" w:eastAsia="楷体_GB2312" w:cs="Times New Roman"/>
          <w:sz w:val="32"/>
          <w:szCs w:val="24"/>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24"/>
          <w:lang w:val="en-US" w:eastAsia="zh-CN"/>
        </w:rPr>
      </w:pPr>
    </w:p>
    <w:p>
      <w:pPr>
        <w:adjustRightInd w:val="0"/>
        <w:snapToGrid w:val="0"/>
        <w:spacing w:line="560" w:lineRule="exact"/>
        <w:ind w:firstLine="630" w:firstLineChars="200"/>
        <w:rPr>
          <w:rFonts w:eastAsia="仿宋" w:cs="Times New Roman"/>
          <w:sz w:val="32"/>
          <w:szCs w:val="32"/>
        </w:rPr>
      </w:pPr>
      <w:r>
        <w:rPr>
          <w:rFonts w:hint="eastAsia" w:eastAsia="仿宋" w:cs="Times New Roman"/>
          <w:sz w:val="32"/>
          <w:szCs w:val="32"/>
        </w:rPr>
        <w:t>为深入贯彻习近平总书记治水重要讲话指示批示精神，按照</w:t>
      </w:r>
      <w:r>
        <w:rPr>
          <w:rFonts w:hint="eastAsia" w:eastAsia="仿宋" w:cs="Times New Roman"/>
          <w:sz w:val="32"/>
          <w:szCs w:val="32"/>
          <w:lang w:val="en-US" w:eastAsia="zh-CN"/>
        </w:rPr>
        <w:t>水利部、省水利厅</w:t>
      </w:r>
      <w:r>
        <w:rPr>
          <w:rFonts w:hint="eastAsia" w:eastAsia="仿宋" w:cs="Times New Roman"/>
          <w:sz w:val="32"/>
          <w:szCs w:val="32"/>
        </w:rPr>
        <w:t>的有关决策部署，我</w:t>
      </w:r>
      <w:r>
        <w:rPr>
          <w:rFonts w:hint="eastAsia" w:eastAsia="仿宋" w:cs="Times New Roman"/>
          <w:sz w:val="32"/>
          <w:szCs w:val="32"/>
          <w:lang w:val="en-US" w:eastAsia="zh-CN"/>
        </w:rPr>
        <w:t>局</w:t>
      </w:r>
      <w:r>
        <w:rPr>
          <w:rFonts w:hint="eastAsia" w:eastAsia="仿宋" w:cs="Times New Roman"/>
          <w:sz w:val="32"/>
          <w:szCs w:val="32"/>
        </w:rPr>
        <w:t>组织编制了《</w:t>
      </w:r>
      <w:r>
        <w:rPr>
          <w:rFonts w:hint="eastAsia" w:eastAsia="仿宋" w:cs="Times New Roman"/>
          <w:sz w:val="32"/>
          <w:szCs w:val="32"/>
          <w:lang w:eastAsia="zh-CN"/>
        </w:rPr>
        <w:t>平阳</w:t>
      </w:r>
      <w:r>
        <w:rPr>
          <w:rFonts w:hint="eastAsia" w:eastAsia="仿宋" w:cs="Times New Roman"/>
          <w:sz w:val="32"/>
          <w:szCs w:val="32"/>
        </w:rPr>
        <w:t>水网建设规划</w:t>
      </w:r>
      <w:r>
        <w:rPr>
          <w:rFonts w:hint="eastAsia" w:eastAsia="仿宋" w:cs="Times New Roman"/>
          <w:sz w:val="32"/>
          <w:szCs w:val="32"/>
          <w:lang w:eastAsia="zh-CN"/>
        </w:rPr>
        <w:t>（</w:t>
      </w:r>
      <w:r>
        <w:rPr>
          <w:rFonts w:hint="eastAsia" w:eastAsia="仿宋" w:cs="Times New Roman"/>
          <w:sz w:val="32"/>
          <w:szCs w:val="32"/>
          <w:lang w:val="en-US" w:eastAsia="zh-CN"/>
        </w:rPr>
        <w:t>2023-2027年</w:t>
      </w:r>
      <w:r>
        <w:rPr>
          <w:rFonts w:hint="eastAsia" w:eastAsia="仿宋" w:cs="Times New Roman"/>
          <w:sz w:val="32"/>
          <w:szCs w:val="32"/>
          <w:lang w:eastAsia="zh-CN"/>
        </w:rPr>
        <w:t>）</w:t>
      </w:r>
      <w:r>
        <w:rPr>
          <w:rFonts w:hint="eastAsia" w:eastAsia="仿宋" w:cs="Times New Roman"/>
          <w:sz w:val="32"/>
          <w:szCs w:val="32"/>
        </w:rPr>
        <w:t>》（以下简称《规划》），</w:t>
      </w:r>
      <w:r>
        <w:rPr>
          <w:rFonts w:hint="eastAsia" w:eastAsia="仿宋" w:cs="Times New Roman"/>
          <w:sz w:val="32"/>
          <w:szCs w:val="32"/>
          <w:lang w:val="en-US" w:eastAsia="zh-CN"/>
        </w:rPr>
        <w:t>并</w:t>
      </w:r>
      <w:r>
        <w:rPr>
          <w:rFonts w:hint="eastAsia" w:eastAsia="仿宋" w:cs="Times New Roman"/>
          <w:sz w:val="32"/>
          <w:szCs w:val="32"/>
        </w:rPr>
        <w:t>经</w:t>
      </w:r>
      <w:r>
        <w:rPr>
          <w:rFonts w:hint="eastAsia" w:eastAsia="仿宋" w:cs="Times New Roman"/>
          <w:sz w:val="32"/>
          <w:szCs w:val="32"/>
          <w:lang w:val="en-US" w:eastAsia="zh-CN"/>
        </w:rPr>
        <w:t>省市两级</w:t>
      </w:r>
      <w:r>
        <w:rPr>
          <w:rFonts w:hint="eastAsia" w:eastAsia="仿宋" w:cs="Times New Roman"/>
          <w:sz w:val="32"/>
          <w:szCs w:val="32"/>
        </w:rPr>
        <w:t>审核、专家</w:t>
      </w:r>
      <w:r>
        <w:rPr>
          <w:rFonts w:hint="eastAsia" w:eastAsia="仿宋" w:cs="Times New Roman"/>
          <w:sz w:val="32"/>
          <w:szCs w:val="32"/>
          <w:lang w:val="en-US" w:eastAsia="zh-CN"/>
        </w:rPr>
        <w:t>审查、征求意见和合法性审查等程序</w:t>
      </w:r>
      <w:r>
        <w:rPr>
          <w:rFonts w:hint="eastAsia" w:eastAsia="仿宋" w:cs="Times New Roman"/>
          <w:sz w:val="32"/>
          <w:szCs w:val="32"/>
        </w:rPr>
        <w:t>，</w:t>
      </w:r>
      <w:r>
        <w:rPr>
          <w:rFonts w:hint="eastAsia" w:eastAsia="仿宋" w:cs="Times New Roman"/>
          <w:sz w:val="32"/>
          <w:szCs w:val="32"/>
          <w:lang w:val="en-US" w:eastAsia="zh-CN"/>
        </w:rPr>
        <w:t>现将有关情况说明如下</w:t>
      </w:r>
      <w:r>
        <w:rPr>
          <w:rFonts w:hint="eastAsia" w:eastAsia="仿宋" w:cs="Times New Roman"/>
          <w:sz w:val="32"/>
          <w:szCs w:val="32"/>
        </w:rPr>
        <w:t>。</w:t>
      </w:r>
    </w:p>
    <w:p>
      <w:pPr>
        <w:adjustRightInd w:val="0"/>
        <w:snapToGrid w:val="0"/>
        <w:spacing w:line="560" w:lineRule="exact"/>
        <w:ind w:firstLine="630" w:firstLineChars="200"/>
        <w:outlineLvl w:val="0"/>
        <w:rPr>
          <w:rFonts w:eastAsia="黑体" w:cs="Times New Roman"/>
          <w:sz w:val="32"/>
          <w:szCs w:val="32"/>
        </w:rPr>
      </w:pPr>
      <w:r>
        <w:rPr>
          <w:rFonts w:hint="eastAsia" w:eastAsia="黑体" w:cs="Times New Roman"/>
          <w:sz w:val="32"/>
          <w:szCs w:val="32"/>
        </w:rPr>
        <w:t>一、编制背景</w:t>
      </w:r>
    </w:p>
    <w:p>
      <w:pPr>
        <w:pStyle w:val="9"/>
        <w:ind w:firstLine="629"/>
        <w:rPr>
          <w:szCs w:val="28"/>
        </w:rPr>
      </w:pPr>
      <w:r>
        <w:t>2021</w:t>
      </w:r>
      <w:r>
        <w:rPr>
          <w:rFonts w:hint="eastAsia"/>
        </w:rPr>
        <w:t>年</w:t>
      </w:r>
      <w:r>
        <w:t>5</w:t>
      </w:r>
      <w:r>
        <w:rPr>
          <w:rFonts w:hint="eastAsia"/>
        </w:rPr>
        <w:t>月</w:t>
      </w:r>
      <w:r>
        <w:t>14</w:t>
      </w:r>
      <w:r>
        <w:rPr>
          <w:rFonts w:hint="eastAsia"/>
        </w:rPr>
        <w:t>日，习近平总书记在推进南水北调后续工程高质量发展座谈会上明确提出，加快构建国家水网。中央财经委员会第十一次会议提出要加强网络型基础设施建设，把联网、补网、强链作为建设的重点，着力提升网络效益。</w:t>
      </w:r>
      <w:r>
        <w:rPr>
          <w:rFonts w:hint="eastAsia"/>
          <w:lang w:val="en-US" w:eastAsia="zh-CN"/>
        </w:rPr>
        <w:t>党</w:t>
      </w:r>
      <w:r>
        <w:rPr>
          <w:rFonts w:hint="eastAsia"/>
        </w:rPr>
        <w:t>中央、国务院</w:t>
      </w:r>
      <w:r>
        <w:rPr>
          <w:rFonts w:hint="eastAsia"/>
          <w:lang w:val="en-US" w:eastAsia="zh-CN"/>
        </w:rPr>
        <w:t>印发</w:t>
      </w:r>
      <w:r>
        <w:rPr>
          <w:rFonts w:hint="eastAsia"/>
        </w:rPr>
        <w:t>《国家水网建设规划纲要》，对国家层面的水网建设作出了部署</w:t>
      </w:r>
      <w:r>
        <w:rPr>
          <w:rFonts w:hint="eastAsia"/>
          <w:lang w:eastAsia="zh-CN"/>
        </w:rPr>
        <w:t>。</w:t>
      </w:r>
      <w:r>
        <w:rPr>
          <w:rFonts w:hint="eastAsia"/>
        </w:rPr>
        <w:t>水利部出台《关于加快推进省级水网建设的指导意见》，鼓励各地争创省级水网先导区</w:t>
      </w:r>
      <w:r>
        <w:rPr>
          <w:rFonts w:hint="eastAsia"/>
          <w:lang w:eastAsia="zh-CN"/>
        </w:rPr>
        <w:t>，</w:t>
      </w:r>
      <w:r>
        <w:rPr>
          <w:rFonts w:hint="eastAsia"/>
          <w:lang w:val="en-US" w:eastAsia="zh-CN"/>
        </w:rPr>
        <w:t>因地制宜推进市县级水网规划编制，浙江省于2022年8月入选水利部第一批7个省级水网先导区之一。2023年4月，省水利厅出台《关于开展市、县级水网规划编制和先行区创建工作的通知》，组织各市县开展水网规划编制工作。</w:t>
      </w:r>
      <w:r>
        <w:rPr>
          <w:szCs w:val="28"/>
        </w:rPr>
        <w:t>为深入贯彻</w:t>
      </w:r>
      <w:r>
        <w:rPr>
          <w:rFonts w:hint="eastAsia"/>
          <w:szCs w:val="28"/>
          <w:lang w:val="en-US" w:eastAsia="zh-CN"/>
        </w:rPr>
        <w:t>上级有关要求</w:t>
      </w:r>
      <w:r>
        <w:rPr>
          <w:szCs w:val="28"/>
        </w:rPr>
        <w:t>，</w:t>
      </w:r>
      <w:r>
        <w:rPr>
          <w:rFonts w:hint="eastAsia"/>
          <w:szCs w:val="28"/>
          <w:lang w:eastAsia="zh-CN"/>
        </w:rPr>
        <w:t>平阳</w:t>
      </w:r>
      <w:r>
        <w:rPr>
          <w:rFonts w:hint="eastAsia"/>
          <w:szCs w:val="28"/>
          <w:lang w:val="en-US" w:eastAsia="zh-CN"/>
        </w:rPr>
        <w:t>需要</w:t>
      </w:r>
      <w:r>
        <w:rPr>
          <w:szCs w:val="28"/>
        </w:rPr>
        <w:t>对</w:t>
      </w:r>
      <w:r>
        <w:rPr>
          <w:rFonts w:hint="eastAsia"/>
          <w:szCs w:val="28"/>
          <w:lang w:val="en-US" w:eastAsia="zh-CN"/>
        </w:rPr>
        <w:t>县域</w:t>
      </w:r>
      <w:r>
        <w:rPr>
          <w:szCs w:val="28"/>
        </w:rPr>
        <w:t>水网总体格局、重点任务、重大工程和运行管理体制机制</w:t>
      </w:r>
      <w:r>
        <w:rPr>
          <w:rFonts w:hint="eastAsia"/>
          <w:szCs w:val="28"/>
          <w:lang w:val="en-US" w:eastAsia="zh-CN"/>
        </w:rPr>
        <w:t>等</w:t>
      </w:r>
      <w:r>
        <w:rPr>
          <w:szCs w:val="28"/>
        </w:rPr>
        <w:t>进行总体谋划。</w:t>
      </w:r>
    </w:p>
    <w:p>
      <w:pPr>
        <w:adjustRightInd w:val="0"/>
        <w:snapToGrid w:val="0"/>
        <w:spacing w:line="560" w:lineRule="exact"/>
        <w:ind w:firstLine="630" w:firstLineChars="200"/>
        <w:outlineLvl w:val="0"/>
        <w:rPr>
          <w:rFonts w:eastAsia="黑体" w:cs="Times New Roman"/>
          <w:sz w:val="32"/>
          <w:szCs w:val="32"/>
        </w:rPr>
      </w:pPr>
      <w:r>
        <w:rPr>
          <w:rFonts w:hint="eastAsia" w:eastAsia="黑体" w:cs="Times New Roman"/>
          <w:sz w:val="32"/>
          <w:szCs w:val="32"/>
        </w:rPr>
        <w:t>二、编制过程</w:t>
      </w:r>
    </w:p>
    <w:p>
      <w:pPr>
        <w:adjustRightInd w:val="0"/>
        <w:snapToGrid w:val="0"/>
        <w:spacing w:line="560" w:lineRule="exact"/>
        <w:ind w:firstLine="630" w:firstLineChars="200"/>
        <w:rPr>
          <w:rFonts w:hint="default" w:eastAsia="仿宋" w:cs="Times New Roman"/>
          <w:sz w:val="32"/>
          <w:szCs w:val="32"/>
          <w:lang w:val="en-US" w:eastAsia="zh-CN"/>
        </w:rPr>
      </w:pPr>
      <w:r>
        <w:rPr>
          <w:rFonts w:hint="eastAsia" w:eastAsia="仿宋" w:cs="Times New Roman"/>
          <w:sz w:val="32"/>
          <w:szCs w:val="32"/>
          <w:lang w:val="en-US" w:eastAsia="zh-CN"/>
        </w:rPr>
        <w:t>我局</w:t>
      </w:r>
      <w:r>
        <w:rPr>
          <w:rFonts w:hint="eastAsia" w:eastAsia="仿宋" w:cs="Times New Roman"/>
          <w:sz w:val="32"/>
          <w:szCs w:val="32"/>
        </w:rPr>
        <w:t>在编制全</w:t>
      </w:r>
      <w:r>
        <w:rPr>
          <w:rFonts w:hint="eastAsia" w:eastAsia="仿宋" w:cs="Times New Roman"/>
          <w:sz w:val="32"/>
          <w:szCs w:val="32"/>
          <w:lang w:val="en-US" w:eastAsia="zh-CN"/>
        </w:rPr>
        <w:t>县</w:t>
      </w:r>
      <w:r>
        <w:rPr>
          <w:rFonts w:hint="eastAsia" w:eastAsia="仿宋" w:cs="Times New Roman"/>
          <w:sz w:val="32"/>
          <w:szCs w:val="32"/>
        </w:rPr>
        <w:t>水安全保障“十四五”规划中</w:t>
      </w:r>
      <w:r>
        <w:rPr>
          <w:rFonts w:hint="eastAsia" w:eastAsia="仿宋" w:cs="Times New Roman"/>
          <w:sz w:val="32"/>
          <w:szCs w:val="32"/>
          <w:lang w:val="en-US" w:eastAsia="zh-CN"/>
        </w:rPr>
        <w:t>就</w:t>
      </w:r>
      <w:r>
        <w:rPr>
          <w:rFonts w:hint="eastAsia" w:eastAsia="仿宋" w:cs="Times New Roman"/>
          <w:sz w:val="32"/>
          <w:szCs w:val="32"/>
        </w:rPr>
        <w:t>对</w:t>
      </w:r>
      <w:r>
        <w:rPr>
          <w:rFonts w:hint="eastAsia" w:eastAsia="仿宋" w:cs="Times New Roman"/>
          <w:sz w:val="32"/>
          <w:szCs w:val="32"/>
          <w:lang w:eastAsia="zh-CN"/>
        </w:rPr>
        <w:t>平阳</w:t>
      </w:r>
      <w:r>
        <w:rPr>
          <w:rFonts w:hint="eastAsia" w:eastAsia="仿宋" w:cs="Times New Roman"/>
          <w:sz w:val="32"/>
          <w:szCs w:val="32"/>
        </w:rPr>
        <w:t>水网进行了初步谋划；</w:t>
      </w:r>
      <w:r>
        <w:rPr>
          <w:rFonts w:hint="eastAsia" w:eastAsia="仿宋" w:cs="Times New Roman"/>
          <w:sz w:val="32"/>
          <w:szCs w:val="32"/>
          <w:lang w:val="en-US" w:eastAsia="zh-CN"/>
        </w:rPr>
        <w:t>近年来</w:t>
      </w:r>
      <w:r>
        <w:rPr>
          <w:rFonts w:hint="eastAsia" w:eastAsia="仿宋" w:cs="Times New Roman"/>
          <w:sz w:val="32"/>
          <w:szCs w:val="32"/>
        </w:rPr>
        <w:t>，</w:t>
      </w:r>
      <w:r>
        <w:rPr>
          <w:rFonts w:hint="eastAsia" w:eastAsia="仿宋" w:cs="Times New Roman"/>
          <w:sz w:val="32"/>
          <w:szCs w:val="32"/>
          <w:lang w:val="en-US" w:eastAsia="zh-CN"/>
        </w:rPr>
        <w:t>陆续</w:t>
      </w:r>
      <w:r>
        <w:rPr>
          <w:rFonts w:hint="eastAsia" w:eastAsia="仿宋" w:cs="Times New Roman"/>
          <w:sz w:val="32"/>
          <w:szCs w:val="32"/>
        </w:rPr>
        <w:t>开展了水资源</w:t>
      </w:r>
      <w:r>
        <w:rPr>
          <w:rFonts w:hint="eastAsia" w:eastAsia="仿宋" w:cs="Times New Roman"/>
          <w:sz w:val="32"/>
          <w:szCs w:val="32"/>
          <w:lang w:val="en-US" w:eastAsia="zh-CN"/>
        </w:rPr>
        <w:t>节约保护和利用</w:t>
      </w:r>
      <w:r>
        <w:rPr>
          <w:rFonts w:hint="eastAsia" w:eastAsia="仿宋" w:cs="Times New Roman"/>
          <w:sz w:val="32"/>
          <w:szCs w:val="32"/>
        </w:rPr>
        <w:t>、</w:t>
      </w:r>
      <w:r>
        <w:rPr>
          <w:rFonts w:hint="eastAsia" w:eastAsia="仿宋" w:cs="Times New Roman"/>
          <w:sz w:val="32"/>
          <w:szCs w:val="32"/>
          <w:lang w:val="en-US" w:eastAsia="zh-CN"/>
        </w:rPr>
        <w:t>全域幸福河湖建设、农田灌溉发展</w:t>
      </w:r>
      <w:r>
        <w:rPr>
          <w:rFonts w:hint="eastAsia" w:eastAsia="仿宋" w:cs="Times New Roman"/>
          <w:sz w:val="32"/>
          <w:szCs w:val="32"/>
        </w:rPr>
        <w:t>等</w:t>
      </w:r>
      <w:r>
        <w:rPr>
          <w:rFonts w:hint="eastAsia" w:eastAsia="仿宋" w:cs="Times New Roman"/>
          <w:sz w:val="32"/>
          <w:szCs w:val="32"/>
          <w:lang w:val="en-US" w:eastAsia="zh-CN"/>
        </w:rPr>
        <w:t>专项规划编制，为《规划》编制奠定了基础。</w:t>
      </w:r>
      <w:r>
        <w:rPr>
          <w:rFonts w:hint="eastAsia" w:eastAsia="仿宋" w:cs="Times New Roman"/>
          <w:sz w:val="32"/>
          <w:szCs w:val="32"/>
        </w:rPr>
        <w:t>202</w:t>
      </w:r>
      <w:r>
        <w:rPr>
          <w:rFonts w:hint="eastAsia" w:eastAsia="仿宋" w:cs="Times New Roman"/>
          <w:sz w:val="32"/>
          <w:szCs w:val="32"/>
          <w:lang w:val="en-US" w:eastAsia="zh-CN"/>
        </w:rPr>
        <w:t>3</w:t>
      </w:r>
      <w:r>
        <w:rPr>
          <w:rFonts w:hint="eastAsia" w:eastAsia="仿宋" w:cs="Times New Roman"/>
          <w:sz w:val="32"/>
          <w:szCs w:val="32"/>
        </w:rPr>
        <w:t>年</w:t>
      </w:r>
      <w:r>
        <w:rPr>
          <w:rFonts w:hint="eastAsia" w:eastAsia="仿宋" w:cs="Times New Roman"/>
          <w:sz w:val="32"/>
          <w:szCs w:val="32"/>
          <w:lang w:val="en-US" w:eastAsia="zh-CN"/>
        </w:rPr>
        <w:t>5</w:t>
      </w:r>
      <w:r>
        <w:rPr>
          <w:rFonts w:hint="eastAsia" w:eastAsia="仿宋" w:cs="Times New Roman"/>
          <w:sz w:val="32"/>
          <w:szCs w:val="32"/>
        </w:rPr>
        <w:t>月，</w:t>
      </w:r>
      <w:r>
        <w:rPr>
          <w:rFonts w:hint="eastAsia" w:eastAsia="仿宋" w:cs="Times New Roman"/>
          <w:sz w:val="32"/>
          <w:szCs w:val="32"/>
          <w:lang w:val="en-US" w:eastAsia="zh-CN"/>
        </w:rPr>
        <w:t>我局组织省水利河口研究院开展《规划》编制有关工作，</w:t>
      </w:r>
      <w:r>
        <w:rPr>
          <w:rFonts w:hint="eastAsia" w:eastAsia="仿宋" w:cs="Times New Roman"/>
          <w:sz w:val="32"/>
          <w:szCs w:val="32"/>
        </w:rPr>
        <w:t>经过多轮迭代完善，</w:t>
      </w:r>
      <w:r>
        <w:rPr>
          <w:rFonts w:hint="eastAsia" w:eastAsia="仿宋" w:cs="Times New Roman"/>
          <w:sz w:val="32"/>
          <w:szCs w:val="32"/>
          <w:lang w:val="en-US" w:eastAsia="zh-CN"/>
        </w:rPr>
        <w:t>7</w:t>
      </w:r>
      <w:r>
        <w:rPr>
          <w:rFonts w:hint="eastAsia" w:eastAsia="仿宋" w:cs="Times New Roman"/>
          <w:sz w:val="32"/>
          <w:szCs w:val="32"/>
        </w:rPr>
        <w:t>月</w:t>
      </w:r>
      <w:r>
        <w:rPr>
          <w:rFonts w:hint="eastAsia" w:eastAsia="仿宋" w:cs="Times New Roman"/>
          <w:sz w:val="32"/>
          <w:szCs w:val="32"/>
          <w:lang w:val="en-US" w:eastAsia="zh-CN"/>
        </w:rPr>
        <w:t>底</w:t>
      </w:r>
      <w:r>
        <w:rPr>
          <w:rFonts w:hint="eastAsia" w:eastAsia="仿宋" w:cs="Times New Roman"/>
          <w:sz w:val="32"/>
          <w:szCs w:val="32"/>
        </w:rPr>
        <w:t>形成</w:t>
      </w:r>
      <w:r>
        <w:rPr>
          <w:rFonts w:hint="eastAsia" w:eastAsia="仿宋" w:cs="Times New Roman"/>
          <w:sz w:val="32"/>
          <w:szCs w:val="32"/>
          <w:lang w:val="en-US" w:eastAsia="zh-CN"/>
        </w:rPr>
        <w:t>送审稿</w:t>
      </w:r>
      <w:r>
        <w:rPr>
          <w:rFonts w:hint="eastAsia" w:eastAsia="仿宋" w:cs="Times New Roman"/>
          <w:sz w:val="32"/>
          <w:szCs w:val="32"/>
        </w:rPr>
        <w:t>，向省</w:t>
      </w:r>
      <w:r>
        <w:rPr>
          <w:rFonts w:hint="eastAsia" w:eastAsia="仿宋" w:cs="Times New Roman"/>
          <w:sz w:val="32"/>
          <w:szCs w:val="32"/>
          <w:lang w:val="en-US" w:eastAsia="zh-CN"/>
        </w:rPr>
        <w:t>水利厅申报第一批市县级水网先行区，并通过省市两级水利部门审核</w:t>
      </w:r>
      <w:r>
        <w:rPr>
          <w:rFonts w:hint="eastAsia" w:eastAsia="仿宋" w:cs="Times New Roman"/>
          <w:sz w:val="32"/>
          <w:szCs w:val="32"/>
        </w:rPr>
        <w:t>；</w:t>
      </w:r>
      <w:r>
        <w:rPr>
          <w:rFonts w:hint="eastAsia" w:eastAsia="仿宋" w:cs="Times New Roman"/>
          <w:sz w:val="32"/>
          <w:szCs w:val="32"/>
          <w:lang w:val="en-US" w:eastAsia="zh-CN"/>
        </w:rPr>
        <w:t>10</w:t>
      </w:r>
      <w:r>
        <w:rPr>
          <w:rFonts w:hint="eastAsia" w:eastAsia="仿宋" w:cs="Times New Roman"/>
          <w:sz w:val="32"/>
          <w:szCs w:val="32"/>
        </w:rPr>
        <w:t>月</w:t>
      </w:r>
      <w:r>
        <w:rPr>
          <w:rFonts w:hint="eastAsia" w:eastAsia="仿宋" w:cs="Times New Roman"/>
          <w:sz w:val="32"/>
          <w:szCs w:val="32"/>
          <w:lang w:val="en-US" w:eastAsia="zh-CN"/>
        </w:rPr>
        <w:t>31</w:t>
      </w:r>
      <w:r>
        <w:rPr>
          <w:rFonts w:hint="eastAsia" w:eastAsia="仿宋" w:cs="Times New Roman"/>
          <w:sz w:val="32"/>
          <w:szCs w:val="32"/>
        </w:rPr>
        <w:t>日，召开</w:t>
      </w:r>
      <w:r>
        <w:rPr>
          <w:rFonts w:hint="eastAsia" w:eastAsia="仿宋" w:cs="Times New Roman"/>
          <w:sz w:val="32"/>
          <w:szCs w:val="32"/>
          <w:lang w:eastAsia="zh-CN"/>
        </w:rPr>
        <w:t>了</w:t>
      </w:r>
      <w:r>
        <w:rPr>
          <w:rFonts w:hint="eastAsia" w:eastAsia="仿宋" w:cs="Times New Roman"/>
          <w:sz w:val="32"/>
          <w:szCs w:val="32"/>
        </w:rPr>
        <w:t>专家</w:t>
      </w:r>
      <w:r>
        <w:rPr>
          <w:rFonts w:hint="eastAsia" w:eastAsia="仿宋" w:cs="Times New Roman"/>
          <w:sz w:val="32"/>
          <w:szCs w:val="32"/>
          <w:lang w:val="en-US" w:eastAsia="zh-CN"/>
        </w:rPr>
        <w:t>评审</w:t>
      </w:r>
      <w:r>
        <w:rPr>
          <w:rFonts w:hint="eastAsia" w:eastAsia="仿宋" w:cs="Times New Roman"/>
          <w:sz w:val="32"/>
          <w:szCs w:val="32"/>
        </w:rPr>
        <w:t>会，</w:t>
      </w:r>
      <w:r>
        <w:rPr>
          <w:rFonts w:hint="eastAsia" w:eastAsia="仿宋" w:cs="Times New Roman"/>
          <w:sz w:val="32"/>
          <w:szCs w:val="32"/>
          <w:lang w:val="en-US" w:eastAsia="zh-CN"/>
        </w:rPr>
        <w:t>会议邀请县有关部门及各乡镇代表，对《规划》成果进行了充分研讨；《规划》修改完善后，于11月进一步征求有关部门和公众意见，共收到意见13条，其中采纳10条，部分采纳并达成一致3条；2024年1月16日，《规划》通过县司法局合法性审查，提出的2条完善建议均已采纳。目前，《规划》已完成修改完善，形成报批稿。</w:t>
      </w:r>
    </w:p>
    <w:p>
      <w:pPr>
        <w:adjustRightInd w:val="0"/>
        <w:snapToGrid w:val="0"/>
        <w:spacing w:line="560" w:lineRule="exact"/>
        <w:ind w:firstLine="630" w:firstLineChars="200"/>
        <w:outlineLvl w:val="0"/>
        <w:rPr>
          <w:rFonts w:eastAsia="黑体" w:cs="Times New Roman"/>
          <w:sz w:val="32"/>
          <w:szCs w:val="32"/>
        </w:rPr>
      </w:pPr>
      <w:r>
        <w:rPr>
          <w:rFonts w:hint="eastAsia" w:eastAsia="黑体" w:cs="Times New Roman"/>
          <w:sz w:val="32"/>
          <w:szCs w:val="32"/>
        </w:rPr>
        <w:t>三、几方面重点考虑</w:t>
      </w:r>
    </w:p>
    <w:p>
      <w:pPr>
        <w:adjustRightInd w:val="0"/>
        <w:snapToGrid w:val="0"/>
        <w:spacing w:line="560" w:lineRule="exact"/>
        <w:ind w:firstLine="630" w:firstLineChars="200"/>
        <w:rPr>
          <w:rFonts w:eastAsia="仿宋" w:cs="Times New Roman"/>
          <w:kern w:val="0"/>
          <w:sz w:val="32"/>
          <w:szCs w:val="32"/>
          <w:lang w:val="zh-CN"/>
        </w:rPr>
      </w:pPr>
      <w:r>
        <w:rPr>
          <w:rFonts w:eastAsia="仿宋" w:cs="Times New Roman"/>
          <w:b/>
          <w:sz w:val="32"/>
          <w:szCs w:val="32"/>
        </w:rPr>
        <w:t>一是积极响应</w:t>
      </w:r>
      <w:r>
        <w:rPr>
          <w:rFonts w:hint="eastAsia" w:eastAsia="仿宋" w:cs="Times New Roman"/>
          <w:b/>
          <w:sz w:val="32"/>
          <w:szCs w:val="32"/>
          <w:lang w:val="en-US" w:eastAsia="zh-CN"/>
        </w:rPr>
        <w:t>上级</w:t>
      </w:r>
      <w:r>
        <w:rPr>
          <w:rFonts w:eastAsia="仿宋" w:cs="Times New Roman"/>
          <w:b/>
          <w:sz w:val="32"/>
          <w:szCs w:val="32"/>
        </w:rPr>
        <w:t>战略部署。</w:t>
      </w:r>
      <w:r>
        <w:rPr>
          <w:rFonts w:hint="eastAsia" w:eastAsia="仿宋" w:cs="Times New Roman"/>
          <w:kern w:val="0"/>
          <w:sz w:val="32"/>
          <w:szCs w:val="32"/>
          <w:lang w:val="en-US" w:eastAsia="zh-CN"/>
        </w:rPr>
        <w:t>坚决贯彻落实党中央、国务院和省委、省政府的号召，</w:t>
      </w:r>
      <w:r>
        <w:rPr>
          <w:rFonts w:eastAsia="仿宋" w:cs="Times New Roman"/>
          <w:kern w:val="0"/>
          <w:sz w:val="32"/>
          <w:szCs w:val="32"/>
          <w:lang w:val="zh-CN"/>
        </w:rPr>
        <w:t>加强网络型基础设施建设。</w:t>
      </w:r>
      <w:r>
        <w:rPr>
          <w:rFonts w:hint="eastAsia" w:eastAsia="仿宋" w:cs="Times New Roman"/>
          <w:kern w:val="0"/>
          <w:sz w:val="32"/>
          <w:szCs w:val="32"/>
          <w:lang w:val="en-US" w:eastAsia="zh-CN"/>
        </w:rPr>
        <w:t>聚焦平阳</w:t>
      </w:r>
      <w:r>
        <w:rPr>
          <w:rFonts w:hint="eastAsia" w:eastAsia="仿宋" w:cs="Times New Roman"/>
          <w:kern w:val="0"/>
          <w:sz w:val="32"/>
          <w:szCs w:val="32"/>
          <w:lang w:val="zh-CN"/>
        </w:rPr>
        <w:t>打造“一主一副一带三区”的</w:t>
      </w:r>
      <w:r>
        <w:rPr>
          <w:rFonts w:hint="eastAsia" w:eastAsia="仿宋" w:cs="Times New Roman"/>
          <w:kern w:val="0"/>
          <w:sz w:val="32"/>
          <w:szCs w:val="32"/>
          <w:lang w:val="en-US" w:eastAsia="zh-CN"/>
        </w:rPr>
        <w:t>国土空间格局</w:t>
      </w:r>
      <w:r>
        <w:rPr>
          <w:rFonts w:hint="eastAsia" w:eastAsia="仿宋" w:cs="Times New Roman"/>
          <w:kern w:val="0"/>
          <w:sz w:val="32"/>
          <w:szCs w:val="32"/>
          <w:lang w:val="zh-CN"/>
        </w:rPr>
        <w:t>，实现</w:t>
      </w:r>
      <w:r>
        <w:rPr>
          <w:rFonts w:hint="eastAsia" w:eastAsia="仿宋" w:cs="Times New Roman"/>
          <w:kern w:val="0"/>
          <w:sz w:val="32"/>
          <w:szCs w:val="32"/>
          <w:lang w:val="en-US" w:eastAsia="zh-CN"/>
        </w:rPr>
        <w:t>共同富裕和</w:t>
      </w:r>
      <w:r>
        <w:rPr>
          <w:rFonts w:hint="eastAsia" w:eastAsia="仿宋" w:cs="Times New Roman"/>
          <w:kern w:val="0"/>
          <w:sz w:val="32"/>
          <w:szCs w:val="32"/>
          <w:lang w:val="zh-CN"/>
        </w:rPr>
        <w:t>新时代“赶超崛起、转型蝶变”</w:t>
      </w:r>
      <w:r>
        <w:rPr>
          <w:rFonts w:eastAsia="仿宋" w:cs="Times New Roman"/>
          <w:kern w:val="0"/>
          <w:sz w:val="32"/>
          <w:szCs w:val="32"/>
          <w:lang w:val="zh-CN"/>
        </w:rPr>
        <w:t>，恰逢其时</w:t>
      </w:r>
      <w:r>
        <w:rPr>
          <w:rFonts w:hint="eastAsia" w:eastAsia="仿宋" w:cs="Times New Roman"/>
          <w:kern w:val="0"/>
          <w:sz w:val="32"/>
          <w:szCs w:val="32"/>
          <w:lang w:val="en-US" w:eastAsia="zh-CN"/>
        </w:rPr>
        <w:t>地</w:t>
      </w:r>
      <w:r>
        <w:rPr>
          <w:rFonts w:eastAsia="仿宋" w:cs="Times New Roman"/>
          <w:kern w:val="0"/>
          <w:sz w:val="32"/>
          <w:szCs w:val="32"/>
          <w:lang w:val="zh-CN"/>
        </w:rPr>
        <w:t>推进“</w:t>
      </w:r>
      <w:r>
        <w:rPr>
          <w:rFonts w:hint="eastAsia" w:eastAsia="仿宋" w:cs="Times New Roman"/>
          <w:kern w:val="0"/>
          <w:sz w:val="32"/>
          <w:szCs w:val="32"/>
          <w:lang w:val="zh-CN"/>
        </w:rPr>
        <w:t>平阳</w:t>
      </w:r>
      <w:r>
        <w:rPr>
          <w:rFonts w:eastAsia="仿宋" w:cs="Times New Roman"/>
          <w:kern w:val="0"/>
          <w:sz w:val="32"/>
          <w:szCs w:val="32"/>
          <w:lang w:val="zh-CN"/>
        </w:rPr>
        <w:t>水网”建设</w:t>
      </w:r>
      <w:r>
        <w:rPr>
          <w:rFonts w:hint="eastAsia" w:eastAsia="仿宋" w:cs="Times New Roman"/>
          <w:kern w:val="0"/>
          <w:sz w:val="32"/>
          <w:szCs w:val="32"/>
          <w:lang w:val="zh-CN"/>
        </w:rPr>
        <w:t>，</w:t>
      </w:r>
      <w:r>
        <w:rPr>
          <w:rFonts w:eastAsia="仿宋" w:cs="Times New Roman"/>
          <w:kern w:val="0"/>
          <w:sz w:val="32"/>
          <w:szCs w:val="32"/>
          <w:lang w:val="zh-CN"/>
        </w:rPr>
        <w:t>发挥基础设施“压舱石”作用，对于稳投资、稳增长，加快建设现代化经济体系具有重要作用。</w:t>
      </w:r>
    </w:p>
    <w:p>
      <w:pPr>
        <w:adjustRightInd w:val="0"/>
        <w:snapToGrid w:val="0"/>
        <w:spacing w:line="560" w:lineRule="exact"/>
        <w:ind w:firstLine="630" w:firstLineChars="200"/>
        <w:rPr>
          <w:rFonts w:eastAsia="仿宋" w:cs="Times New Roman"/>
          <w:kern w:val="0"/>
          <w:sz w:val="32"/>
          <w:szCs w:val="32"/>
          <w:lang w:val="zh-CN"/>
        </w:rPr>
      </w:pPr>
      <w:r>
        <w:rPr>
          <w:rFonts w:eastAsia="仿宋" w:cs="Times New Roman"/>
          <w:b/>
          <w:sz w:val="32"/>
          <w:szCs w:val="32"/>
        </w:rPr>
        <w:t>二是突出对重点区域的带动作用。</w:t>
      </w:r>
      <w:r>
        <w:rPr>
          <w:rFonts w:hint="eastAsia" w:eastAsia="仿宋" w:cs="Times New Roman"/>
          <w:bCs/>
          <w:sz w:val="32"/>
          <w:szCs w:val="32"/>
          <w:lang w:val="en-US" w:eastAsia="zh-CN"/>
        </w:rPr>
        <w:t>我县</w:t>
      </w:r>
      <w:r>
        <w:rPr>
          <w:rFonts w:eastAsia="仿宋" w:cs="Times New Roman"/>
          <w:bCs/>
          <w:sz w:val="32"/>
          <w:szCs w:val="32"/>
        </w:rPr>
        <w:t>水资源空间分布与经济社会发展布局不匹配</w:t>
      </w:r>
      <w:r>
        <w:rPr>
          <w:rFonts w:hint="eastAsia" w:eastAsia="仿宋" w:cs="Times New Roman"/>
          <w:bCs/>
          <w:sz w:val="32"/>
          <w:szCs w:val="32"/>
          <w:lang w:eastAsia="zh-CN"/>
        </w:rPr>
        <w:t>，水资源调控能力不足导致的区域性缺水问题仍然存在</w:t>
      </w:r>
      <w:r>
        <w:rPr>
          <w:rFonts w:eastAsia="仿宋" w:cs="Times New Roman"/>
          <w:bCs/>
          <w:sz w:val="32"/>
          <w:szCs w:val="32"/>
        </w:rPr>
        <w:t>。需要</w:t>
      </w:r>
      <w:r>
        <w:rPr>
          <w:rFonts w:hint="eastAsia" w:eastAsia="仿宋" w:cs="Times New Roman"/>
          <w:bCs/>
          <w:sz w:val="32"/>
          <w:szCs w:val="32"/>
          <w:lang w:val="en-US" w:eastAsia="zh-CN"/>
        </w:rPr>
        <w:t>构建</w:t>
      </w:r>
      <w:r>
        <w:rPr>
          <w:rFonts w:eastAsia="仿宋" w:cs="Times New Roman"/>
          <w:kern w:val="0"/>
          <w:sz w:val="32"/>
          <w:szCs w:val="32"/>
          <w:lang w:val="zh-CN"/>
        </w:rPr>
        <w:t>“</w:t>
      </w:r>
      <w:r>
        <w:rPr>
          <w:rFonts w:hint="eastAsia" w:eastAsia="仿宋" w:cs="Times New Roman"/>
          <w:kern w:val="0"/>
          <w:sz w:val="32"/>
          <w:szCs w:val="32"/>
          <w:lang w:val="zh-CN"/>
        </w:rPr>
        <w:t>平阳</w:t>
      </w:r>
      <w:r>
        <w:rPr>
          <w:rFonts w:eastAsia="仿宋" w:cs="Times New Roman"/>
          <w:kern w:val="0"/>
          <w:sz w:val="32"/>
          <w:szCs w:val="32"/>
          <w:lang w:val="zh-CN"/>
        </w:rPr>
        <w:t>水网”</w:t>
      </w:r>
      <w:r>
        <w:rPr>
          <w:rFonts w:hint="eastAsia" w:eastAsia="仿宋" w:cs="Times New Roman"/>
          <w:kern w:val="0"/>
          <w:sz w:val="32"/>
          <w:szCs w:val="32"/>
          <w:lang w:val="en-US" w:eastAsia="zh-CN"/>
        </w:rPr>
        <w:t>来</w:t>
      </w:r>
      <w:r>
        <w:rPr>
          <w:rFonts w:eastAsia="仿宋" w:cs="Times New Roman"/>
          <w:kern w:val="0"/>
          <w:sz w:val="32"/>
          <w:szCs w:val="32"/>
          <w:lang w:val="zh-CN"/>
        </w:rPr>
        <w:t>统筹调配</w:t>
      </w:r>
      <w:r>
        <w:rPr>
          <w:rFonts w:hint="eastAsia" w:eastAsia="仿宋" w:cs="Times New Roman"/>
          <w:kern w:val="0"/>
          <w:sz w:val="32"/>
          <w:szCs w:val="32"/>
          <w:lang w:val="zh-CN"/>
        </w:rPr>
        <w:t>，</w:t>
      </w:r>
      <w:r>
        <w:rPr>
          <w:rFonts w:eastAsia="仿宋" w:cs="Times New Roman"/>
          <w:bCs/>
          <w:sz w:val="32"/>
          <w:szCs w:val="32"/>
        </w:rPr>
        <w:t>通过跨流域跨区域的水网工程将</w:t>
      </w:r>
      <w:r>
        <w:rPr>
          <w:rFonts w:hint="eastAsia" w:eastAsia="仿宋" w:cs="Times New Roman"/>
          <w:bCs/>
          <w:sz w:val="32"/>
          <w:szCs w:val="32"/>
          <w:lang w:val="en-US" w:eastAsia="zh-CN"/>
        </w:rPr>
        <w:t>域外和西部山区</w:t>
      </w:r>
      <w:r>
        <w:rPr>
          <w:rFonts w:eastAsia="仿宋" w:cs="Times New Roman"/>
          <w:bCs/>
          <w:sz w:val="32"/>
          <w:szCs w:val="32"/>
        </w:rPr>
        <w:t>的水资源调入东部沿海地区，同时，推动资源与资产的转化，带动</w:t>
      </w:r>
      <w:r>
        <w:rPr>
          <w:rFonts w:hint="eastAsia" w:eastAsia="仿宋" w:cs="Times New Roman"/>
          <w:bCs/>
          <w:sz w:val="32"/>
          <w:szCs w:val="32"/>
          <w:lang w:val="en-US" w:eastAsia="zh-CN"/>
        </w:rPr>
        <w:t>山区</w:t>
      </w:r>
      <w:r>
        <w:rPr>
          <w:rFonts w:eastAsia="仿宋" w:cs="Times New Roman"/>
          <w:bCs/>
          <w:sz w:val="32"/>
          <w:szCs w:val="32"/>
        </w:rPr>
        <w:t>发展，缩小区域差距。</w:t>
      </w:r>
    </w:p>
    <w:p>
      <w:pPr>
        <w:adjustRightInd w:val="0"/>
        <w:snapToGrid w:val="0"/>
        <w:spacing w:line="560" w:lineRule="exact"/>
        <w:ind w:firstLine="630" w:firstLineChars="200"/>
        <w:rPr>
          <w:rFonts w:eastAsia="仿宋" w:cs="Times New Roman"/>
          <w:kern w:val="0"/>
          <w:sz w:val="32"/>
          <w:szCs w:val="32"/>
          <w:lang w:val="zh-CN"/>
        </w:rPr>
      </w:pPr>
      <w:r>
        <w:rPr>
          <w:rFonts w:eastAsia="仿宋" w:cs="Times New Roman"/>
          <w:b/>
          <w:sz w:val="32"/>
          <w:szCs w:val="32"/>
        </w:rPr>
        <w:t>三是提高水安全保障网韧性。</w:t>
      </w:r>
      <w:r>
        <w:rPr>
          <w:rFonts w:eastAsia="仿宋" w:cs="Times New Roman"/>
          <w:kern w:val="0"/>
          <w:sz w:val="32"/>
          <w:szCs w:val="32"/>
          <w:lang w:val="zh-CN"/>
        </w:rPr>
        <w:t>郑州“7·20”特大暴雨事件为极端情况灾害防御敲响警钟，我</w:t>
      </w:r>
      <w:r>
        <w:rPr>
          <w:rFonts w:hint="eastAsia" w:eastAsia="仿宋" w:cs="Times New Roman"/>
          <w:kern w:val="0"/>
          <w:sz w:val="32"/>
          <w:szCs w:val="32"/>
          <w:lang w:val="en-US" w:eastAsia="zh-CN"/>
        </w:rPr>
        <w:t>县</w:t>
      </w:r>
      <w:r>
        <w:rPr>
          <w:rFonts w:eastAsia="仿宋" w:cs="Times New Roman"/>
          <w:kern w:val="0"/>
          <w:sz w:val="32"/>
          <w:szCs w:val="32"/>
          <w:lang w:val="zh-CN"/>
        </w:rPr>
        <w:t>经过长期的水利基础设施建设，以流域为治理单元的水利基础设施体系基本完备，但仍存在一些水安全问题难以解决。</w:t>
      </w:r>
      <w:r>
        <w:rPr>
          <w:rFonts w:hint="eastAsia" w:eastAsia="仿宋" w:cs="Times New Roman"/>
          <w:kern w:val="0"/>
          <w:sz w:val="32"/>
          <w:szCs w:val="32"/>
          <w:lang w:val="en-US" w:eastAsia="zh-CN"/>
        </w:rPr>
        <w:t>现阶段，需要</w:t>
      </w:r>
      <w:r>
        <w:rPr>
          <w:rFonts w:eastAsia="仿宋" w:cs="Times New Roman"/>
          <w:kern w:val="0"/>
          <w:sz w:val="32"/>
          <w:szCs w:val="32"/>
          <w:lang w:val="zh-CN"/>
        </w:rPr>
        <w:t>用“网”的理念和手段统筹解决水安全问题</w:t>
      </w:r>
      <w:r>
        <w:rPr>
          <w:rFonts w:hint="eastAsia" w:eastAsia="仿宋" w:cs="Times New Roman"/>
          <w:kern w:val="0"/>
          <w:sz w:val="32"/>
          <w:szCs w:val="32"/>
          <w:lang w:val="zh-CN"/>
        </w:rPr>
        <w:t>，</w:t>
      </w:r>
      <w:r>
        <w:rPr>
          <w:rFonts w:eastAsia="仿宋" w:cs="Times New Roman"/>
          <w:kern w:val="0"/>
          <w:sz w:val="32"/>
          <w:szCs w:val="32"/>
          <w:lang w:val="zh-CN"/>
        </w:rPr>
        <w:t>通过联网、补网、强链，</w:t>
      </w:r>
      <w:r>
        <w:rPr>
          <w:rFonts w:hint="eastAsia" w:eastAsia="仿宋" w:cs="Times New Roman"/>
          <w:kern w:val="0"/>
          <w:sz w:val="32"/>
          <w:szCs w:val="32"/>
          <w:lang w:val="en-US" w:eastAsia="zh-CN"/>
        </w:rPr>
        <w:t>构建“</w:t>
      </w:r>
      <w:r>
        <w:rPr>
          <w:rFonts w:hint="eastAsia" w:eastAsia="仿宋" w:cs="Times New Roman"/>
          <w:kern w:val="0"/>
          <w:sz w:val="32"/>
          <w:szCs w:val="32"/>
          <w:lang w:val="zh-CN"/>
        </w:rPr>
        <w:t>平阳</w:t>
      </w:r>
      <w:r>
        <w:rPr>
          <w:rFonts w:eastAsia="仿宋" w:cs="Times New Roman"/>
          <w:kern w:val="0"/>
          <w:sz w:val="32"/>
          <w:szCs w:val="32"/>
          <w:lang w:val="zh-CN"/>
        </w:rPr>
        <w:t>水网</w:t>
      </w:r>
      <w:r>
        <w:rPr>
          <w:rFonts w:hint="eastAsia" w:eastAsia="仿宋" w:cs="Times New Roman"/>
          <w:kern w:val="0"/>
          <w:sz w:val="32"/>
          <w:szCs w:val="32"/>
          <w:lang w:val="en-US" w:eastAsia="zh-CN"/>
        </w:rPr>
        <w:t>”以促进全域</w:t>
      </w:r>
      <w:r>
        <w:rPr>
          <w:rFonts w:eastAsia="仿宋" w:cs="Times New Roman"/>
          <w:kern w:val="0"/>
          <w:sz w:val="32"/>
          <w:szCs w:val="32"/>
          <w:lang w:val="zh-CN"/>
        </w:rPr>
        <w:t>统筹</w:t>
      </w:r>
      <w:r>
        <w:rPr>
          <w:rFonts w:hint="eastAsia" w:eastAsia="仿宋" w:cs="Times New Roman"/>
          <w:kern w:val="0"/>
          <w:sz w:val="32"/>
          <w:szCs w:val="32"/>
          <w:lang w:val="zh-CN"/>
        </w:rPr>
        <w:t>、</w:t>
      </w:r>
      <w:r>
        <w:rPr>
          <w:rFonts w:eastAsia="仿宋" w:cs="Times New Roman"/>
          <w:kern w:val="0"/>
          <w:sz w:val="32"/>
          <w:szCs w:val="32"/>
          <w:lang w:val="zh-CN"/>
        </w:rPr>
        <w:t>精细调度，全面提升我</w:t>
      </w:r>
      <w:r>
        <w:rPr>
          <w:rFonts w:hint="eastAsia" w:eastAsia="仿宋" w:cs="Times New Roman"/>
          <w:kern w:val="0"/>
          <w:sz w:val="32"/>
          <w:szCs w:val="32"/>
          <w:lang w:val="en-US" w:eastAsia="zh-CN"/>
        </w:rPr>
        <w:t>县</w:t>
      </w:r>
      <w:r>
        <w:rPr>
          <w:rFonts w:eastAsia="仿宋" w:cs="Times New Roman"/>
          <w:kern w:val="0"/>
          <w:sz w:val="32"/>
          <w:szCs w:val="32"/>
          <w:lang w:val="zh-CN"/>
        </w:rPr>
        <w:t>水安全保障网的韧性，做到极端特殊情况下有计可施。</w:t>
      </w:r>
    </w:p>
    <w:p>
      <w:pPr>
        <w:adjustRightInd w:val="0"/>
        <w:snapToGrid w:val="0"/>
        <w:spacing w:line="560" w:lineRule="exact"/>
        <w:ind w:firstLine="630" w:firstLineChars="200"/>
        <w:outlineLvl w:val="0"/>
        <w:rPr>
          <w:rFonts w:eastAsia="黑体" w:cs="Times New Roman"/>
          <w:sz w:val="32"/>
          <w:szCs w:val="32"/>
        </w:rPr>
      </w:pPr>
      <w:r>
        <w:rPr>
          <w:rFonts w:hint="eastAsia" w:eastAsia="黑体" w:cs="Times New Roman"/>
          <w:sz w:val="32"/>
          <w:szCs w:val="32"/>
        </w:rPr>
        <w:t>四、</w:t>
      </w:r>
      <w:r>
        <w:rPr>
          <w:rFonts w:eastAsia="黑体" w:cs="Times New Roman"/>
          <w:sz w:val="32"/>
          <w:szCs w:val="32"/>
        </w:rPr>
        <w:t>主要内容</w:t>
      </w:r>
    </w:p>
    <w:p>
      <w:pPr>
        <w:adjustRightInd w:val="0"/>
        <w:snapToGrid w:val="0"/>
        <w:spacing w:line="560" w:lineRule="exact"/>
        <w:ind w:firstLine="630" w:firstLineChars="200"/>
        <w:rPr>
          <w:rFonts w:hint="eastAsia" w:eastAsia="仿宋"/>
          <w:sz w:val="32"/>
          <w:szCs w:val="32"/>
          <w:lang w:val="en-US" w:eastAsia="zh-CN"/>
        </w:rPr>
      </w:pPr>
      <w:r>
        <w:rPr>
          <w:rFonts w:hint="eastAsia" w:eastAsia="仿宋"/>
          <w:sz w:val="32"/>
          <w:szCs w:val="32"/>
          <w:lang w:val="en-US" w:eastAsia="zh-CN"/>
        </w:rPr>
        <w:t>根据前期谋划，我县水网建设规划总投资199亿元，包含40个项目，2023-2027年计划完成投资80亿元，将在强化水旱灾害防御、优化水资源均衡配置、改善生态环境、提升休闲娱乐服务和营商环境等方面发挥重要作用，支撑县域“一主一副一带三区”的空间发展格局。为实现上述目标，我县将围绕“高质量、保安全、惠民生”设置城乡供水水源保障达标率等11项指标，坚持“以人为本、人水和谐”等4项基本原则，推进水源调蓄等14类工程，创新深化投融资模式等4大管理改革，加强组织实施等4大保障措施，推进“高水平水资源配置、高标准防洪保安、高品质幸福河湖、高效能智慧水利、现代化水网管理”5方面重点任务，加快完善“一主二域、东西互通、山海联动”的平阳水网总体格局，致力于打造一批标志性成果。</w:t>
      </w:r>
    </w:p>
    <w:p>
      <w:pPr>
        <w:adjustRightInd/>
        <w:snapToGrid/>
        <w:ind w:firstLine="630" w:firstLineChars="200"/>
        <w:outlineLvl w:val="0"/>
        <w:rPr>
          <w:rFonts w:hint="default" w:eastAsia="黑体" w:cs="Times New Roman"/>
          <w:sz w:val="32"/>
          <w:szCs w:val="32"/>
          <w:lang w:val="en-US" w:eastAsia="zh-CN"/>
        </w:rPr>
      </w:pPr>
      <w:r>
        <w:rPr>
          <w:rFonts w:hint="eastAsia" w:eastAsia="黑体" w:cs="Times New Roman"/>
          <w:sz w:val="32"/>
          <w:szCs w:val="32"/>
          <w:lang w:val="en-US" w:eastAsia="zh-CN"/>
        </w:rPr>
        <w:t>五、下一步工作安排</w:t>
      </w:r>
    </w:p>
    <w:p>
      <w:pPr>
        <w:adjustRightInd w:val="0"/>
        <w:snapToGrid w:val="0"/>
        <w:spacing w:line="560" w:lineRule="exact"/>
        <w:ind w:firstLine="630" w:firstLineChars="200"/>
        <w:rPr>
          <w:rFonts w:hint="eastAsia" w:eastAsia="仿宋" w:cs="Times New Roman"/>
          <w:sz w:val="32"/>
          <w:szCs w:val="32"/>
          <w:lang w:val="en-US" w:eastAsia="zh-CN"/>
        </w:rPr>
      </w:pPr>
      <w:r>
        <w:rPr>
          <w:rFonts w:hint="eastAsia" w:eastAsia="仿宋" w:cs="Times New Roman"/>
          <w:sz w:val="32"/>
          <w:szCs w:val="32"/>
          <w:lang w:val="en-US" w:eastAsia="zh-CN"/>
        </w:rPr>
        <w:t>2024年1月17日，平阳县入选全省第一批县级水网先行区（浙水计〔2024〕2号），要求切实做好水网先行区建设工作，力争2025年之前取得明显成效。</w:t>
      </w:r>
    </w:p>
    <w:p>
      <w:pPr>
        <w:adjustRightInd w:val="0"/>
        <w:snapToGrid w:val="0"/>
        <w:spacing w:line="560" w:lineRule="exact"/>
        <w:ind w:firstLine="630" w:firstLineChars="200"/>
        <w:rPr>
          <w:rFonts w:hint="default" w:eastAsia="仿宋" w:cs="Times New Roman"/>
          <w:sz w:val="32"/>
          <w:szCs w:val="32"/>
          <w:lang w:val="en-US" w:eastAsia="zh-CN"/>
        </w:rPr>
      </w:pPr>
      <w:r>
        <w:rPr>
          <w:rFonts w:hint="eastAsia" w:eastAsia="仿宋" w:cs="Times New Roman"/>
          <w:sz w:val="32"/>
          <w:szCs w:val="32"/>
          <w:lang w:val="en-US" w:eastAsia="zh-CN"/>
        </w:rPr>
        <w:t>现将《规划》报批稿提请县政府批复同意，推进《规划》印发实施，研究制定水网先行区建设实施方案，完善工作机制，压实目标责任，制定年度工作计划，细化任务措施，</w:t>
      </w:r>
      <w:bookmarkStart w:id="0" w:name="_GoBack"/>
      <w:bookmarkEnd w:id="0"/>
      <w:r>
        <w:rPr>
          <w:rFonts w:hint="eastAsia" w:eastAsia="仿宋" w:cs="Times New Roman"/>
          <w:sz w:val="32"/>
          <w:szCs w:val="32"/>
          <w:lang w:val="en-US" w:eastAsia="zh-CN"/>
        </w:rPr>
        <w:t>加快水网建设成效惠及80余万平阳人民。</w:t>
      </w:r>
    </w:p>
    <w:p>
      <w:pPr>
        <w:adjustRightInd w:val="0"/>
        <w:snapToGrid w:val="0"/>
        <w:spacing w:line="560" w:lineRule="exact"/>
        <w:ind w:firstLine="630" w:firstLineChars="200"/>
        <w:rPr>
          <w:rFonts w:eastAsia="仿宋" w:cs="Times New Roman"/>
          <w:sz w:val="32"/>
          <w:szCs w:val="32"/>
        </w:rPr>
      </w:pPr>
    </w:p>
    <w:sectPr>
      <w:footerReference r:id="rId3" w:type="default"/>
      <w:pgSz w:w="11906" w:h="16838"/>
      <w:pgMar w:top="1644" w:right="1644" w:bottom="1644" w:left="1644" w:header="1304" w:footer="1134" w:gutter="0"/>
      <w:cols w:space="425" w:num="1"/>
      <w:docGrid w:type="linesAndChars" w:linePitch="527" w:charSpace="-11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6589992"/>
      <w:docPartObj>
        <w:docPartGallery w:val="autotext"/>
      </w:docPartObj>
    </w:sdtPr>
    <w:sdtEndPr>
      <w:rPr>
        <w:sz w:val="24"/>
        <w:szCs w:val="24"/>
      </w:rPr>
    </w:sdtEndPr>
    <w:sdtContent>
      <w:p>
        <w:pPr>
          <w:pStyle w:val="1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
      <w:suff w:val="space"/>
      <w:lvlText w:val="%1 "/>
      <w:lvlJc w:val="center"/>
      <w:pPr>
        <w:ind w:left="0" w:firstLine="0"/>
      </w:pPr>
      <w:rPr>
        <w:rFonts w:hint="default"/>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66227CCF"/>
    <w:multiLevelType w:val="multilevel"/>
    <w:tmpl w:val="66227CCF"/>
    <w:lvl w:ilvl="0" w:tentative="0">
      <w:start w:val="1"/>
      <w:numFmt w:val="decimal"/>
      <w:pStyle w:val="2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HorizontalSpacing w:val="275"/>
  <w:drawingGridVerticalSpacing w:val="52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EE"/>
    <w:rsid w:val="000104D1"/>
    <w:rsid w:val="000347F0"/>
    <w:rsid w:val="00041CBE"/>
    <w:rsid w:val="000562FF"/>
    <w:rsid w:val="00071AFE"/>
    <w:rsid w:val="0009280A"/>
    <w:rsid w:val="00093A58"/>
    <w:rsid w:val="000A301A"/>
    <w:rsid w:val="000A523C"/>
    <w:rsid w:val="000B744F"/>
    <w:rsid w:val="000D7130"/>
    <w:rsid w:val="000E1E25"/>
    <w:rsid w:val="000F6C25"/>
    <w:rsid w:val="00104B64"/>
    <w:rsid w:val="0012069E"/>
    <w:rsid w:val="001344DA"/>
    <w:rsid w:val="0015035C"/>
    <w:rsid w:val="00164ECD"/>
    <w:rsid w:val="001668D5"/>
    <w:rsid w:val="00171999"/>
    <w:rsid w:val="00174ED9"/>
    <w:rsid w:val="001B756A"/>
    <w:rsid w:val="001B7BB5"/>
    <w:rsid w:val="001C29E9"/>
    <w:rsid w:val="001E577F"/>
    <w:rsid w:val="001E5893"/>
    <w:rsid w:val="002101C6"/>
    <w:rsid w:val="00213584"/>
    <w:rsid w:val="002213EA"/>
    <w:rsid w:val="00225B4E"/>
    <w:rsid w:val="00233957"/>
    <w:rsid w:val="00244355"/>
    <w:rsid w:val="00245A31"/>
    <w:rsid w:val="00253703"/>
    <w:rsid w:val="002628C3"/>
    <w:rsid w:val="00267D2A"/>
    <w:rsid w:val="002827B1"/>
    <w:rsid w:val="002E2268"/>
    <w:rsid w:val="0030388B"/>
    <w:rsid w:val="003052DF"/>
    <w:rsid w:val="00323F9A"/>
    <w:rsid w:val="003258BB"/>
    <w:rsid w:val="00341572"/>
    <w:rsid w:val="0034715D"/>
    <w:rsid w:val="00365B75"/>
    <w:rsid w:val="003663CD"/>
    <w:rsid w:val="003732B2"/>
    <w:rsid w:val="003A41F0"/>
    <w:rsid w:val="003B5820"/>
    <w:rsid w:val="003B7412"/>
    <w:rsid w:val="003C60B0"/>
    <w:rsid w:val="004024CD"/>
    <w:rsid w:val="0042273B"/>
    <w:rsid w:val="00424426"/>
    <w:rsid w:val="0045094C"/>
    <w:rsid w:val="00464AEE"/>
    <w:rsid w:val="004676DD"/>
    <w:rsid w:val="0047213B"/>
    <w:rsid w:val="004805AA"/>
    <w:rsid w:val="00482506"/>
    <w:rsid w:val="00482CC8"/>
    <w:rsid w:val="004C483B"/>
    <w:rsid w:val="004F5BD1"/>
    <w:rsid w:val="00500996"/>
    <w:rsid w:val="005068F1"/>
    <w:rsid w:val="00520ABE"/>
    <w:rsid w:val="00522A90"/>
    <w:rsid w:val="005932A6"/>
    <w:rsid w:val="005C16CE"/>
    <w:rsid w:val="005E25C7"/>
    <w:rsid w:val="005E58D3"/>
    <w:rsid w:val="005F2BC4"/>
    <w:rsid w:val="005F73CC"/>
    <w:rsid w:val="00610907"/>
    <w:rsid w:val="00613EAB"/>
    <w:rsid w:val="00616E59"/>
    <w:rsid w:val="006417FF"/>
    <w:rsid w:val="00653334"/>
    <w:rsid w:val="006644ED"/>
    <w:rsid w:val="0067723F"/>
    <w:rsid w:val="00697922"/>
    <w:rsid w:val="006A349C"/>
    <w:rsid w:val="006D0F81"/>
    <w:rsid w:val="006F5D41"/>
    <w:rsid w:val="00710BBC"/>
    <w:rsid w:val="00715905"/>
    <w:rsid w:val="00717A28"/>
    <w:rsid w:val="00720540"/>
    <w:rsid w:val="0073684D"/>
    <w:rsid w:val="00753360"/>
    <w:rsid w:val="00753403"/>
    <w:rsid w:val="00760469"/>
    <w:rsid w:val="00763588"/>
    <w:rsid w:val="00776617"/>
    <w:rsid w:val="00784A2D"/>
    <w:rsid w:val="00784BEA"/>
    <w:rsid w:val="00792D9E"/>
    <w:rsid w:val="007A72BD"/>
    <w:rsid w:val="007B559D"/>
    <w:rsid w:val="007C72E6"/>
    <w:rsid w:val="007D1C86"/>
    <w:rsid w:val="007D28FB"/>
    <w:rsid w:val="007D3B5D"/>
    <w:rsid w:val="007D5A59"/>
    <w:rsid w:val="007F1CBE"/>
    <w:rsid w:val="00811064"/>
    <w:rsid w:val="00821D90"/>
    <w:rsid w:val="008716F6"/>
    <w:rsid w:val="00877701"/>
    <w:rsid w:val="00883D4F"/>
    <w:rsid w:val="008853EF"/>
    <w:rsid w:val="00885B48"/>
    <w:rsid w:val="008963CF"/>
    <w:rsid w:val="008C14F9"/>
    <w:rsid w:val="008C4917"/>
    <w:rsid w:val="008D2452"/>
    <w:rsid w:val="008D4267"/>
    <w:rsid w:val="008D7801"/>
    <w:rsid w:val="008E709D"/>
    <w:rsid w:val="009104CA"/>
    <w:rsid w:val="00920734"/>
    <w:rsid w:val="0093685B"/>
    <w:rsid w:val="0094027F"/>
    <w:rsid w:val="009412CF"/>
    <w:rsid w:val="00964B23"/>
    <w:rsid w:val="00964CDD"/>
    <w:rsid w:val="00965157"/>
    <w:rsid w:val="009911BF"/>
    <w:rsid w:val="00991685"/>
    <w:rsid w:val="009B0176"/>
    <w:rsid w:val="009E7D6A"/>
    <w:rsid w:val="00A040D3"/>
    <w:rsid w:val="00A12CF6"/>
    <w:rsid w:val="00A35BAC"/>
    <w:rsid w:val="00A4411D"/>
    <w:rsid w:val="00A60D0A"/>
    <w:rsid w:val="00A74012"/>
    <w:rsid w:val="00A77AD4"/>
    <w:rsid w:val="00A960EF"/>
    <w:rsid w:val="00AB7F04"/>
    <w:rsid w:val="00AC5D1D"/>
    <w:rsid w:val="00AC5E91"/>
    <w:rsid w:val="00AE46AB"/>
    <w:rsid w:val="00AF0512"/>
    <w:rsid w:val="00AF495B"/>
    <w:rsid w:val="00AF72A2"/>
    <w:rsid w:val="00AF757D"/>
    <w:rsid w:val="00B05DEC"/>
    <w:rsid w:val="00B13C32"/>
    <w:rsid w:val="00B30BA0"/>
    <w:rsid w:val="00B43870"/>
    <w:rsid w:val="00B471D7"/>
    <w:rsid w:val="00B47919"/>
    <w:rsid w:val="00B553B6"/>
    <w:rsid w:val="00B71F46"/>
    <w:rsid w:val="00B81D3A"/>
    <w:rsid w:val="00B927C8"/>
    <w:rsid w:val="00BA6E84"/>
    <w:rsid w:val="00BB3159"/>
    <w:rsid w:val="00BD62AE"/>
    <w:rsid w:val="00BD63F1"/>
    <w:rsid w:val="00BE3159"/>
    <w:rsid w:val="00BE3928"/>
    <w:rsid w:val="00BF1646"/>
    <w:rsid w:val="00C12C9D"/>
    <w:rsid w:val="00C35625"/>
    <w:rsid w:val="00C3576B"/>
    <w:rsid w:val="00D038C8"/>
    <w:rsid w:val="00D07643"/>
    <w:rsid w:val="00D41079"/>
    <w:rsid w:val="00D462DE"/>
    <w:rsid w:val="00D50B3C"/>
    <w:rsid w:val="00D5166E"/>
    <w:rsid w:val="00DB3D90"/>
    <w:rsid w:val="00DC6ACE"/>
    <w:rsid w:val="00DE6C75"/>
    <w:rsid w:val="00DF0C36"/>
    <w:rsid w:val="00E17F01"/>
    <w:rsid w:val="00E34E37"/>
    <w:rsid w:val="00E53957"/>
    <w:rsid w:val="00E56C7B"/>
    <w:rsid w:val="00E8717F"/>
    <w:rsid w:val="00E928AD"/>
    <w:rsid w:val="00E952BE"/>
    <w:rsid w:val="00EA13C3"/>
    <w:rsid w:val="00EA1E5D"/>
    <w:rsid w:val="00EB6B23"/>
    <w:rsid w:val="00EC6308"/>
    <w:rsid w:val="00EE133E"/>
    <w:rsid w:val="00EE2786"/>
    <w:rsid w:val="00EF5C1D"/>
    <w:rsid w:val="00EF6241"/>
    <w:rsid w:val="00F12801"/>
    <w:rsid w:val="00F14C82"/>
    <w:rsid w:val="00F17A52"/>
    <w:rsid w:val="00F60ACB"/>
    <w:rsid w:val="00F73BF0"/>
    <w:rsid w:val="00FB7E09"/>
    <w:rsid w:val="18BE1B9C"/>
    <w:rsid w:val="34F427D7"/>
    <w:rsid w:val="5C604B4F"/>
    <w:rsid w:val="7566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2"/>
      <w:lang w:val="en-US" w:eastAsia="zh-CN" w:bidi="ar-SA"/>
    </w:rPr>
  </w:style>
  <w:style w:type="paragraph" w:styleId="2">
    <w:name w:val="heading 1"/>
    <w:basedOn w:val="1"/>
    <w:next w:val="1"/>
    <w:link w:val="18"/>
    <w:qFormat/>
    <w:uiPriority w:val="9"/>
    <w:pPr>
      <w:keepNext/>
      <w:keepLines/>
      <w:numPr>
        <w:ilvl w:val="0"/>
        <w:numId w:val="1"/>
      </w:numPr>
      <w:spacing w:before="140" w:after="70"/>
      <w:jc w:val="center"/>
      <w:outlineLvl w:val="0"/>
    </w:pPr>
    <w:rPr>
      <w:b/>
      <w:bCs/>
      <w:kern w:val="44"/>
      <w:sz w:val="32"/>
      <w:szCs w:val="44"/>
    </w:rPr>
  </w:style>
  <w:style w:type="paragraph" w:styleId="3">
    <w:name w:val="heading 2"/>
    <w:basedOn w:val="1"/>
    <w:next w:val="1"/>
    <w:link w:val="19"/>
    <w:semiHidden/>
    <w:unhideWhenUsed/>
    <w:qFormat/>
    <w:uiPriority w:val="9"/>
    <w:pPr>
      <w:keepNext/>
      <w:keepLines/>
      <w:numPr>
        <w:ilvl w:val="1"/>
        <w:numId w:val="1"/>
      </w:numPr>
      <w:spacing w:before="70"/>
      <w:outlineLvl w:val="1"/>
    </w:pPr>
    <w:rPr>
      <w:rFonts w:eastAsia="黑体"/>
      <w:b/>
      <w:bCs/>
      <w:szCs w:val="32"/>
    </w:rPr>
  </w:style>
  <w:style w:type="paragraph" w:styleId="4">
    <w:name w:val="heading 3"/>
    <w:basedOn w:val="1"/>
    <w:next w:val="1"/>
    <w:link w:val="20"/>
    <w:semiHidden/>
    <w:unhideWhenUsed/>
    <w:qFormat/>
    <w:uiPriority w:val="9"/>
    <w:pPr>
      <w:keepNext/>
      <w:keepLines/>
      <w:numPr>
        <w:ilvl w:val="2"/>
        <w:numId w:val="1"/>
      </w:numPr>
      <w:outlineLvl w:val="2"/>
    </w:pPr>
    <w:rPr>
      <w:rFonts w:eastAsia="楷体"/>
      <w:b/>
      <w:bCs/>
      <w:szCs w:val="32"/>
    </w:rPr>
  </w:style>
  <w:style w:type="paragraph" w:styleId="5">
    <w:name w:val="heading 4"/>
    <w:basedOn w:val="1"/>
    <w:next w:val="1"/>
    <w:link w:val="21"/>
    <w:semiHidden/>
    <w:unhideWhenUsed/>
    <w:qFormat/>
    <w:uiPriority w:val="9"/>
    <w:pPr>
      <w:numPr>
        <w:ilvl w:val="3"/>
        <w:numId w:val="1"/>
      </w:numPr>
      <w:ind w:firstLine="200" w:firstLineChars="200"/>
      <w:outlineLvl w:val="3"/>
    </w:pPr>
    <w:rPr>
      <w:b/>
      <w:szCs w:val="28"/>
    </w:rPr>
  </w:style>
  <w:style w:type="character" w:default="1" w:styleId="16">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35"/>
    <w:pPr>
      <w:jc w:val="center"/>
    </w:pPr>
    <w:rPr>
      <w:b/>
      <w:szCs w:val="20"/>
    </w:rPr>
  </w:style>
  <w:style w:type="paragraph" w:styleId="7">
    <w:name w:val="Document Map"/>
    <w:basedOn w:val="1"/>
    <w:link w:val="27"/>
    <w:qFormat/>
    <w:uiPriority w:val="99"/>
    <w:rPr>
      <w:rFonts w:ascii="宋体"/>
      <w:sz w:val="18"/>
      <w:szCs w:val="18"/>
    </w:rPr>
  </w:style>
  <w:style w:type="paragraph" w:styleId="8">
    <w:name w:val="annotation text"/>
    <w:basedOn w:val="1"/>
    <w:link w:val="28"/>
    <w:qFormat/>
    <w:uiPriority w:val="99"/>
    <w:pPr>
      <w:jc w:val="left"/>
    </w:pPr>
  </w:style>
  <w:style w:type="paragraph" w:styleId="9">
    <w:name w:val="Body Text"/>
    <w:basedOn w:val="1"/>
    <w:link w:val="31"/>
    <w:unhideWhenUsed/>
    <w:qFormat/>
    <w:uiPriority w:val="99"/>
    <w:pPr>
      <w:spacing w:line="560" w:lineRule="exact"/>
      <w:ind w:firstLine="200" w:firstLineChars="200"/>
    </w:pPr>
    <w:rPr>
      <w:rFonts w:eastAsia="仿宋" w:cs="Times New Roman"/>
      <w:sz w:val="32"/>
      <w:szCs w:val="32"/>
    </w:rPr>
  </w:style>
  <w:style w:type="paragraph" w:styleId="10">
    <w:name w:val="Balloon Text"/>
    <w:basedOn w:val="1"/>
    <w:link w:val="26"/>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9"/>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99"/>
    <w:rPr>
      <w:sz w:val="21"/>
      <w:szCs w:val="21"/>
    </w:rPr>
  </w:style>
  <w:style w:type="character" w:customStyle="1" w:styleId="18">
    <w:name w:val="标题 1 字符"/>
    <w:basedOn w:val="16"/>
    <w:link w:val="2"/>
    <w:qFormat/>
    <w:uiPriority w:val="9"/>
    <w:rPr>
      <w:rFonts w:ascii="Times New Roman" w:hAnsi="Times New Roman" w:eastAsia="宋体"/>
      <w:b/>
      <w:bCs/>
      <w:kern w:val="44"/>
      <w:sz w:val="32"/>
      <w:szCs w:val="44"/>
    </w:rPr>
  </w:style>
  <w:style w:type="character" w:customStyle="1" w:styleId="19">
    <w:name w:val="标题 2 字符"/>
    <w:basedOn w:val="16"/>
    <w:link w:val="3"/>
    <w:qFormat/>
    <w:uiPriority w:val="9"/>
    <w:rPr>
      <w:rFonts w:ascii="Times New Roman" w:hAnsi="Times New Roman" w:eastAsia="黑体" w:cs="宋体"/>
      <w:b/>
      <w:bCs/>
      <w:sz w:val="28"/>
      <w:szCs w:val="32"/>
    </w:rPr>
  </w:style>
  <w:style w:type="character" w:customStyle="1" w:styleId="20">
    <w:name w:val="标题 3 字符"/>
    <w:basedOn w:val="16"/>
    <w:link w:val="4"/>
    <w:qFormat/>
    <w:uiPriority w:val="9"/>
    <w:rPr>
      <w:rFonts w:ascii="Times New Roman" w:hAnsi="Times New Roman" w:eastAsia="楷体"/>
      <w:b/>
      <w:bCs/>
      <w:sz w:val="28"/>
      <w:szCs w:val="32"/>
    </w:rPr>
  </w:style>
  <w:style w:type="character" w:customStyle="1" w:styleId="21">
    <w:name w:val="标题 4 字符"/>
    <w:basedOn w:val="16"/>
    <w:link w:val="5"/>
    <w:qFormat/>
    <w:uiPriority w:val="9"/>
    <w:rPr>
      <w:rFonts w:ascii="Times New Roman" w:hAnsi="Times New Roman" w:eastAsia="宋体"/>
      <w:b/>
      <w:sz w:val="28"/>
      <w:szCs w:val="28"/>
    </w:rPr>
  </w:style>
  <w:style w:type="character" w:customStyle="1" w:styleId="22">
    <w:name w:val="页眉 字符"/>
    <w:basedOn w:val="16"/>
    <w:link w:val="12"/>
    <w:qFormat/>
    <w:uiPriority w:val="99"/>
    <w:rPr>
      <w:rFonts w:ascii="Times New Roman" w:hAnsi="Times New Roman" w:eastAsia="宋体"/>
      <w:sz w:val="18"/>
      <w:szCs w:val="18"/>
    </w:rPr>
  </w:style>
  <w:style w:type="character" w:customStyle="1" w:styleId="23">
    <w:name w:val="页脚 字符"/>
    <w:basedOn w:val="16"/>
    <w:link w:val="11"/>
    <w:qFormat/>
    <w:uiPriority w:val="99"/>
    <w:rPr>
      <w:rFonts w:ascii="Times New Roman" w:hAnsi="Times New Roman" w:eastAsia="宋体"/>
      <w:sz w:val="18"/>
      <w:szCs w:val="18"/>
    </w:rPr>
  </w:style>
  <w:style w:type="paragraph" w:styleId="24">
    <w:name w:val="List Paragraph"/>
    <w:basedOn w:val="1"/>
    <w:qFormat/>
    <w:uiPriority w:val="34"/>
    <w:pPr>
      <w:numPr>
        <w:ilvl w:val="0"/>
        <w:numId w:val="2"/>
      </w:numPr>
    </w:pPr>
    <w:rPr>
      <w:rFonts w:ascii="仿宋_GB2312" w:eastAsia="仿宋_GB2312"/>
    </w:rPr>
  </w:style>
  <w:style w:type="character" w:customStyle="1" w:styleId="25">
    <w:name w:val="fontstyle01"/>
    <w:qFormat/>
    <w:uiPriority w:val="0"/>
    <w:rPr>
      <w:rFonts w:hint="eastAsia" w:ascii="仿宋" w:hAnsi="仿宋" w:eastAsia="仿宋"/>
      <w:color w:val="000000"/>
      <w:sz w:val="32"/>
      <w:szCs w:val="32"/>
    </w:rPr>
  </w:style>
  <w:style w:type="character" w:customStyle="1" w:styleId="26">
    <w:name w:val="批注框文本 字符"/>
    <w:basedOn w:val="16"/>
    <w:link w:val="10"/>
    <w:qFormat/>
    <w:uiPriority w:val="99"/>
    <w:rPr>
      <w:rFonts w:cs="宋体"/>
      <w:kern w:val="2"/>
      <w:sz w:val="18"/>
      <w:szCs w:val="18"/>
    </w:rPr>
  </w:style>
  <w:style w:type="character" w:customStyle="1" w:styleId="27">
    <w:name w:val="文档结构图 字符"/>
    <w:basedOn w:val="16"/>
    <w:link w:val="7"/>
    <w:qFormat/>
    <w:uiPriority w:val="99"/>
    <w:rPr>
      <w:rFonts w:ascii="宋体" w:cs="宋体"/>
      <w:kern w:val="2"/>
      <w:sz w:val="18"/>
      <w:szCs w:val="18"/>
    </w:rPr>
  </w:style>
  <w:style w:type="character" w:customStyle="1" w:styleId="28">
    <w:name w:val="批注文字 字符"/>
    <w:basedOn w:val="16"/>
    <w:link w:val="8"/>
    <w:qFormat/>
    <w:uiPriority w:val="99"/>
    <w:rPr>
      <w:rFonts w:cs="宋体"/>
      <w:kern w:val="2"/>
      <w:sz w:val="28"/>
      <w:szCs w:val="22"/>
    </w:rPr>
  </w:style>
  <w:style w:type="character" w:customStyle="1" w:styleId="29">
    <w:name w:val="批注主题 字符"/>
    <w:basedOn w:val="28"/>
    <w:link w:val="13"/>
    <w:qFormat/>
    <w:uiPriority w:val="99"/>
    <w:rPr>
      <w:rFonts w:cs="宋体"/>
      <w:b/>
      <w:bCs/>
      <w:kern w:val="2"/>
      <w:sz w:val="28"/>
      <w:szCs w:val="22"/>
    </w:rPr>
  </w:style>
  <w:style w:type="character" w:customStyle="1" w:styleId="30">
    <w:name w:val="批注文字 Char1"/>
    <w:qFormat/>
    <w:uiPriority w:val="99"/>
    <w:rPr>
      <w:rFonts w:ascii="Times New Roman" w:hAnsi="Times New Roman" w:eastAsia="宋体" w:cs="Times New Roman"/>
    </w:rPr>
  </w:style>
  <w:style w:type="character" w:customStyle="1" w:styleId="31">
    <w:name w:val="正文文本 字符"/>
    <w:basedOn w:val="16"/>
    <w:link w:val="9"/>
    <w:qFormat/>
    <w:uiPriority w:val="99"/>
    <w:rPr>
      <w:rFonts w:eastAsia="仿宋"/>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E67D5-47CE-4292-86C6-6095CD30D59C}">
  <ds:schemaRefs/>
</ds:datastoreItem>
</file>

<file path=docProps/app.xml><?xml version="1.0" encoding="utf-8"?>
<Properties xmlns="http://schemas.openxmlformats.org/officeDocument/2006/extended-properties" xmlns:vt="http://schemas.openxmlformats.org/officeDocument/2006/docPropsVTypes">
  <Template>Normal.dotm</Template>
  <Company>Alibaba</Company>
  <Pages>7</Pages>
  <Words>593</Words>
  <Characters>3381</Characters>
  <Lines>28</Lines>
  <Paragraphs>7</Paragraphs>
  <TotalTime>32</TotalTime>
  <ScaleCrop>false</ScaleCrop>
  <LinksUpToDate>false</LinksUpToDate>
  <CharactersWithSpaces>3967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2022-06-28T10:59:00Z</dcterms:created>
  <dc:creator>陈宇婷</dc:creator>
  <cp:lastModifiedBy>童旭</cp:lastModifiedBy>
  <cp:lastPrinted>2021-03-23T06:10:00Z</cp:lastPrinted>
  <dcterms:modified xsi:type="dcterms:W3CDTF">2024-03-27T03:19:06Z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