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BD4A8">
      <w:pPr>
        <w:pStyle w:val="9"/>
      </w:pPr>
      <w:r>
        <w:rPr>
          <w:rFonts w:hint="eastAsia"/>
        </w:rPr>
        <w:t>嵊泗县工信领域高质量发展专项资金管理办法</w:t>
      </w:r>
    </w:p>
    <w:p w14:paraId="5CAB1454">
      <w:pPr>
        <w:pStyle w:val="16"/>
        <w:bidi w:val="0"/>
        <w:jc w:val="center"/>
      </w:pPr>
      <w:r>
        <w:rPr>
          <w:rFonts w:hint="eastAsia"/>
        </w:rPr>
        <w:t>（第二次征求意见稿）</w:t>
      </w:r>
    </w:p>
    <w:p w14:paraId="7AE6CAA6">
      <w:pPr>
        <w:pStyle w:val="33"/>
        <w:jc w:val="center"/>
        <w:rPr>
          <w:rFonts w:ascii="仿宋_GB2312" w:hAnsi="仿宋" w:eastAsia="仿宋_GB2312"/>
          <w:b/>
          <w:bCs/>
          <w:sz w:val="32"/>
          <w:szCs w:val="32"/>
        </w:rPr>
      </w:pPr>
      <w:bookmarkStart w:id="0" w:name="_GoBack"/>
      <w:bookmarkEnd w:id="0"/>
    </w:p>
    <w:p w14:paraId="5814894B">
      <w:pPr>
        <w:pStyle w:val="12"/>
        <w:ind w:firstLine="640"/>
      </w:pPr>
      <w:r>
        <w:rPr>
          <w:rFonts w:hint="eastAsia"/>
        </w:rPr>
        <w:t>为持续优化我县工业和信息化领域中小微企业发展环境，促进企业健康发展，进一步推动我县工信领域经济高质量发展，充分发挥财政专项资金的引导带动作用。同时，贯彻落实《舟山市工业高质量发展实施细则暨资金管理办法》《关于促进我市数字经济创新提质的实施意见》等有关文件精神和要求，按照有利于进一步增加就业岗位、有利于进一步促进企业升规纳统、有利于进一步激发企业创新活力、有利于进一步促进共同富裕的原则，制定本管理办法。</w:t>
      </w:r>
    </w:p>
    <w:p w14:paraId="0F0A9497">
      <w:pPr>
        <w:pStyle w:val="12"/>
        <w:ind w:firstLine="640"/>
        <w:rPr>
          <w:rFonts w:ascii="黑体" w:hAnsi="黑体" w:eastAsia="黑体"/>
          <w:szCs w:val="32"/>
        </w:rPr>
      </w:pPr>
      <w:r>
        <w:rPr>
          <w:rFonts w:hint="eastAsia" w:ascii="黑体" w:hAnsi="黑体" w:eastAsia="黑体"/>
        </w:rPr>
        <w:t>第一条 资金来源</w:t>
      </w:r>
    </w:p>
    <w:p w14:paraId="0226C6C4">
      <w:pPr>
        <w:pStyle w:val="12"/>
        <w:ind w:firstLine="640"/>
        <w:rPr>
          <w:rFonts w:ascii="Calibri" w:hAnsi="Calibri"/>
        </w:rPr>
      </w:pPr>
      <w:r>
        <w:rPr>
          <w:rFonts w:hint="eastAsia"/>
        </w:rPr>
        <w:t>县工信领域高质量发展专项资金每年由县财政统筹安排。</w:t>
      </w:r>
    </w:p>
    <w:p w14:paraId="021DD44E">
      <w:pPr>
        <w:pStyle w:val="12"/>
        <w:ind w:firstLine="640"/>
        <w:rPr>
          <w:rFonts w:ascii="黑体" w:hAnsi="黑体" w:eastAsia="黑体"/>
        </w:rPr>
      </w:pPr>
      <w:r>
        <w:rPr>
          <w:rFonts w:hint="eastAsia" w:ascii="黑体" w:hAnsi="黑体" w:eastAsia="黑体"/>
        </w:rPr>
        <w:t>第二条 专项资金的使用和管理</w:t>
      </w:r>
    </w:p>
    <w:p w14:paraId="7C9AF1EB">
      <w:pPr>
        <w:pStyle w:val="12"/>
        <w:ind w:firstLine="640"/>
      </w:pPr>
      <w:r>
        <w:rPr>
          <w:rFonts w:hint="eastAsia"/>
        </w:rPr>
        <w:t>专项资金由财政部门和经信部门共同管理。县财政局牵头负责专项资金的预算管理、资金下达、监督检查和绩效评价，县经信局牵头负责提出专项资金的支持重点，提出专项资金补助分配方案；并坚持公开、公平、公正的原则，确保专项资金的规范、安全和高效使用。</w:t>
      </w:r>
    </w:p>
    <w:p w14:paraId="731A2DC6">
      <w:pPr>
        <w:pStyle w:val="12"/>
        <w:ind w:firstLine="640"/>
        <w:rPr>
          <w:rFonts w:ascii="黑体" w:hAnsi="黑体" w:eastAsia="黑体"/>
          <w:szCs w:val="32"/>
        </w:rPr>
      </w:pPr>
      <w:r>
        <w:rPr>
          <w:rFonts w:hint="eastAsia" w:ascii="黑体" w:hAnsi="黑体" w:eastAsia="黑体"/>
        </w:rPr>
        <w:t>第三条 支持对象及应具备的条件</w:t>
      </w:r>
    </w:p>
    <w:p w14:paraId="04B21649">
      <w:pPr>
        <w:pStyle w:val="16"/>
        <w:ind w:firstLine="640"/>
        <w:rPr>
          <w:rFonts w:ascii="Calibri" w:hAnsi="Calibri"/>
        </w:rPr>
      </w:pPr>
      <w:r>
        <w:rPr>
          <w:rFonts w:hint="eastAsia"/>
        </w:rPr>
        <w:t>（一）支持对象</w:t>
      </w:r>
    </w:p>
    <w:p w14:paraId="2273AFDC">
      <w:pPr>
        <w:pStyle w:val="12"/>
        <w:ind w:firstLine="640"/>
      </w:pPr>
      <w:r>
        <w:rPr>
          <w:rFonts w:hint="eastAsia"/>
        </w:rPr>
        <w:t>在本县范围内注册设立具有独立法人资格的工业和信息化领域企业及相关单位。</w:t>
      </w:r>
    </w:p>
    <w:p w14:paraId="0D38E46A">
      <w:pPr>
        <w:pStyle w:val="16"/>
        <w:ind w:firstLine="640"/>
      </w:pPr>
      <w:r>
        <w:rPr>
          <w:rFonts w:hint="eastAsia"/>
        </w:rPr>
        <w:t>（二）企业应具备的基本条件</w:t>
      </w:r>
    </w:p>
    <w:p w14:paraId="77DDDB0A">
      <w:pPr>
        <w:pStyle w:val="12"/>
        <w:ind w:firstLine="640"/>
      </w:pPr>
      <w:r>
        <w:rPr>
          <w:rFonts w:hint="eastAsia"/>
        </w:rPr>
        <w:t>1. 合法经营，依法纳税，管理规范；</w:t>
      </w:r>
    </w:p>
    <w:p w14:paraId="7C5D5A3F">
      <w:pPr>
        <w:pStyle w:val="12"/>
        <w:ind w:firstLine="640"/>
      </w:pPr>
      <w:r>
        <w:rPr>
          <w:rFonts w:hint="eastAsia"/>
        </w:rPr>
        <w:t>2. 具有健全的财务管理制度和良好的财务记录；</w:t>
      </w:r>
    </w:p>
    <w:p w14:paraId="41322D80">
      <w:pPr>
        <w:pStyle w:val="12"/>
        <w:ind w:firstLine="640"/>
      </w:pPr>
      <w:r>
        <w:rPr>
          <w:rFonts w:hint="eastAsia"/>
        </w:rPr>
        <w:t>3. 按规定分别向财政部门和经信部门报送有关资料；</w:t>
      </w:r>
    </w:p>
    <w:p w14:paraId="5CE3CCAC">
      <w:pPr>
        <w:pStyle w:val="12"/>
        <w:ind w:firstLine="640"/>
        <w:rPr>
          <w:rFonts w:ascii="Calibri" w:hAnsi="Calibri"/>
          <w:szCs w:val="32"/>
        </w:rPr>
      </w:pPr>
      <w:r>
        <w:rPr>
          <w:rFonts w:hint="eastAsia"/>
        </w:rPr>
        <w:t>4. 以“亩均效益”为导向，参与企业综合评价的评价结果原则上应为C类及以上；</w:t>
      </w:r>
    </w:p>
    <w:p w14:paraId="74F6A88A">
      <w:pPr>
        <w:pStyle w:val="12"/>
        <w:ind w:firstLine="640"/>
        <w:rPr>
          <w:rFonts w:ascii="黑体" w:hAnsi="黑体" w:eastAsia="黑体"/>
        </w:rPr>
      </w:pPr>
      <w:r>
        <w:rPr>
          <w:rFonts w:hint="eastAsia" w:ascii="黑体" w:hAnsi="黑体" w:eastAsia="黑体"/>
        </w:rPr>
        <w:t>第四条 支持重点和标准</w:t>
      </w:r>
    </w:p>
    <w:p w14:paraId="6A1CB162">
      <w:pPr>
        <w:pStyle w:val="16"/>
        <w:ind w:firstLine="640"/>
      </w:pPr>
      <w:r>
        <w:rPr>
          <w:rFonts w:hint="eastAsia"/>
        </w:rPr>
        <w:t>（一）支持工信领域项目投资。</w:t>
      </w:r>
    </w:p>
    <w:p w14:paraId="454E6585">
      <w:pPr>
        <w:pStyle w:val="12"/>
        <w:ind w:firstLine="640"/>
      </w:pPr>
      <w:r>
        <w:rPr>
          <w:rFonts w:hint="eastAsia"/>
        </w:rPr>
        <w:t>1. 鼓励制造业项目建设。支持制造业投资项目在我县建设、投产，对民营企业在我县投资建设总额3000万元以上（不含土地款）的制造业项目，在正式投产年度给予实际投资总额不超过5%的奖励，最高不超过500万元。</w:t>
      </w:r>
    </w:p>
    <w:p w14:paraId="6D424856">
      <w:pPr>
        <w:pStyle w:val="12"/>
        <w:ind w:firstLine="640"/>
      </w:pPr>
      <w:r>
        <w:rPr>
          <w:rFonts w:hint="eastAsia"/>
        </w:rPr>
        <w:t>2. 鼓励吸纳当地就业。对工信领域企业当年度吸纳本地户籍人员就业（签订劳动合同并缴纳社保）达到10人以上的，按照每人1万元进行奖励，最高不超过30万元。</w:t>
      </w:r>
    </w:p>
    <w:p w14:paraId="46720700">
      <w:pPr>
        <w:pStyle w:val="16"/>
        <w:ind w:firstLine="640"/>
      </w:pPr>
      <w:r>
        <w:rPr>
          <w:rFonts w:hint="eastAsia"/>
        </w:rPr>
        <w:t>（二）支持工信领域企业高质量发展。</w:t>
      </w:r>
    </w:p>
    <w:p w14:paraId="72CF3226">
      <w:pPr>
        <w:pStyle w:val="12"/>
        <w:ind w:firstLine="640"/>
      </w:pPr>
      <w:r>
        <w:rPr>
          <w:rFonts w:hint="eastAsia"/>
        </w:rPr>
        <w:t>1. 鼓励企业转型升级。支持企业设备更新、数字化应用与创新改造（包括数字化车间改造、“5G+工业互联网”、共享制造、工业互联网应用、信息化应用提升、工业APP开发等）项目，对实际投资超过50万元（指设备、软件）的项目给予不超过10%、最高100万元的补助，其中数字化应用与创新项目最高不超过150万元。</w:t>
      </w:r>
    </w:p>
    <w:p w14:paraId="7C16DF5E">
      <w:pPr>
        <w:pStyle w:val="12"/>
        <w:ind w:firstLine="640"/>
      </w:pPr>
      <w:r>
        <w:rPr>
          <w:rFonts w:hint="eastAsia"/>
        </w:rPr>
        <w:t>2. 推动县域数字经济发展。每年安排不超过25万元的资金用于开展县域内工信领域的发展咨询和服务，对提供工业企业数字化改造、数字化培训、参会参展、企业上云等数字化服务的给予一定补助。</w:t>
      </w:r>
    </w:p>
    <w:p w14:paraId="2BB69FF3">
      <w:pPr>
        <w:pStyle w:val="16"/>
        <w:ind w:firstLine="640"/>
      </w:pPr>
      <w:r>
        <w:rPr>
          <w:rFonts w:hint="eastAsia"/>
        </w:rPr>
        <w:t>（三）加大工信领域企业培育力度。</w:t>
      </w:r>
    </w:p>
    <w:p w14:paraId="439A61E4">
      <w:pPr>
        <w:pStyle w:val="12"/>
        <w:ind w:firstLine="640"/>
        <w:rPr>
          <w:highlight w:val="yellow"/>
        </w:rPr>
      </w:pPr>
      <w:r>
        <w:rPr>
          <w:rFonts w:hint="eastAsia"/>
        </w:rPr>
        <w:t>1. 鼓励企业升规纳统。对工业企业首次上规的，第一年给予配套10万元奖励，第二年第三年未退规的，再在第三年一次性给予配套10万元奖励。数字经济核心产业企业享受同等配套奖励，其中软件与信息服务企业自上规后未退规的，每年另给予20万元奖励（未退规奖励享受不超过三年，与配套奖励不叠加享受）。</w:t>
      </w:r>
    </w:p>
    <w:p w14:paraId="2D84E5F2">
      <w:pPr>
        <w:pStyle w:val="12"/>
        <w:ind w:firstLine="640"/>
      </w:pPr>
      <w:r>
        <w:rPr>
          <w:rFonts w:hint="eastAsia"/>
        </w:rPr>
        <w:t>2. 对首次获评国家专精特新“小巨人”企业、省级“隐形冠军”企业、省级“专精特新”中小企业，分别给予配套40万元、20万元、10万元。对首次获评省级创新型中小企业的企业，给予3万元奖励。</w:t>
      </w:r>
    </w:p>
    <w:p w14:paraId="610910F6">
      <w:pPr>
        <w:pStyle w:val="12"/>
        <w:ind w:firstLine="640"/>
      </w:pPr>
      <w:r>
        <w:rPr>
          <w:rFonts w:hint="eastAsia"/>
        </w:rPr>
        <w:t>3. 鼓励制造业企业发展壮大。对规上制造业企业年产值增幅在50%—100%、100%以上的企业，分别给予10万元、20万元奖励；对制造业企业首次产值超过5000万元、1亿元、5亿元的，再分别给予10万元、20万元、50万元奖励。规上数字经济核心产业企业享受同等奖励。</w:t>
      </w:r>
    </w:p>
    <w:p w14:paraId="193A5238">
      <w:pPr>
        <w:pStyle w:val="12"/>
        <w:ind w:firstLine="640"/>
      </w:pPr>
      <w:r>
        <w:rPr>
          <w:rFonts w:hint="eastAsia"/>
        </w:rPr>
        <w:t>4</w:t>
      </w:r>
      <w:r>
        <w:rPr>
          <w:rFonts w:hint="eastAsia"/>
          <w:lang w:val="en-US" w:eastAsia="zh-CN"/>
        </w:rPr>
        <w:t xml:space="preserve">. </w:t>
      </w:r>
      <w:r>
        <w:rPr>
          <w:rFonts w:hint="eastAsia"/>
        </w:rPr>
        <w:t>促进软件与信息服务业发展。以数字经济与海洋经济深度融合、创新发展为目标，招引培育一批技术先进、特色鲜明、势头良好的软件与信息服务企业。对上规前年营收达到500万元且连续两年营收增速达到30%以上的软件与信息服务业企业，一次性奖励10万元。</w:t>
      </w:r>
    </w:p>
    <w:p w14:paraId="2772BBE2">
      <w:pPr>
        <w:pStyle w:val="16"/>
        <w:ind w:firstLine="640"/>
      </w:pPr>
      <w:r>
        <w:rPr>
          <w:rFonts w:hint="eastAsia"/>
        </w:rPr>
        <w:t>（四）强化工信领域企业创新能力建设。</w:t>
      </w:r>
    </w:p>
    <w:p w14:paraId="777EB24A">
      <w:pPr>
        <w:pStyle w:val="12"/>
        <w:ind w:firstLine="640"/>
      </w:pPr>
      <w:r>
        <w:rPr>
          <w:rFonts w:hint="eastAsia"/>
        </w:rPr>
        <w:t>1. 鼓励企业技术创新，对省级新产品（新技术）、浙江制造精品、省级首台套认定的均给予配套5万元的奖励；获评省、市企业技术中心的给予配套10万元、5万元的奖励；对获评省级智能工厂（数字化车间）、省级“未来工厂”的，分别给予配套25万元、50万元奖励；对通过省级清洁生产审核验收的企业，给予配套5万元奖励。</w:t>
      </w:r>
    </w:p>
    <w:p w14:paraId="3AE6FB96">
      <w:pPr>
        <w:pStyle w:val="12"/>
        <w:ind w:firstLine="640"/>
      </w:pPr>
      <w:r>
        <w:rPr>
          <w:rFonts w:hint="eastAsia"/>
        </w:rPr>
        <w:t>2. 打造管理标杆企业，对获评省级管理对标提升标杆企业的给予每家最高20万元奖励。对认定为五星级、四星级企业管理对标提升的，分别给予最高10万元、5万元奖励。</w:t>
      </w:r>
    </w:p>
    <w:p w14:paraId="6151E639">
      <w:pPr>
        <w:pStyle w:val="12"/>
        <w:ind w:firstLine="640"/>
      </w:pPr>
      <w:r>
        <w:rPr>
          <w:rFonts w:hint="eastAsia"/>
        </w:rPr>
        <w:t>3. 支持企业深度上云。对列入年度省、市制造业“云上企业”的，分别给予20万元、10万元奖励，对列入市级数字化改造试点示范企业给予20万元奖励；</w:t>
      </w:r>
    </w:p>
    <w:p w14:paraId="4671F32B">
      <w:pPr>
        <w:pStyle w:val="16"/>
        <w:ind w:firstLine="640"/>
      </w:pPr>
      <w:r>
        <w:rPr>
          <w:rFonts w:hint="eastAsia"/>
        </w:rPr>
        <w:t>（五）</w:t>
      </w:r>
      <w:r>
        <w:t>支持数字经济企业对外交流。</w:t>
      </w:r>
    </w:p>
    <w:p w14:paraId="171DEDB6">
      <w:pPr>
        <w:pStyle w:val="12"/>
        <w:ind w:firstLine="640"/>
      </w:pPr>
      <w:r>
        <w:rPr>
          <w:rFonts w:ascii="仿宋_GB2312"/>
        </w:rPr>
        <w:t>支持企业扩大行业影响力与知名度，对参与数字经济领域重点展会、开展对口合作等国内外合作交流活动的数字经济企业，按展位费给予</w:t>
      </w:r>
      <w:r>
        <w:rPr>
          <w:rFonts w:hint="eastAsia"/>
        </w:rPr>
        <w:t>50</w:t>
      </w:r>
      <w:r>
        <w:t>%</w:t>
      </w:r>
      <w:r>
        <w:rPr>
          <w:rFonts w:ascii="仿宋_GB2312"/>
        </w:rPr>
        <w:t>、最高不超过</w:t>
      </w:r>
      <w:r>
        <w:t>10</w:t>
      </w:r>
      <w:r>
        <w:rPr>
          <w:rFonts w:ascii="仿宋_GB2312"/>
        </w:rPr>
        <w:t>万元的资金补助</w:t>
      </w:r>
      <w:r>
        <w:rPr>
          <w:rFonts w:hint="eastAsia" w:ascii="仿宋_GB2312"/>
        </w:rPr>
        <w:t>。</w:t>
      </w:r>
    </w:p>
    <w:p w14:paraId="79A9F502">
      <w:pPr>
        <w:pStyle w:val="16"/>
        <w:ind w:firstLine="640"/>
      </w:pPr>
      <w:r>
        <w:rPr>
          <w:rFonts w:hint="eastAsia"/>
        </w:rPr>
        <w:t>（六）支持县委、县政府确定的其他工信领域的工作</w:t>
      </w:r>
    </w:p>
    <w:p w14:paraId="740BDFE6">
      <w:pPr>
        <w:pStyle w:val="12"/>
        <w:ind w:firstLine="640"/>
      </w:pPr>
      <w:r>
        <w:rPr>
          <w:rFonts w:hint="eastAsia" w:ascii="仿宋_GB2312"/>
        </w:rPr>
        <w:t>对县委、县政府确定的其他工信领域的工作，以提示单（任务单、督办函等形式）为工作依据的，视工作实绩给予一定补助。</w:t>
      </w:r>
    </w:p>
    <w:p w14:paraId="2BCDA869">
      <w:pPr>
        <w:pStyle w:val="12"/>
        <w:ind w:firstLine="640"/>
        <w:rPr>
          <w:rFonts w:ascii="黑体" w:hAnsi="黑体" w:eastAsia="黑体"/>
        </w:rPr>
      </w:pPr>
      <w:r>
        <w:rPr>
          <w:rFonts w:hint="eastAsia" w:ascii="黑体" w:hAnsi="黑体" w:eastAsia="黑体"/>
        </w:rPr>
        <w:t>第五条 申请专项资金的项目单位需提供的材料</w:t>
      </w:r>
    </w:p>
    <w:p w14:paraId="360C9C28">
      <w:pPr>
        <w:pStyle w:val="12"/>
        <w:ind w:firstLine="640"/>
      </w:pPr>
      <w:r>
        <w:rPr>
          <w:rFonts w:hint="eastAsia"/>
        </w:rPr>
        <w:t>专项资金申请需提供项目申报书，包括以下材料：</w:t>
      </w:r>
    </w:p>
    <w:p w14:paraId="4A61E3DC">
      <w:pPr>
        <w:pStyle w:val="12"/>
        <w:ind w:firstLine="640"/>
      </w:pPr>
      <w:r>
        <w:rPr>
          <w:rFonts w:hint="eastAsia"/>
        </w:rPr>
        <w:t>1. 单位法人执照副本复印件；</w:t>
      </w:r>
    </w:p>
    <w:p w14:paraId="07A6AC71">
      <w:pPr>
        <w:pStyle w:val="12"/>
        <w:ind w:firstLine="640"/>
      </w:pPr>
      <w:r>
        <w:rPr>
          <w:rFonts w:hint="eastAsia"/>
        </w:rPr>
        <w:t>2. 专项资金申请表；</w:t>
      </w:r>
    </w:p>
    <w:p w14:paraId="3E72B728">
      <w:pPr>
        <w:pStyle w:val="12"/>
        <w:ind w:firstLine="640"/>
      </w:pPr>
      <w:r>
        <w:rPr>
          <w:rFonts w:hint="eastAsia"/>
        </w:rPr>
        <w:t>3. 企业上一年度财务报表；</w:t>
      </w:r>
    </w:p>
    <w:p w14:paraId="4C2D0EF7">
      <w:pPr>
        <w:pStyle w:val="12"/>
        <w:ind w:firstLine="640"/>
      </w:pPr>
      <w:r>
        <w:rPr>
          <w:rFonts w:hint="eastAsia"/>
        </w:rPr>
        <w:t>4. 其他按申报类别需提供的证明材料及相关佐证</w:t>
      </w:r>
    </w:p>
    <w:p w14:paraId="0898D3D1">
      <w:pPr>
        <w:pStyle w:val="12"/>
        <w:ind w:firstLine="640"/>
      </w:pPr>
      <w:r>
        <w:rPr>
          <w:rFonts w:hint="eastAsia"/>
        </w:rPr>
        <w:t>5. 技改类项目需提供设备购置清单（明确设备型号及对应金额）。</w:t>
      </w:r>
    </w:p>
    <w:p w14:paraId="12592D6F">
      <w:pPr>
        <w:pStyle w:val="12"/>
        <w:ind w:firstLine="640"/>
        <w:rPr>
          <w:rFonts w:ascii="黑体" w:hAnsi="黑体" w:eastAsia="黑体"/>
          <w:szCs w:val="32"/>
        </w:rPr>
      </w:pPr>
      <w:r>
        <w:rPr>
          <w:rFonts w:hint="eastAsia" w:ascii="黑体" w:hAnsi="黑体" w:eastAsia="黑体"/>
        </w:rPr>
        <w:t>第六条 申报及审批程序</w:t>
      </w:r>
    </w:p>
    <w:p w14:paraId="54E71E48">
      <w:pPr>
        <w:pStyle w:val="12"/>
        <w:ind w:firstLine="640"/>
      </w:pPr>
      <w:r>
        <w:rPr>
          <w:rFonts w:hint="eastAsia"/>
        </w:rPr>
        <w:t>（一）年度专项资金申报通知由县经信局、县财政局联合下发并在线上公开渠道公布，由乡镇政府和主管部门组织中小微企业或相关单位申报，实行纸质材料申报。原则上申报时间为每年3月—6月。</w:t>
      </w:r>
    </w:p>
    <w:p w14:paraId="0AD6D143">
      <w:pPr>
        <w:pStyle w:val="12"/>
        <w:ind w:firstLine="640"/>
      </w:pPr>
      <w:r>
        <w:rPr>
          <w:rFonts w:hint="eastAsia"/>
        </w:rPr>
        <w:t>（二）乡镇政府或主管部门按要求对申报材料进行审核，汇总并签署意见后上报县经信局、县财政局。</w:t>
      </w:r>
    </w:p>
    <w:p w14:paraId="46EC3A78">
      <w:pPr>
        <w:pStyle w:val="12"/>
        <w:ind w:firstLine="640"/>
      </w:pPr>
      <w:r>
        <w:rPr>
          <w:rFonts w:hint="eastAsia"/>
        </w:rPr>
        <w:t>（三）县经信局、县财政局共同组织人员对申报项目进行复核和评审；根据复核和评审意见共同拟定专项资金补助方案。</w:t>
      </w:r>
    </w:p>
    <w:p w14:paraId="1CE84EAB">
      <w:pPr>
        <w:pStyle w:val="12"/>
        <w:ind w:firstLine="640"/>
      </w:pPr>
      <w:r>
        <w:rPr>
          <w:rFonts w:hint="eastAsia"/>
        </w:rPr>
        <w:t>（四）资金补助方案需通过线上公开渠道公式。经公示无异议后，原则上需通过“舟企兑”平台进行兑付。</w:t>
      </w:r>
    </w:p>
    <w:p w14:paraId="4EEF6280">
      <w:pPr>
        <w:pStyle w:val="12"/>
        <w:ind w:firstLine="640"/>
        <w:rPr>
          <w:rFonts w:ascii="黑体" w:hAnsi="黑体" w:eastAsia="黑体"/>
          <w:szCs w:val="32"/>
        </w:rPr>
      </w:pPr>
      <w:r>
        <w:rPr>
          <w:rFonts w:hint="eastAsia" w:ascii="黑体" w:hAnsi="黑体" w:eastAsia="黑体"/>
        </w:rPr>
        <w:t>第七条 监督检查</w:t>
      </w:r>
    </w:p>
    <w:p w14:paraId="38001DE2">
      <w:pPr>
        <w:pStyle w:val="12"/>
        <w:ind w:firstLine="640"/>
      </w:pPr>
      <w:r>
        <w:rPr>
          <w:rFonts w:hint="eastAsia"/>
        </w:rPr>
        <w:t>（一）乡镇政府或主管部门对所属单位专项资金使用以及项目建设情况进行监督。</w:t>
      </w:r>
    </w:p>
    <w:p w14:paraId="3230D452">
      <w:pPr>
        <w:pStyle w:val="12"/>
        <w:ind w:firstLine="640"/>
      </w:pPr>
      <w:r>
        <w:rPr>
          <w:rFonts w:hint="eastAsia"/>
        </w:rPr>
        <w:t>（二）县财政局和县经信局对专项资金的使用情况和项目实施情况进行不定期的抽查，对项目的进展情况进行绩效评估，确保专项资金发挥效益。</w:t>
      </w:r>
    </w:p>
    <w:p w14:paraId="51966A33">
      <w:pPr>
        <w:pStyle w:val="12"/>
        <w:ind w:firstLine="640"/>
      </w:pPr>
      <w:r>
        <w:rPr>
          <w:rFonts w:hint="eastAsia"/>
        </w:rPr>
        <w:t>（三）专项资金补助对象不包括发生较大生产安全和质量事故、环境污染事件以及被列为失信被执行人的企业、单位。</w:t>
      </w:r>
    </w:p>
    <w:p w14:paraId="48FB5FF1">
      <w:pPr>
        <w:pStyle w:val="12"/>
        <w:ind w:firstLine="640"/>
        <w:rPr>
          <w:rFonts w:ascii="Calibri" w:hAnsi="Calibri"/>
          <w:szCs w:val="32"/>
        </w:rPr>
      </w:pPr>
      <w:r>
        <w:rPr>
          <w:rFonts w:hint="eastAsia"/>
        </w:rPr>
        <w:t>（四）专项资金必须专款专用，严禁截留、挪用。对弄虚作假、截留、挪用、骗取专项资金等违法违纪行为，除按国家有关规定处理外，对已拨付的专项资金将全额收回，并三年内不得申报专项资金。</w:t>
      </w:r>
    </w:p>
    <w:p w14:paraId="7E6B952F">
      <w:pPr>
        <w:pStyle w:val="12"/>
        <w:ind w:firstLine="640"/>
        <w:rPr>
          <w:rFonts w:ascii="黑体" w:hAnsi="黑体" w:eastAsia="黑体"/>
        </w:rPr>
      </w:pPr>
      <w:r>
        <w:rPr>
          <w:rFonts w:hint="eastAsia" w:ascii="黑体" w:hAnsi="黑体" w:eastAsia="黑体"/>
        </w:rPr>
        <w:t>第八条 附则</w:t>
      </w:r>
    </w:p>
    <w:p w14:paraId="6965B078">
      <w:pPr>
        <w:pStyle w:val="12"/>
        <w:ind w:firstLine="640"/>
      </w:pPr>
      <w:r>
        <w:rPr>
          <w:rFonts w:hint="eastAsia"/>
        </w:rPr>
        <w:t>（一）省中小企业发展专项资金和市级工业发展专项资金等省市相关涉企奖补资金，在不违反上级资金使用管理办法的前提下，参照本办法落实资金奖补。</w:t>
      </w:r>
    </w:p>
    <w:p w14:paraId="4C13DE5E">
      <w:pPr>
        <w:pStyle w:val="12"/>
        <w:ind w:firstLine="640"/>
      </w:pPr>
      <w:r>
        <w:rPr>
          <w:rFonts w:hint="eastAsia"/>
        </w:rPr>
        <w:t>（二）已通过其他渠道获得省、市、县财政资金支持的同类项目，不再予以重复支持。除配套奖励外，涉及同一企业同一事项的奖励政策，按“从优、从高、不重复”和“补差奖励”的原则执行。</w:t>
      </w:r>
    </w:p>
    <w:p w14:paraId="1D87A9E6">
      <w:pPr>
        <w:pStyle w:val="12"/>
        <w:ind w:firstLine="640"/>
      </w:pPr>
      <w:r>
        <w:rPr>
          <w:rFonts w:hint="eastAsia"/>
        </w:rPr>
        <w:t>（三）本办法自2024年1月1日起实行，实施期限至2027年12月31日，期间可根据实际工作需要补充调整。原《嵊泗县中小微企业发展专项资金管理暂行办法》（嵊经信〔2023〕24号）废止。</w:t>
      </w:r>
    </w:p>
    <w:p w14:paraId="69C68FDC">
      <w:pPr>
        <w:pStyle w:val="12"/>
        <w:ind w:firstLine="640"/>
        <w:rPr>
          <w:rFonts w:ascii="Calibri" w:hAnsi="Calibri"/>
          <w:szCs w:val="32"/>
        </w:rPr>
      </w:pPr>
      <w:r>
        <w:rPr>
          <w:rFonts w:hint="eastAsia"/>
        </w:rPr>
        <w:t>（四）本办法由县经信局会同县财政局负责解释。</w:t>
      </w:r>
    </w:p>
    <w:p w14:paraId="6B0A1327">
      <w:pPr>
        <w:pStyle w:val="12"/>
        <w:ind w:firstLine="640"/>
      </w:pPr>
      <w:r>
        <w:t xml:space="preserve"> </w:t>
      </w:r>
    </w:p>
    <w:p w14:paraId="7A122649">
      <w:pPr>
        <w:pStyle w:val="12"/>
        <w:ind w:firstLine="640"/>
      </w:pPr>
    </w:p>
    <w:p w14:paraId="641FF88B">
      <w:pPr>
        <w:pStyle w:val="12"/>
        <w:ind w:firstLine="640"/>
      </w:pPr>
    </w:p>
    <w:p w14:paraId="082704D9">
      <w:pPr>
        <w:pStyle w:val="12"/>
        <w:ind w:firstLine="640"/>
      </w:pPr>
    </w:p>
    <w:sectPr>
      <w:footerReference r:id="rId3" w:type="default"/>
      <w:pgSz w:w="11906" w:h="16838"/>
      <w:pgMar w:top="2041" w:right="1531" w:bottom="175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13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0458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F0458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YTg0YWQxZmI5Mzc0NDdiNmI2NmUwYWQ3YjM3NDcifQ=="/>
  </w:docVars>
  <w:rsids>
    <w:rsidRoot w:val="001B3748"/>
    <w:rsid w:val="0016546B"/>
    <w:rsid w:val="001B3748"/>
    <w:rsid w:val="002A0FB0"/>
    <w:rsid w:val="002A1918"/>
    <w:rsid w:val="003170DC"/>
    <w:rsid w:val="003E41CA"/>
    <w:rsid w:val="004E3D5E"/>
    <w:rsid w:val="005457DC"/>
    <w:rsid w:val="005D6FF5"/>
    <w:rsid w:val="006106E9"/>
    <w:rsid w:val="00664A16"/>
    <w:rsid w:val="006C348D"/>
    <w:rsid w:val="00736E25"/>
    <w:rsid w:val="00792019"/>
    <w:rsid w:val="007F64DB"/>
    <w:rsid w:val="00823604"/>
    <w:rsid w:val="008A5FB2"/>
    <w:rsid w:val="00A632C5"/>
    <w:rsid w:val="00B16235"/>
    <w:rsid w:val="00B55D86"/>
    <w:rsid w:val="00C653B2"/>
    <w:rsid w:val="00D159FF"/>
    <w:rsid w:val="00D20340"/>
    <w:rsid w:val="00DB2213"/>
    <w:rsid w:val="00DC72B2"/>
    <w:rsid w:val="00E37178"/>
    <w:rsid w:val="00EE7A91"/>
    <w:rsid w:val="00F7248D"/>
    <w:rsid w:val="00FC19E0"/>
    <w:rsid w:val="05173A44"/>
    <w:rsid w:val="0DBA31B6"/>
    <w:rsid w:val="2A480FED"/>
    <w:rsid w:val="4F6B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3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网站"/>
    <w:basedOn w:val="1"/>
    <w:autoRedefine/>
    <w:uiPriority w:val="0"/>
    <w:pPr>
      <w:spacing w:line="500" w:lineRule="exact"/>
      <w:ind w:firstLine="200" w:firstLineChars="200"/>
    </w:pPr>
    <w:rPr>
      <w:rFonts w:asciiTheme="minorEastAsia" w:hAnsiTheme="minorEastAsia" w:eastAsiaTheme="minorEastAsia" w:cstheme="minorBidi"/>
      <w:sz w:val="24"/>
    </w:rPr>
  </w:style>
  <w:style w:type="character" w:customStyle="1" w:styleId="8">
    <w:name w:val="标题 1 字符"/>
    <w:basedOn w:val="6"/>
    <w:link w:val="2"/>
    <w:uiPriority w:val="9"/>
    <w:rPr>
      <w:b/>
      <w:bCs/>
      <w:kern w:val="44"/>
      <w:sz w:val="44"/>
      <w:szCs w:val="44"/>
    </w:rPr>
  </w:style>
  <w:style w:type="paragraph" w:customStyle="1" w:styleId="9">
    <w:name w:val="1.标题"/>
    <w:basedOn w:val="1"/>
    <w:link w:val="11"/>
    <w:qFormat/>
    <w:uiPriority w:val="0"/>
    <w:pPr>
      <w:spacing w:line="600" w:lineRule="exact"/>
      <w:jc w:val="center"/>
    </w:pPr>
    <w:rPr>
      <w:rFonts w:eastAsia="方正小标宋简体" w:cstheme="minorBidi"/>
      <w:sz w:val="44"/>
      <w:szCs w:val="22"/>
    </w:rPr>
  </w:style>
  <w:style w:type="paragraph" w:customStyle="1" w:styleId="10">
    <w:name w:val="2.主送机关"/>
    <w:basedOn w:val="1"/>
    <w:link w:val="13"/>
    <w:qFormat/>
    <w:uiPriority w:val="0"/>
    <w:pPr>
      <w:spacing w:line="600" w:lineRule="exact"/>
      <w:jc w:val="left"/>
    </w:pPr>
    <w:rPr>
      <w:rFonts w:eastAsia="仿宋_GB2312" w:cstheme="minorBidi"/>
      <w:sz w:val="32"/>
      <w:szCs w:val="22"/>
    </w:rPr>
  </w:style>
  <w:style w:type="character" w:customStyle="1" w:styleId="11">
    <w:name w:val="1.标题 字符"/>
    <w:basedOn w:val="6"/>
    <w:link w:val="9"/>
    <w:uiPriority w:val="0"/>
    <w:rPr>
      <w:rFonts w:ascii="Times New Roman" w:hAnsi="Times New Roman" w:eastAsia="方正小标宋简体"/>
      <w:sz w:val="44"/>
    </w:rPr>
  </w:style>
  <w:style w:type="paragraph" w:customStyle="1" w:styleId="12">
    <w:name w:val="3.正文"/>
    <w:basedOn w:val="1"/>
    <w:link w:val="15"/>
    <w:qFormat/>
    <w:uiPriority w:val="0"/>
    <w:pPr>
      <w:spacing w:line="600" w:lineRule="exact"/>
      <w:ind w:firstLine="200" w:firstLineChars="200"/>
    </w:pPr>
    <w:rPr>
      <w:rFonts w:eastAsia="仿宋_GB2312" w:cstheme="minorBidi"/>
      <w:sz w:val="32"/>
      <w:szCs w:val="22"/>
    </w:rPr>
  </w:style>
  <w:style w:type="character" w:customStyle="1" w:styleId="13">
    <w:name w:val="2.主送机关 字符"/>
    <w:basedOn w:val="11"/>
    <w:link w:val="10"/>
    <w:uiPriority w:val="0"/>
    <w:rPr>
      <w:rFonts w:ascii="Times New Roman" w:hAnsi="Times New Roman" w:eastAsia="仿宋_GB2312"/>
      <w:sz w:val="32"/>
    </w:rPr>
  </w:style>
  <w:style w:type="paragraph" w:customStyle="1" w:styleId="14">
    <w:name w:val="4.1一、"/>
    <w:basedOn w:val="1"/>
    <w:link w:val="17"/>
    <w:qFormat/>
    <w:uiPriority w:val="0"/>
    <w:pPr>
      <w:spacing w:line="600" w:lineRule="exact"/>
      <w:ind w:firstLine="200" w:firstLineChars="200"/>
      <w:jc w:val="left"/>
    </w:pPr>
    <w:rPr>
      <w:rFonts w:eastAsia="黑体" w:cstheme="minorBidi"/>
      <w:sz w:val="32"/>
      <w:szCs w:val="22"/>
    </w:rPr>
  </w:style>
  <w:style w:type="character" w:customStyle="1" w:styleId="15">
    <w:name w:val="3.正文 字符"/>
    <w:basedOn w:val="13"/>
    <w:link w:val="12"/>
    <w:uiPriority w:val="0"/>
    <w:rPr>
      <w:rFonts w:ascii="Times New Roman" w:hAnsi="Times New Roman" w:eastAsia="仿宋_GB2312"/>
      <w:b/>
      <w:sz w:val="32"/>
    </w:rPr>
  </w:style>
  <w:style w:type="paragraph" w:customStyle="1" w:styleId="16">
    <w:name w:val="4.2（一）"/>
    <w:basedOn w:val="14"/>
    <w:link w:val="19"/>
    <w:autoRedefine/>
    <w:qFormat/>
    <w:uiPriority w:val="0"/>
    <w:rPr>
      <w:rFonts w:eastAsia="楷体_GB2312"/>
    </w:rPr>
  </w:style>
  <w:style w:type="character" w:customStyle="1" w:styleId="17">
    <w:name w:val="4.1一、 字符"/>
    <w:basedOn w:val="15"/>
    <w:link w:val="14"/>
    <w:uiPriority w:val="0"/>
    <w:rPr>
      <w:rFonts w:ascii="Times New Roman" w:hAnsi="Times New Roman" w:eastAsia="黑体"/>
      <w:b w:val="0"/>
      <w:sz w:val="32"/>
    </w:rPr>
  </w:style>
  <w:style w:type="paragraph" w:customStyle="1" w:styleId="18">
    <w:name w:val="4.3.1."/>
    <w:basedOn w:val="1"/>
    <w:link w:val="21"/>
    <w:qFormat/>
    <w:uiPriority w:val="0"/>
    <w:pPr>
      <w:spacing w:line="600" w:lineRule="exact"/>
      <w:ind w:firstLine="200" w:firstLineChars="200"/>
      <w:jc w:val="left"/>
    </w:pPr>
    <w:rPr>
      <w:rFonts w:eastAsia="仿宋_GB2312" w:cstheme="minorBidi"/>
      <w:sz w:val="32"/>
      <w:szCs w:val="22"/>
    </w:rPr>
  </w:style>
  <w:style w:type="character" w:customStyle="1" w:styleId="19">
    <w:name w:val="4.2（一） 字符"/>
    <w:basedOn w:val="17"/>
    <w:link w:val="16"/>
    <w:uiPriority w:val="0"/>
    <w:rPr>
      <w:rFonts w:ascii="Times New Roman" w:hAnsi="Times New Roman" w:eastAsia="楷体_GB2312"/>
      <w:sz w:val="32"/>
    </w:rPr>
  </w:style>
  <w:style w:type="paragraph" w:customStyle="1" w:styleId="20">
    <w:name w:val="4.4（1）"/>
    <w:basedOn w:val="1"/>
    <w:link w:val="23"/>
    <w:qFormat/>
    <w:uiPriority w:val="0"/>
    <w:pPr>
      <w:spacing w:line="600" w:lineRule="exact"/>
      <w:ind w:firstLine="200" w:firstLineChars="200"/>
      <w:jc w:val="left"/>
    </w:pPr>
    <w:rPr>
      <w:rFonts w:eastAsia="仿宋_GB2312" w:cstheme="minorBidi"/>
      <w:sz w:val="32"/>
      <w:szCs w:val="22"/>
    </w:rPr>
  </w:style>
  <w:style w:type="character" w:customStyle="1" w:styleId="21">
    <w:name w:val="4.3.1. 字符"/>
    <w:basedOn w:val="17"/>
    <w:link w:val="18"/>
    <w:qFormat/>
    <w:uiPriority w:val="0"/>
    <w:rPr>
      <w:rFonts w:ascii="Times New Roman" w:hAnsi="Times New Roman" w:eastAsia="仿宋_GB2312"/>
      <w:sz w:val="32"/>
    </w:rPr>
  </w:style>
  <w:style w:type="paragraph" w:customStyle="1" w:styleId="22">
    <w:name w:val="5.附件"/>
    <w:basedOn w:val="1"/>
    <w:link w:val="25"/>
    <w:qFormat/>
    <w:uiPriority w:val="0"/>
    <w:pPr>
      <w:spacing w:line="600" w:lineRule="exact"/>
      <w:ind w:firstLine="200" w:firstLineChars="200"/>
    </w:pPr>
    <w:rPr>
      <w:rFonts w:eastAsia="仿宋_GB2312" w:cstheme="minorBidi"/>
      <w:sz w:val="32"/>
      <w:szCs w:val="22"/>
    </w:rPr>
  </w:style>
  <w:style w:type="character" w:customStyle="1" w:styleId="23">
    <w:name w:val="4.4（1） 字符"/>
    <w:basedOn w:val="21"/>
    <w:link w:val="20"/>
    <w:qFormat/>
    <w:uiPriority w:val="0"/>
    <w:rPr>
      <w:rFonts w:ascii="Times New Roman" w:hAnsi="Times New Roman" w:eastAsia="仿宋_GB2312"/>
      <w:sz w:val="32"/>
    </w:rPr>
  </w:style>
  <w:style w:type="paragraph" w:customStyle="1" w:styleId="24">
    <w:name w:val="6.落款"/>
    <w:basedOn w:val="1"/>
    <w:link w:val="27"/>
    <w:qFormat/>
    <w:uiPriority w:val="0"/>
    <w:pPr>
      <w:spacing w:line="600" w:lineRule="exact"/>
      <w:jc w:val="right"/>
    </w:pPr>
    <w:rPr>
      <w:rFonts w:eastAsia="仿宋_GB2312" w:cstheme="minorBidi"/>
      <w:sz w:val="32"/>
      <w:szCs w:val="22"/>
    </w:rPr>
  </w:style>
  <w:style w:type="character" w:customStyle="1" w:styleId="25">
    <w:name w:val="5.附件 字符"/>
    <w:basedOn w:val="23"/>
    <w:link w:val="22"/>
    <w:qFormat/>
    <w:uiPriority w:val="0"/>
    <w:rPr>
      <w:rFonts w:ascii="Times New Roman" w:hAnsi="Times New Roman" w:eastAsia="仿宋_GB2312"/>
      <w:sz w:val="32"/>
    </w:rPr>
  </w:style>
  <w:style w:type="paragraph" w:customStyle="1" w:styleId="26">
    <w:name w:val="7.“附件”二字"/>
    <w:basedOn w:val="1"/>
    <w:link w:val="29"/>
    <w:qFormat/>
    <w:uiPriority w:val="0"/>
    <w:pPr>
      <w:spacing w:line="660" w:lineRule="exact"/>
      <w:jc w:val="left"/>
    </w:pPr>
    <w:rPr>
      <w:rFonts w:eastAsia="黑体" w:cstheme="minorBidi"/>
      <w:sz w:val="32"/>
      <w:szCs w:val="22"/>
    </w:rPr>
  </w:style>
  <w:style w:type="character" w:customStyle="1" w:styleId="27">
    <w:name w:val="6.落款 字符"/>
    <w:basedOn w:val="25"/>
    <w:link w:val="24"/>
    <w:qFormat/>
    <w:uiPriority w:val="0"/>
    <w:rPr>
      <w:rFonts w:ascii="Times New Roman" w:hAnsi="Times New Roman" w:eastAsia="仿宋_GB2312"/>
      <w:sz w:val="32"/>
    </w:rPr>
  </w:style>
  <w:style w:type="paragraph" w:customStyle="1" w:styleId="28">
    <w:name w:val="8.版记"/>
    <w:basedOn w:val="1"/>
    <w:link w:val="30"/>
    <w:qFormat/>
    <w:uiPriority w:val="0"/>
    <w:pPr>
      <w:jc w:val="left"/>
    </w:pPr>
    <w:rPr>
      <w:rFonts w:eastAsia="仿宋_GB2312" w:cstheme="minorBidi"/>
      <w:sz w:val="28"/>
      <w:szCs w:val="22"/>
    </w:rPr>
  </w:style>
  <w:style w:type="character" w:customStyle="1" w:styleId="29">
    <w:name w:val="7.“附件”二字 字符"/>
    <w:basedOn w:val="27"/>
    <w:link w:val="26"/>
    <w:qFormat/>
    <w:uiPriority w:val="0"/>
    <w:rPr>
      <w:rFonts w:ascii="Times New Roman" w:hAnsi="Times New Roman" w:eastAsia="黑体"/>
      <w:sz w:val="32"/>
    </w:rPr>
  </w:style>
  <w:style w:type="character" w:customStyle="1" w:styleId="30">
    <w:name w:val="8.版记 字符"/>
    <w:basedOn w:val="29"/>
    <w:link w:val="28"/>
    <w:qFormat/>
    <w:uiPriority w:val="0"/>
    <w:rPr>
      <w:rFonts w:ascii="Times New Roman" w:hAnsi="Times New Roman" w:eastAsia="仿宋_GB2312"/>
      <w:sz w:val="28"/>
    </w:rPr>
  </w:style>
  <w:style w:type="character" w:customStyle="1" w:styleId="31">
    <w:name w:val="页眉 字符"/>
    <w:basedOn w:val="6"/>
    <w:link w:val="4"/>
    <w:qFormat/>
    <w:uiPriority w:val="99"/>
    <w:rPr>
      <w:sz w:val="18"/>
      <w:szCs w:val="18"/>
    </w:rPr>
  </w:style>
  <w:style w:type="character" w:customStyle="1" w:styleId="32">
    <w:name w:val="页脚 字符"/>
    <w:basedOn w:val="6"/>
    <w:link w:val="3"/>
    <w:qFormat/>
    <w:uiPriority w:val="99"/>
    <w:rPr>
      <w:sz w:val="18"/>
      <w:szCs w:val="18"/>
    </w:rPr>
  </w:style>
  <w:style w:type="paragraph" w:customStyle="1" w:styleId="33">
    <w:name w:val="Default"/>
    <w:basedOn w:val="1"/>
    <w:qFormat/>
    <w:uiPriority w:val="0"/>
    <w:pPr>
      <w:autoSpaceDE w:val="0"/>
      <w:autoSpaceDN w:val="0"/>
      <w:adjustRightInd w:val="0"/>
      <w:jc w:val="left"/>
    </w:pPr>
    <w:rPr>
      <w:rFonts w:ascii="楷体_GB2312" w:hAnsi="Calibri" w:eastAsia="楷体_GB2312"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Data\My%20Documents\&#33258;&#23450;&#20041;%20Office%20&#27169;&#26495;\wenjia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wenjian.dotx</Template>
  <Pages>7</Pages>
  <Words>3123</Words>
  <Characters>3223</Characters>
  <Lines>23</Lines>
  <Paragraphs>6</Paragraphs>
  <TotalTime>3</TotalTime>
  <ScaleCrop>false</ScaleCrop>
  <LinksUpToDate>false</LinksUpToDate>
  <CharactersWithSpaces>3260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2024-09-19T08:17:00Z</dcterms:created>
  <dc:creator>Administrator</dc:creator>
  <cp:lastModifiedBy> Weiy</cp:lastModifiedBy>
  <dcterms:modified xsi:type="dcterms:W3CDTF">2024-09-20T02:57:00Z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1045582A1D41476EAC698B1098BCA0B4_13</vt:lpwstr>
  </property>
</Properties>
</file>