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9" w:lineRule="exact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Toc221356961"/>
      <w:bookmarkStart w:id="1" w:name="_Toc221356898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温州市城镇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桥梁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安全保护区域管理规定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(征求意见稿)</w:t>
      </w:r>
    </w:p>
    <w:p>
      <w:pPr>
        <w:spacing w:line="589" w:lineRule="exact"/>
        <w:ind w:firstLine="643"/>
        <w:jc w:val="center"/>
        <w:rPr>
          <w:rFonts w:ascii="宋体" w:hAnsi="宋体" w:cs="宋体"/>
          <w:b/>
          <w:sz w:val="32"/>
          <w:szCs w:val="32"/>
        </w:rPr>
      </w:pPr>
      <w:bookmarkStart w:id="2" w:name="_GoBack"/>
      <w:bookmarkEnd w:id="2"/>
    </w:p>
    <w:bookmarkEnd w:id="0"/>
    <w:bookmarkEnd w:id="1"/>
    <w:p>
      <w:pPr>
        <w:pStyle w:val="8"/>
        <w:overflowPunct w:val="0"/>
        <w:adjustRightInd w:val="0"/>
        <w:snapToGrid w:val="0"/>
        <w:spacing w:after="0"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为加强城镇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桥梁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安全保护区域管理，规范城镇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桥梁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安全保护区域内作业及相关活动，保障城镇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桥梁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安全运营，根据《城市道路管理条例》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国务院令第198号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《温州市市政设施管理条例》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等法规规定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及相关技术规范，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实际，特制定本规定。</w:t>
      </w:r>
    </w:p>
    <w:p>
      <w:pPr>
        <w:pStyle w:val="9"/>
        <w:spacing w:line="589" w:lineRule="exact"/>
        <w:ind w:firstLine="640" w:firstLineChars="200"/>
        <w:rPr>
          <w:rFonts w:hAnsi="仿宋_GB2312" w:eastAsia="仿宋_GB2312" w:cs="仿宋_GB2312"/>
          <w:b w:val="0"/>
          <w:color w:val="000000"/>
          <w:lang w:bidi="ar"/>
        </w:rPr>
      </w:pPr>
      <w:r>
        <w:rPr>
          <w:rFonts w:hint="eastAsia" w:hAnsi="仿宋_GB2312" w:eastAsia="仿宋_GB2312" w:cs="仿宋_GB2312"/>
          <w:b w:val="0"/>
          <w:color w:val="000000"/>
          <w:lang w:bidi="ar"/>
        </w:rPr>
        <w:t>一、本规定</w:t>
      </w:r>
      <w:r>
        <w:rPr>
          <w:rFonts w:hint="eastAsia" w:hAnsi="仿宋_GB2312" w:eastAsia="仿宋_GB2312" w:cs="仿宋_GB2312"/>
          <w:b w:val="0"/>
          <w:color w:val="000000"/>
          <w:highlight w:val="none"/>
          <w:lang w:bidi="ar"/>
        </w:rPr>
        <w:t>所称城镇</w:t>
      </w:r>
      <w:r>
        <w:rPr>
          <w:rFonts w:hint="eastAsia" w:hAnsi="仿宋_GB2312" w:eastAsia="仿宋_GB2312" w:cs="仿宋_GB2312"/>
          <w:b w:val="0"/>
          <w:color w:val="000000"/>
          <w:highlight w:val="none"/>
          <w:lang w:eastAsia="zh-CN" w:bidi="ar"/>
        </w:rPr>
        <w:t>桥梁</w:t>
      </w:r>
      <w:r>
        <w:rPr>
          <w:rFonts w:hint="eastAsia" w:hAnsi="仿宋_GB2312" w:eastAsia="仿宋_GB2312" w:cs="仿宋_GB2312"/>
          <w:b w:val="0"/>
          <w:color w:val="000000"/>
          <w:highlight w:val="none"/>
          <w:lang w:val="en-US" w:eastAsia="zh-CN" w:bidi="ar"/>
        </w:rPr>
        <w:t>是指城镇供车辆、行人通行</w:t>
      </w:r>
      <w:r>
        <w:rPr>
          <w:rFonts w:hint="eastAsia" w:hAnsi="仿宋_GB2312" w:eastAsia="仿宋_GB2312" w:cs="仿宋_GB2312"/>
          <w:b w:val="0"/>
          <w:color w:val="000000"/>
          <w:lang w:val="en-US" w:eastAsia="zh-CN" w:bidi="ar"/>
        </w:rPr>
        <w:t>的</w:t>
      </w:r>
      <w:r>
        <w:rPr>
          <w:rFonts w:hint="eastAsia" w:hAnsi="仿宋_GB2312" w:eastAsia="仿宋_GB2312" w:cs="仿宋_GB2312"/>
          <w:b w:val="0"/>
          <w:strike w:val="0"/>
          <w:dstrike w:val="0"/>
          <w:color w:val="000000"/>
          <w:lang w:val="en-US" w:eastAsia="zh-CN" w:bidi="ar"/>
        </w:rPr>
        <w:t>桥梁（含高架道路）</w:t>
      </w:r>
      <w:r>
        <w:rPr>
          <w:rFonts w:hint="eastAsia" w:hAnsi="仿宋_GB2312" w:eastAsia="仿宋_GB2312" w:cs="仿宋_GB2312"/>
          <w:b w:val="0"/>
          <w:color w:val="000000"/>
          <w:lang w:bidi="ar"/>
        </w:rPr>
        <w:t>、人行</w:t>
      </w:r>
      <w:r>
        <w:rPr>
          <w:rFonts w:hint="eastAsia" w:hAnsi="仿宋_GB2312" w:eastAsia="仿宋_GB2312" w:cs="仿宋_GB2312"/>
          <w:b w:val="0"/>
          <w:color w:val="000000"/>
          <w:lang w:val="en-US" w:eastAsia="zh-CN" w:bidi="ar"/>
        </w:rPr>
        <w:t>天</w:t>
      </w:r>
      <w:r>
        <w:rPr>
          <w:rFonts w:hint="eastAsia" w:hAnsi="仿宋_GB2312" w:eastAsia="仿宋_GB2312" w:cs="仿宋_GB2312"/>
          <w:b w:val="0"/>
          <w:color w:val="000000"/>
          <w:lang w:bidi="ar"/>
        </w:rPr>
        <w:t>桥、涵洞、地道、隧道及其附属设施。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温州市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行政区域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范围内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安全保护区域内，从事有关施工作业以及相关管理活动，均适用本规定。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安全保护区域是指城镇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垂直投影面及周边一定范围内的水域或陆域。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、市市政设施行政主管部门负责组织实施本规定。</w:t>
      </w:r>
    </w:p>
    <w:p>
      <w:pPr>
        <w:widowControl/>
        <w:adjustRightInd/>
        <w:snapToGrid/>
        <w:spacing w:line="589" w:lineRule="exact"/>
        <w:ind w:firstLine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（一）市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施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负责市管城镇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安全保护区域的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工作，指导各县（市、区）做好城镇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安全保护区域的管理工作。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各县（市、区）市政设施行政主管部门根据职责分工，负责县（市、区）城镇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安全保护区域的管理工作。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各级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属地政府及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资规、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住建、交通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、水利、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应急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等部门按照各自职责做好城镇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安全保护区域相关管理工作。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在城镇桥梁安全保护区域内从事下列作业行为的，应事先征得该桥梁的行政主管部门同意并办理相关手续。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（一）河道疏浚、河道挖掘等施工作业；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（二）打桩、地下管道顶进、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降水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建筑物爆破、基坑开挖等作业；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（三）平均荷重超过20kN/m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superscript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的大面积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堆载或卸载作业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）超限车辆通行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；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）其他可能妨碍城镇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安全、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使用、养护、维修的作业。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、城镇桥梁、隧道分类如下：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（一）城镇桥梁按单孔跨径长度或多孔跨径总长，可分为特大桥、大桥、中桥、小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桥等四类，见表1。</w:t>
      </w:r>
    </w:p>
    <w:p>
      <w:pPr>
        <w:widowControl/>
        <w:adjustRightInd w:val="0"/>
        <w:snapToGrid w:val="0"/>
        <w:spacing w:line="589" w:lineRule="exact"/>
        <w:ind w:firstLine="420"/>
        <w:jc w:val="center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表</w:t>
      </w:r>
      <w:r>
        <w:rPr>
          <w:rFonts w:ascii="宋体" w:hAnsi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fldChar w:fldCharType="begin"/>
      </w:r>
      <w:r>
        <w:rPr>
          <w:rFonts w:ascii="宋体" w:hAnsi="宋体" w:cs="宋体"/>
          <w:color w:val="auto"/>
          <w:szCs w:val="21"/>
          <w:highlight w:val="none"/>
        </w:rPr>
        <w:instrText xml:space="preserve"> SEQ 表 \* ARABIC </w:instrText>
      </w:r>
      <w:r>
        <w:rPr>
          <w:rFonts w:hint="eastAsia" w:ascii="宋体" w:hAnsi="宋体" w:cs="宋体"/>
          <w:color w:val="auto"/>
          <w:szCs w:val="21"/>
          <w:highlight w:val="none"/>
        </w:rPr>
        <w:fldChar w:fldCharType="separate"/>
      </w:r>
      <w:r>
        <w:rPr>
          <w:rFonts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</w:rPr>
        <w:fldChar w:fldCharType="end"/>
      </w:r>
      <w:r>
        <w:rPr>
          <w:rFonts w:ascii="宋体" w:hAnsi="宋体" w:cs="宋体"/>
          <w:color w:val="auto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  <w:lang w:bidi="ar"/>
        </w:rPr>
        <w:t>城镇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桥梁按总长或跨径分类</w:t>
      </w:r>
    </w:p>
    <w:tbl>
      <w:tblPr>
        <w:tblStyle w:val="17"/>
        <w:tblW w:w="3312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488"/>
        <w:gridCol w:w="204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桥梁分类</w:t>
            </w:r>
          </w:p>
        </w:tc>
        <w:tc>
          <w:tcPr>
            <w:tcW w:w="2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多孔跨径总长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m）</w:t>
            </w:r>
          </w:p>
        </w:tc>
        <w:tc>
          <w:tcPr>
            <w:tcW w:w="17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单孔跨径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L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vertAlign w:val="subscript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m）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特大桥</w:t>
            </w:r>
          </w:p>
        </w:tc>
        <w:tc>
          <w:tcPr>
            <w:tcW w:w="2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17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L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vertAlign w:val="subscript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150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大桥</w:t>
            </w:r>
          </w:p>
        </w:tc>
        <w:tc>
          <w:tcPr>
            <w:tcW w:w="2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1000≥L≥100</w:t>
            </w:r>
          </w:p>
        </w:tc>
        <w:tc>
          <w:tcPr>
            <w:tcW w:w="17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150≥L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vertAlign w:val="subscript"/>
              </w:rPr>
              <w:t>0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≥40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中桥</w:t>
            </w:r>
          </w:p>
        </w:tc>
        <w:tc>
          <w:tcPr>
            <w:tcW w:w="2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100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vertAlign w:val="baseline"/>
              </w:rPr>
              <w:t>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L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vertAlign w:val="baseline"/>
              </w:rPr>
              <w:t>＞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17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40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vertAlign w:val="baseline"/>
              </w:rPr>
              <w:t>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L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vertAlign w:val="subscript"/>
              </w:rPr>
              <w:t>0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≥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小桥</w:t>
            </w:r>
          </w:p>
        </w:tc>
        <w:tc>
          <w:tcPr>
            <w:tcW w:w="2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30≥L≥8</w:t>
            </w:r>
          </w:p>
        </w:tc>
        <w:tc>
          <w:tcPr>
            <w:tcW w:w="17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20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vertAlign w:val="baseline"/>
              </w:rPr>
              <w:t>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L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vertAlign w:val="subscript"/>
              </w:rPr>
              <w:t>0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≥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</w:tr>
    </w:tbl>
    <w:p>
      <w:pPr>
        <w:widowControl/>
        <w:adjustRightInd w:val="0"/>
        <w:snapToGrid w:val="0"/>
        <w:spacing w:line="589" w:lineRule="exact"/>
        <w:ind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注</w:t>
      </w:r>
      <w:r>
        <w:rPr>
          <w:rFonts w:ascii="宋体" w:hAnsi="宋体" w:cs="宋体"/>
          <w:color w:val="000000"/>
          <w:kern w:val="0"/>
          <w:szCs w:val="21"/>
          <w:lang w:bidi="ar"/>
        </w:rPr>
        <w:t>:1.单孔跨径小于 5m为涵洞，列入小桥分类。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（二）城镇道路隧道按其封闭段长度可分为四类，见表2。</w:t>
      </w:r>
    </w:p>
    <w:p>
      <w:pPr>
        <w:widowControl/>
        <w:adjustRightInd w:val="0"/>
        <w:snapToGrid w:val="0"/>
        <w:spacing w:line="589" w:lineRule="exact"/>
        <w:ind w:firstLine="420"/>
        <w:jc w:val="center"/>
        <w:rPr>
          <w:rFonts w:hint="eastAsia" w:ascii="宋体" w:hAnsi="宋体" w:cs="宋体"/>
          <w:szCs w:val="21"/>
        </w:rPr>
      </w:pPr>
    </w:p>
    <w:p>
      <w:pPr>
        <w:widowControl/>
        <w:adjustRightInd w:val="0"/>
        <w:snapToGrid w:val="0"/>
        <w:spacing w:line="589" w:lineRule="exact"/>
        <w:ind w:firstLine="42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表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SEQ 表 \* ARABIC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  <w:lang w:bidi="ar"/>
        </w:rPr>
        <w:t>城镇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道路隧道分类</w:t>
      </w:r>
    </w:p>
    <w:tbl>
      <w:tblPr>
        <w:tblStyle w:val="17"/>
        <w:tblW w:w="415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937"/>
        <w:gridCol w:w="2194"/>
        <w:gridCol w:w="15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隧道封闭段长度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L（m）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420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特长隧道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长隧道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中隧道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短隧道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12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420"/>
              <w:jc w:val="both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L＞3000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3000≥L＞1000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420"/>
              <w:jc w:val="both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1000≥L＞500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420"/>
              <w:jc w:val="both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L≤500</w:t>
            </w:r>
          </w:p>
        </w:tc>
      </w:tr>
    </w:tbl>
    <w:p>
      <w:pPr>
        <w:widowControl/>
        <w:adjustRightInd w:val="0"/>
        <w:snapToGrid w:val="0"/>
        <w:spacing w:line="589" w:lineRule="exact"/>
        <w:ind w:firstLine="0" w:firstLineChars="0"/>
        <w:rPr>
          <w:rFonts w:ascii="宋体" w:hAnsi="宋体" w:cs="宋体"/>
          <w:bCs/>
          <w:color w:val="000000"/>
          <w:kern w:val="0"/>
          <w:szCs w:val="21"/>
          <w:lang w:bidi="ar"/>
        </w:rPr>
      </w:pPr>
    </w:p>
    <w:p>
      <w:pPr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安全保护区域范围为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投影面加上周边外延距离的区域，外延距离数据根据作业种类不同进行划分，作业种类具体分为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如下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六项，其他可能损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害城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的作业行为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根据具体情况进行专项评估论证后划定。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bidi="ar"/>
        </w:rPr>
        <w:t>对于列为文物保护的城镇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val="en-US" w:eastAsia="zh-CN" w:bidi="ar"/>
        </w:rPr>
        <w:t>的保护区域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bidi="ar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val="en-US" w:eastAsia="zh-CN" w:bidi="ar"/>
        </w:rPr>
        <w:t>除满足本规定要求外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val="en-US" w:eastAsia="zh-CN" w:bidi="ar"/>
        </w:rPr>
        <w:t>还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bidi="ar"/>
        </w:rPr>
        <w:t>需满足文保部门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val="en-US" w:eastAsia="zh-CN" w:bidi="ar"/>
        </w:rPr>
        <w:t>的相关规定。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（一）基坑工程划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分城镇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安全保护区域详见表3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widowControl/>
        <w:adjustRightInd w:val="0"/>
        <w:snapToGrid w:val="0"/>
        <w:spacing w:line="589" w:lineRule="exact"/>
        <w:ind w:firstLine="420"/>
        <w:jc w:val="center"/>
        <w:rPr>
          <w:rFonts w:ascii="宋体" w:hAnsi="宋体" w:cs="宋体"/>
          <w:color w:val="000000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</w:rPr>
        <w:t>表</w:t>
      </w:r>
      <w:r>
        <w:rPr>
          <w:rFonts w:ascii="宋体" w:hAnsi="宋体" w:cs="宋体"/>
          <w:szCs w:val="21"/>
          <w:highlight w:val="non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fldChar w:fldCharType="begin"/>
      </w:r>
      <w:r>
        <w:rPr>
          <w:rFonts w:ascii="宋体" w:hAnsi="宋体" w:cs="宋体"/>
          <w:szCs w:val="21"/>
          <w:highlight w:val="none"/>
        </w:rPr>
        <w:instrText xml:space="preserve"> SEQ 表 \* ARABIC </w:instrText>
      </w:r>
      <w:r>
        <w:rPr>
          <w:rFonts w:hint="eastAsia" w:ascii="宋体" w:hAnsi="宋体" w:cs="宋体"/>
          <w:szCs w:val="21"/>
          <w:highlight w:val="none"/>
        </w:rPr>
        <w:fldChar w:fldCharType="separate"/>
      </w:r>
      <w:r>
        <w:rPr>
          <w:rFonts w:ascii="宋体" w:hAnsi="宋体" w:cs="宋体"/>
          <w:szCs w:val="21"/>
          <w:highlight w:val="none"/>
        </w:rPr>
        <w:t>3</w:t>
      </w:r>
      <w:r>
        <w:rPr>
          <w:rFonts w:hint="eastAsia" w:ascii="宋体" w:hAnsi="宋体" w:cs="宋体"/>
          <w:szCs w:val="21"/>
          <w:highlight w:val="none"/>
        </w:rPr>
        <w:fldChar w:fldCharType="end"/>
      </w:r>
      <w:r>
        <w:rPr>
          <w:rFonts w:ascii="宋体" w:hAnsi="宋体" w:cs="宋体"/>
          <w:szCs w:val="21"/>
          <w:highlight w:val="none"/>
        </w:rPr>
        <w:t xml:space="preserve"> 基坑工程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城镇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 w:bidi="ar"/>
        </w:rPr>
        <w:t>桥梁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安全保护区域外延距离</w:t>
      </w:r>
    </w:p>
    <w:tbl>
      <w:tblPr>
        <w:tblStyle w:val="17"/>
        <w:tblW w:w="4375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1677"/>
        <w:gridCol w:w="1677"/>
        <w:gridCol w:w="169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7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桥梁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分类</w:t>
            </w:r>
          </w:p>
        </w:tc>
        <w:tc>
          <w:tcPr>
            <w:tcW w:w="32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城镇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桥梁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安全保护区域外延距离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m）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7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一级基坑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二级基坑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三级基坑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585" w:hRule="atLeast"/>
          <w:jc w:val="center"/>
        </w:trPr>
        <w:tc>
          <w:tcPr>
            <w:tcW w:w="1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特大桥、其他隧道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75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6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585" w:hRule="atLeast"/>
          <w:jc w:val="center"/>
        </w:trPr>
        <w:tc>
          <w:tcPr>
            <w:tcW w:w="1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大桥、短隧道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65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585" w:hRule="atLeast"/>
          <w:jc w:val="center"/>
        </w:trPr>
        <w:tc>
          <w:tcPr>
            <w:tcW w:w="1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中桥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55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585" w:hRule="atLeast"/>
          <w:jc w:val="center"/>
        </w:trPr>
        <w:tc>
          <w:tcPr>
            <w:tcW w:w="1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小桥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0</w:t>
            </w:r>
          </w:p>
        </w:tc>
      </w:tr>
    </w:tbl>
    <w:p>
      <w:pPr>
        <w:widowControl/>
        <w:adjustRightInd w:val="0"/>
        <w:snapToGrid w:val="0"/>
        <w:spacing w:line="589" w:lineRule="exact"/>
        <w:ind w:firstLine="0" w:firstLineChars="0"/>
        <w:rPr>
          <w:rFonts w:ascii="宋体" w:hAnsi="宋体" w:cs="宋体"/>
          <w:color w:val="000000"/>
          <w:kern w:val="0"/>
          <w:szCs w:val="21"/>
          <w:highlight w:val="none"/>
          <w:lang w:bidi="ar"/>
        </w:rPr>
      </w:pPr>
    </w:p>
    <w:p>
      <w:pPr>
        <w:widowControl/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（二）桩基工程划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分城镇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安全保护区域详见表4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widowControl/>
        <w:adjustRightInd w:val="0"/>
        <w:snapToGrid w:val="0"/>
        <w:spacing w:line="589" w:lineRule="exact"/>
        <w:ind w:firstLine="420"/>
        <w:jc w:val="center"/>
        <w:rPr>
          <w:rFonts w:ascii="宋体" w:hAnsi="宋体" w:cs="宋体"/>
          <w:color w:val="000000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</w:rPr>
        <w:t>表</w:t>
      </w:r>
      <w:r>
        <w:rPr>
          <w:rFonts w:ascii="宋体" w:hAnsi="宋体" w:cs="宋体"/>
          <w:szCs w:val="21"/>
          <w:highlight w:val="none"/>
        </w:rPr>
        <w:t xml:space="preserve"> 4 </w:t>
      </w:r>
      <w:r>
        <w:rPr>
          <w:rFonts w:hint="eastAsia" w:ascii="宋体" w:hAnsi="宋体" w:cs="宋体"/>
          <w:szCs w:val="21"/>
          <w:highlight w:val="none"/>
        </w:rPr>
        <w:t>桩基</w:t>
      </w:r>
      <w:r>
        <w:rPr>
          <w:rFonts w:ascii="宋体" w:hAnsi="宋体" w:cs="宋体"/>
          <w:szCs w:val="21"/>
          <w:highlight w:val="none"/>
        </w:rPr>
        <w:t>工程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城镇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 w:bidi="ar"/>
        </w:rPr>
        <w:t>桥梁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安全保护区域外延距离</w:t>
      </w:r>
    </w:p>
    <w:tbl>
      <w:tblPr>
        <w:tblStyle w:val="17"/>
        <w:tblW w:w="4382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5"/>
        <w:gridCol w:w="2413"/>
        <w:gridCol w:w="240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649" w:hRule="atLeast"/>
          <w:jc w:val="center"/>
        </w:trPr>
        <w:tc>
          <w:tcPr>
            <w:tcW w:w="18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桥梁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分类</w:t>
            </w:r>
          </w:p>
        </w:tc>
        <w:tc>
          <w:tcPr>
            <w:tcW w:w="31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城镇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桥梁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安全保护区域外延距离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m）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8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挤土桩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非挤土桩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特大桥、其他隧道</w:t>
            </w:r>
          </w:p>
        </w:tc>
        <w:tc>
          <w:tcPr>
            <w:tcW w:w="1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大桥、短隧道</w:t>
            </w:r>
          </w:p>
        </w:tc>
        <w:tc>
          <w:tcPr>
            <w:tcW w:w="1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60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中桥</w:t>
            </w:r>
          </w:p>
        </w:tc>
        <w:tc>
          <w:tcPr>
            <w:tcW w:w="1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25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小桥</w:t>
            </w:r>
          </w:p>
        </w:tc>
        <w:tc>
          <w:tcPr>
            <w:tcW w:w="1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89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20</w:t>
            </w:r>
          </w:p>
        </w:tc>
      </w:tr>
    </w:tbl>
    <w:p>
      <w:pPr>
        <w:adjustRightInd w:val="0"/>
        <w:snapToGrid w:val="0"/>
        <w:spacing w:line="589" w:lineRule="exact"/>
        <w:ind w:firstLine="420"/>
        <w:rPr>
          <w:highlight w:val="none"/>
        </w:rPr>
      </w:pPr>
    </w:p>
    <w:p>
      <w:pPr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（三）对于河道疏浚、挖掘作业，城镇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安全保护区域为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跨越的河道上下游（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外边线两侧）各30m范围。</w:t>
      </w:r>
    </w:p>
    <w:p>
      <w:pPr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（四）对于修建地下结构物、盾构顶进、管线顶进、埋设管线、降水工程等可能影响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基础结构的施工作业，城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安全保护区域为桥梁垂直投影面周边各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60m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范围。</w:t>
      </w:r>
    </w:p>
    <w:p>
      <w:pPr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（五）对于爆破作业，城镇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安全保护区域应为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垂直投影面周边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200m范围。</w:t>
      </w:r>
    </w:p>
    <w:p>
      <w:pPr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（六）对于大面积堆载（或卸载）作业，城镇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安全保护区域为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垂直投影面周边各50m范围。</w:t>
      </w:r>
    </w:p>
    <w:p>
      <w:pPr>
        <w:pStyle w:val="8"/>
        <w:numPr>
          <w:ilvl w:val="0"/>
          <w:numId w:val="0"/>
        </w:numPr>
        <w:overflowPunct w:val="0"/>
        <w:adjustRightInd w:val="0"/>
        <w:snapToGrid w:val="0"/>
        <w:spacing w:after="0" w:line="589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八、凡在城镇桥梁安全保护区域内从事本规定第五条所列作业行为的，建设单位应在施工前30日内向该桥梁的行政主管部门提出申请，并提交城镇桥梁的现状调查资料、作业相关资料及城镇桥梁安全保护方案。对可能影响城镇桥梁安全运行的作业行为，建设单位应邀请专家对城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桥涵安全保护方案进行论证。对于技术条件复杂或重要性较强的项目，建设单位还应委托具有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相应资质的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第三方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单位评估对既有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的安全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并出具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评估报告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九、城镇桥梁的现状调查资料应包括既有桥梁的设计施工资料、地质资料、运维及监测检测资料。</w:t>
      </w:r>
    </w:p>
    <w:p>
      <w:pPr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作业相关资料包括作业责任单位、作业时间、作业区域、作业内容、技术保护措施、作业项目的施工设计文件等内容。</w:t>
      </w:r>
    </w:p>
    <w:p>
      <w:pPr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影响评估报告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应在作业施工前采用理论分析、模型试验、数值模拟、工程类比等方法，结合既有桥梁的现状，预测作业施工对既有城镇桥梁的影响。评估作业措施、保护方案的安全性，并提出合理化建议。</w:t>
      </w:r>
    </w:p>
    <w:p>
      <w:pPr>
        <w:adjustRightInd w:val="0"/>
        <w:snapToGrid w:val="0"/>
        <w:spacing w:line="589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城镇桥梁安全保护方案包括城镇桥梁安全保护或加固设计、施工措施、应急预案及监测方案。</w:t>
      </w:r>
    </w:p>
    <w:p>
      <w:pPr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十、在安全保护区域内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从事本规定第五条所列作业行为的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建设单位应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与市政设施管理部门签订安全保护协议。</w:t>
      </w:r>
    </w:p>
    <w:p>
      <w:pPr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安全保护协议应当包括以下内容：</w:t>
      </w:r>
    </w:p>
    <w:p>
      <w:pPr>
        <w:widowControl/>
        <w:adjustRightInd w:val="0"/>
        <w:snapToGrid w:val="0"/>
        <w:spacing w:line="589" w:lineRule="exact"/>
        <w:ind w:firstLine="640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双方对城镇桥梁保护工作的责任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；</w:t>
      </w:r>
    </w:p>
    <w:p>
      <w:pPr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（二）城镇桥梁的现状调查资料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（三）作业相关资料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widowControl/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bidi="ar"/>
        </w:rPr>
        <w:t>城镇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安全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bidi="ar"/>
        </w:rPr>
        <w:t>影响评估报告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如有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；</w:t>
      </w:r>
    </w:p>
    <w:p>
      <w:pPr>
        <w:widowControl/>
        <w:adjustRightInd w:val="0"/>
        <w:snapToGrid w:val="0"/>
        <w:spacing w:line="589" w:lineRule="exact"/>
        <w:ind w:firstLine="640"/>
        <w:rPr>
          <w:rFonts w:hint="eastAsia" w:hAnsi="仿宋_GB2312" w:eastAsia="仿宋_GB2312" w:cs="仿宋_GB2312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hAnsi="仿宋_GB2312" w:eastAsia="仿宋_GB2312" w:cs="仿宋_GB2312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t>城镇桥梁安全保护方案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；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）其他需要补充的技术要求等。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bidi="ar"/>
        </w:rPr>
        <w:t>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bidi="ar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单位应当严格按照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论证通过后的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安全保护方案和有关技术要求组织施工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委托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有相应资质的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监测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进行动态监测，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并定期向市政设施管理部门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报送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监测资料。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、城镇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应在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桥梁信息牌上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以图文或电子二维码的形式标识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明确安全保护区域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向社会公布。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十三、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本管理规定自印发之日起施行。</w:t>
      </w:r>
    </w:p>
    <w:p>
      <w:pPr>
        <w:spacing w:line="589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adjustRightInd/>
        <w:snapToGrid/>
        <w:spacing w:line="589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附件：城镇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桥梁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安全保护区域内施工安全保护协议（参考文本）</w:t>
      </w:r>
    </w:p>
    <w:p>
      <w:pPr>
        <w:widowControl/>
        <w:adjustRightInd w:val="0"/>
        <w:snapToGrid w:val="0"/>
        <w:spacing w:line="589" w:lineRule="exact"/>
        <w:ind w:firstLine="0" w:firstLineChars="0"/>
        <w:rPr>
          <w:rFonts w:ascii="宋体" w:hAnsi="宋体" w:cs="宋体"/>
          <w:color w:val="000000"/>
          <w:kern w:val="0"/>
          <w:szCs w:val="21"/>
          <w:highlight w:val="none"/>
          <w:lang w:bidi="ar"/>
        </w:rPr>
      </w:pPr>
    </w:p>
    <w:p>
      <w:pPr>
        <w:widowControl/>
        <w:adjustRightInd/>
        <w:snapToGrid/>
        <w:spacing w:line="589" w:lineRule="exact"/>
        <w:ind w:firstLine="0" w:firstLineChars="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lang w:bidi="ar"/>
        </w:rPr>
        <w:br w:type="page"/>
      </w:r>
    </w:p>
    <w:p>
      <w:pPr>
        <w:widowControl/>
        <w:adjustRightInd w:val="0"/>
        <w:snapToGrid w:val="0"/>
        <w:spacing w:line="589" w:lineRule="exact"/>
        <w:ind w:firstLine="0" w:firstLineChars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bidi="ar"/>
        </w:rPr>
        <w:t>附件</w:t>
      </w:r>
    </w:p>
    <w:p>
      <w:pPr>
        <w:spacing w:line="709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2B2B2B"/>
          <w:sz w:val="44"/>
          <w:szCs w:val="44"/>
        </w:rPr>
        <w:t>城镇桥梁</w:t>
      </w:r>
      <w:r>
        <w:rPr>
          <w:rFonts w:hint="eastAsia" w:ascii="方正小标宋_GBK" w:hAnsi="方正小标宋_GBK" w:eastAsia="方正小标宋_GBK" w:cs="方正小标宋_GBK"/>
          <w:color w:val="2B2B2B"/>
          <w:sz w:val="44"/>
          <w:szCs w:val="44"/>
          <w:lang w:val="en-US" w:eastAsia="zh-CN"/>
        </w:rPr>
        <w:t>安全保护区域内施工安全保护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协议</w:t>
      </w:r>
    </w:p>
    <w:p>
      <w:pPr>
        <w:spacing w:line="589" w:lineRule="exact"/>
        <w:ind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参考文本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/>
        <w:adjustRightInd w:val="0"/>
        <w:snapToGrid w:val="0"/>
        <w:spacing w:line="589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9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甲方：</w:t>
      </w:r>
    </w:p>
    <w:p>
      <w:pPr>
        <w:widowControl/>
        <w:adjustRightInd w:val="0"/>
        <w:snapToGrid w:val="0"/>
        <w:spacing w:line="589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乙方： 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由于乙方负责建设的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项目在城镇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安全保护区域内即将开工，为确保安全保护区域内的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运行安全，依照《温州市市政设施管理条例》，甲、乙双方签订本协议如下：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1.乙方在施工中应切实按要求做好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的安全保护措施。施工期限为  年  月  日至  年  月  日，如有变更，乙方应及时通知甲方。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2.乙方必须委托具有相应资质（资质认定证书中须包含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相关参数）的监测单位负责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结构的全程动态监测。 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乙方在施工前，必须严格按照《建筑与桥梁结构监测技术规范》（GB50982-2014）及其他相关国家规范、标准的相关规定及要求编制科学合理，安全有效，针对性强的桥梁监测方案。监测方案一般应经乙方在建项目的建设、设计、监理等单位认可后，方可进行全过程动态监测，但对于在城镇大型桥梁、特殊结构桥梁安全保护区域内施工的，其桥梁监测方案应进行专家论证后方可实施。在动态监测过程中，如未发现超过限值的情况，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将经建设、设计、监理等单位认可的监测数据及相应工况报送甲方；如有超过限值需立即向甲方报告。监测工程结束后一个月内向甲方提交完整监测报告。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4.监测范围及内容：（请补充监测方案主要内容）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5.报警值按照以下规定：（请补充与监测方案中相关要求）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6.乙方在观测过程中一旦发现监测数据达到报警值或发生危及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结构安全时，必须立即停工，并采取必要的安全保护措施确保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结构安全，并及时通知甲方。甲方接到乙方通知后，应立即组织专家论证，分析事故原因，并出具专家论证意见。期间乙方需服从甲方要求，待专家论证且排除隐患后方可继续施工。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7.在以下条件下，甲方有权委托具有相应资质的第三方检测单位对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结构安全进行检测，并对检测结论组织专家评审，相关检测、评审费用由乙方承担。另外，乙方还应承担后续的维修加固及赔偿责任。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（1）乙方违规施工的；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（2）乙方未按经审核同意的施工方案、监测方案施工的；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（3）发生危及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桥梁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结构安全的其他问题。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8.若乙方在施工中有设计变更或施工组织改变，必须及时通知甲方；重大的设计或施工组织变更需重新办理施工审批手续。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9.乙方违反本协议，应当承担《温州市市政设施管理条例》和相关法律法规的法律责任。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10.本协议一式陆份，甲、乙双方各执叁份，经双方法人代表或委托代理人签字并加盖公章后生效。</w:t>
      </w:r>
    </w:p>
    <w:p>
      <w:pPr>
        <w:widowControl/>
        <w:adjustRightInd w:val="0"/>
        <w:snapToGrid w:val="0"/>
        <w:spacing w:line="589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甲方：                        乙方：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代表：                        代表：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 xml:space="preserve"> 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签约日期：     年   月   日</w:t>
      </w:r>
    </w:p>
    <w:p>
      <w:pPr>
        <w:widowControl/>
        <w:adjustRightInd w:val="0"/>
        <w:snapToGrid w:val="0"/>
        <w:spacing w:line="589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4611370</wp:posOffset>
              </wp:positionH>
              <wp:positionV relativeFrom="paragraph">
                <wp:posOffset>-68580</wp:posOffset>
              </wp:positionV>
              <wp:extent cx="317500" cy="2413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360"/>
                            <w:rPr>
                              <w:color w:val="FFFFF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sz w:val="18"/>
                            </w:rPr>
                            <w:drawing>
                              <wp:inline distT="0" distB="0" distL="114300" distR="114300">
                                <wp:extent cx="184150" cy="186690"/>
                                <wp:effectExtent l="0" t="0" r="6350" b="3175"/>
                                <wp:docPr id="1" name="图片 1" descr="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图片 1" descr="logo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" cy="186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3.1pt;margin-top:-5.4pt;height:19pt;width:25pt;z-index:251660288;mso-width-relative:page;mso-height-relative:page;" filled="f" stroked="f" coordsize="21600,21600" o:gfxdata="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wFXKHa&#10;AAAACgEAAA8AAAAAAAAAAQAgAAAAIgAAAGRycy9kb3ducmV2LnhtbFBLAQIUABQAAAAIAIdO4kDB&#10;0LNFHgIAABkEAAAOAAAAAAAAAAEAIAAAACkBAABkcnMvZTJvRG9jLnhtbFBLBQYAAAAABgAGAFkB&#10;AAC5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360"/>
                      <w:rPr>
                        <w:color w:val="FFFFFF" w:themeColor="background1"/>
                        <w:sz w:val="18"/>
                        <w:szCs w:val="1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sz w:val="18"/>
                      </w:rPr>
                      <w:drawing>
                        <wp:inline distT="0" distB="0" distL="114300" distR="114300">
                          <wp:extent cx="184150" cy="186690"/>
                          <wp:effectExtent l="0" t="0" r="6350" b="3175"/>
                          <wp:docPr id="1" name="图片 1" descr="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图片 1" descr="logo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" cy="186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  <w:rPr>
                              <w:rFonts w:ascii="方正大黑简体" w:hAnsi="方正大黑简体" w:eastAsia="方正大黑简体" w:cs="方正大黑简体"/>
                              <w:color w:val="385D8A"/>
                            </w:rPr>
                          </w:pP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385D8A"/>
                            </w:rPr>
                            <w:fldChar w:fldCharType="begin"/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385D8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385D8A"/>
                            </w:rPr>
                            <w:fldChar w:fldCharType="separate"/>
                          </w:r>
                          <w:r>
                            <w:rPr>
                              <w:rFonts w:ascii="方正大黑简体" w:hAnsi="方正大黑简体" w:eastAsia="方正大黑简体" w:cs="方正大黑简体"/>
                              <w:color w:val="385D8A"/>
                            </w:rPr>
                            <w:t>7</w: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385D8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  <w:rPr>
                        <w:rFonts w:ascii="方正大黑简体" w:hAnsi="方正大黑简体" w:eastAsia="方正大黑简体" w:cs="方正大黑简体"/>
                        <w:color w:val="385D8A"/>
                      </w:rPr>
                    </w:pPr>
                    <w:r>
                      <w:rPr>
                        <w:rFonts w:hint="eastAsia" w:ascii="方正大黑简体" w:hAnsi="方正大黑简体" w:eastAsia="方正大黑简体" w:cs="方正大黑简体"/>
                        <w:color w:val="385D8A"/>
                      </w:rPr>
                      <w:fldChar w:fldCharType="begin"/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385D8A"/>
                      </w:rPr>
                      <w:instrText xml:space="preserve"> PAGE  \* MERGEFORMAT </w:instrTex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385D8A"/>
                      </w:rPr>
                      <w:fldChar w:fldCharType="separate"/>
                    </w:r>
                    <w:r>
                      <w:rPr>
                        <w:rFonts w:ascii="方正大黑简体" w:hAnsi="方正大黑简体" w:eastAsia="方正大黑简体" w:cs="方正大黑简体"/>
                        <w:color w:val="385D8A"/>
                      </w:rPr>
                      <w:t>7</w: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385D8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5YjlhZGIyZGQ4ZTc4YTRiMTdkYTJjZTk4YTE0YmEifQ=="/>
  </w:docVars>
  <w:rsids>
    <w:rsidRoot w:val="316F6D5F"/>
    <w:rsid w:val="0000280F"/>
    <w:rsid w:val="00005415"/>
    <w:rsid w:val="000058C7"/>
    <w:rsid w:val="00005DE4"/>
    <w:rsid w:val="000110A1"/>
    <w:rsid w:val="000132DF"/>
    <w:rsid w:val="000157C6"/>
    <w:rsid w:val="00022B56"/>
    <w:rsid w:val="00023D2B"/>
    <w:rsid w:val="00030E87"/>
    <w:rsid w:val="00047292"/>
    <w:rsid w:val="00092BA7"/>
    <w:rsid w:val="00097E52"/>
    <w:rsid w:val="000A55ED"/>
    <w:rsid w:val="000B49C8"/>
    <w:rsid w:val="000C6E36"/>
    <w:rsid w:val="000C73B6"/>
    <w:rsid w:val="000D107C"/>
    <w:rsid w:val="000D70EC"/>
    <w:rsid w:val="00100E02"/>
    <w:rsid w:val="0011714D"/>
    <w:rsid w:val="00121781"/>
    <w:rsid w:val="00122FB5"/>
    <w:rsid w:val="00124B07"/>
    <w:rsid w:val="0012773A"/>
    <w:rsid w:val="0014162A"/>
    <w:rsid w:val="001763E1"/>
    <w:rsid w:val="00194FFE"/>
    <w:rsid w:val="001C6AF9"/>
    <w:rsid w:val="001E5C63"/>
    <w:rsid w:val="001E6406"/>
    <w:rsid w:val="001F09F4"/>
    <w:rsid w:val="001F639A"/>
    <w:rsid w:val="001F68A7"/>
    <w:rsid w:val="00241983"/>
    <w:rsid w:val="00247617"/>
    <w:rsid w:val="00256C37"/>
    <w:rsid w:val="002651B1"/>
    <w:rsid w:val="00271CEB"/>
    <w:rsid w:val="002817FD"/>
    <w:rsid w:val="0029076A"/>
    <w:rsid w:val="002B71A8"/>
    <w:rsid w:val="002B7F8E"/>
    <w:rsid w:val="002C638F"/>
    <w:rsid w:val="002C7DF7"/>
    <w:rsid w:val="002D4897"/>
    <w:rsid w:val="002E02BD"/>
    <w:rsid w:val="002F03C8"/>
    <w:rsid w:val="002F556C"/>
    <w:rsid w:val="002F676A"/>
    <w:rsid w:val="003004CD"/>
    <w:rsid w:val="003114D1"/>
    <w:rsid w:val="00322FEE"/>
    <w:rsid w:val="00336657"/>
    <w:rsid w:val="00347AB5"/>
    <w:rsid w:val="00362C5A"/>
    <w:rsid w:val="003773F5"/>
    <w:rsid w:val="00387024"/>
    <w:rsid w:val="00391705"/>
    <w:rsid w:val="0039424B"/>
    <w:rsid w:val="003E327F"/>
    <w:rsid w:val="003E3466"/>
    <w:rsid w:val="004159D8"/>
    <w:rsid w:val="004207B7"/>
    <w:rsid w:val="00435B20"/>
    <w:rsid w:val="004446BD"/>
    <w:rsid w:val="004459FD"/>
    <w:rsid w:val="0044741F"/>
    <w:rsid w:val="004765B8"/>
    <w:rsid w:val="00477650"/>
    <w:rsid w:val="004811F1"/>
    <w:rsid w:val="004B219E"/>
    <w:rsid w:val="004B292D"/>
    <w:rsid w:val="004C52AB"/>
    <w:rsid w:val="004C69E1"/>
    <w:rsid w:val="004E5600"/>
    <w:rsid w:val="004F3F8D"/>
    <w:rsid w:val="004F442F"/>
    <w:rsid w:val="00527DF5"/>
    <w:rsid w:val="0053050B"/>
    <w:rsid w:val="005405E0"/>
    <w:rsid w:val="00542996"/>
    <w:rsid w:val="00553C34"/>
    <w:rsid w:val="00554C21"/>
    <w:rsid w:val="00560BEF"/>
    <w:rsid w:val="00586850"/>
    <w:rsid w:val="00596F03"/>
    <w:rsid w:val="005B5599"/>
    <w:rsid w:val="005C07A6"/>
    <w:rsid w:val="005C592D"/>
    <w:rsid w:val="005D53B1"/>
    <w:rsid w:val="005E18AE"/>
    <w:rsid w:val="005E633D"/>
    <w:rsid w:val="005E6536"/>
    <w:rsid w:val="005F2126"/>
    <w:rsid w:val="005F2BE7"/>
    <w:rsid w:val="00604BBE"/>
    <w:rsid w:val="006119C5"/>
    <w:rsid w:val="006224D4"/>
    <w:rsid w:val="00623B71"/>
    <w:rsid w:val="00674762"/>
    <w:rsid w:val="006804EF"/>
    <w:rsid w:val="00684077"/>
    <w:rsid w:val="00686AF6"/>
    <w:rsid w:val="00692077"/>
    <w:rsid w:val="00693793"/>
    <w:rsid w:val="00693D4E"/>
    <w:rsid w:val="006A7BF9"/>
    <w:rsid w:val="006B0427"/>
    <w:rsid w:val="006B0B57"/>
    <w:rsid w:val="006B60D2"/>
    <w:rsid w:val="00714718"/>
    <w:rsid w:val="007170C6"/>
    <w:rsid w:val="0073674C"/>
    <w:rsid w:val="0073748C"/>
    <w:rsid w:val="007607FD"/>
    <w:rsid w:val="0077705C"/>
    <w:rsid w:val="007B1842"/>
    <w:rsid w:val="007E2A35"/>
    <w:rsid w:val="007E5822"/>
    <w:rsid w:val="007F24BC"/>
    <w:rsid w:val="00832E15"/>
    <w:rsid w:val="00856097"/>
    <w:rsid w:val="008749BE"/>
    <w:rsid w:val="00897082"/>
    <w:rsid w:val="008D557C"/>
    <w:rsid w:val="008E29CD"/>
    <w:rsid w:val="008E66BF"/>
    <w:rsid w:val="008F1C5F"/>
    <w:rsid w:val="008F2266"/>
    <w:rsid w:val="00901936"/>
    <w:rsid w:val="0090494D"/>
    <w:rsid w:val="00907B02"/>
    <w:rsid w:val="00920982"/>
    <w:rsid w:val="00947B4B"/>
    <w:rsid w:val="0096427B"/>
    <w:rsid w:val="00972DC3"/>
    <w:rsid w:val="00977979"/>
    <w:rsid w:val="00984A6A"/>
    <w:rsid w:val="009C307C"/>
    <w:rsid w:val="009E3772"/>
    <w:rsid w:val="009E5027"/>
    <w:rsid w:val="009F28C3"/>
    <w:rsid w:val="00A15A62"/>
    <w:rsid w:val="00A87A59"/>
    <w:rsid w:val="00A9545E"/>
    <w:rsid w:val="00AA5A15"/>
    <w:rsid w:val="00AB7795"/>
    <w:rsid w:val="00AE2AE3"/>
    <w:rsid w:val="00B1703E"/>
    <w:rsid w:val="00B23C71"/>
    <w:rsid w:val="00B270A3"/>
    <w:rsid w:val="00B34FE0"/>
    <w:rsid w:val="00B45135"/>
    <w:rsid w:val="00B659ED"/>
    <w:rsid w:val="00B823E6"/>
    <w:rsid w:val="00B844BD"/>
    <w:rsid w:val="00B87A33"/>
    <w:rsid w:val="00B909D1"/>
    <w:rsid w:val="00BA0ECF"/>
    <w:rsid w:val="00BA5126"/>
    <w:rsid w:val="00BB17DB"/>
    <w:rsid w:val="00BC11B7"/>
    <w:rsid w:val="00BC1828"/>
    <w:rsid w:val="00C133E9"/>
    <w:rsid w:val="00C15C55"/>
    <w:rsid w:val="00C26257"/>
    <w:rsid w:val="00C5321C"/>
    <w:rsid w:val="00C54B8E"/>
    <w:rsid w:val="00C569BF"/>
    <w:rsid w:val="00C671DF"/>
    <w:rsid w:val="00C84CB7"/>
    <w:rsid w:val="00C87465"/>
    <w:rsid w:val="00C95E0E"/>
    <w:rsid w:val="00CA3349"/>
    <w:rsid w:val="00CB2623"/>
    <w:rsid w:val="00CC4711"/>
    <w:rsid w:val="00CC6D8A"/>
    <w:rsid w:val="00CC72AB"/>
    <w:rsid w:val="00D139F4"/>
    <w:rsid w:val="00D320C1"/>
    <w:rsid w:val="00D5003C"/>
    <w:rsid w:val="00D524E0"/>
    <w:rsid w:val="00D57776"/>
    <w:rsid w:val="00D63E46"/>
    <w:rsid w:val="00D83906"/>
    <w:rsid w:val="00DB2C11"/>
    <w:rsid w:val="00DB6FB7"/>
    <w:rsid w:val="00E000EC"/>
    <w:rsid w:val="00E06E6A"/>
    <w:rsid w:val="00E11CB2"/>
    <w:rsid w:val="00E1414C"/>
    <w:rsid w:val="00E24C0C"/>
    <w:rsid w:val="00E31E0E"/>
    <w:rsid w:val="00E5296C"/>
    <w:rsid w:val="00E92755"/>
    <w:rsid w:val="00EB02D1"/>
    <w:rsid w:val="00EC6F69"/>
    <w:rsid w:val="00ED4731"/>
    <w:rsid w:val="00ED761A"/>
    <w:rsid w:val="00EF3EE0"/>
    <w:rsid w:val="00F35FC7"/>
    <w:rsid w:val="00F4656D"/>
    <w:rsid w:val="00F53B80"/>
    <w:rsid w:val="00F5677E"/>
    <w:rsid w:val="00F63024"/>
    <w:rsid w:val="00F67C3E"/>
    <w:rsid w:val="00F7773B"/>
    <w:rsid w:val="00F902FE"/>
    <w:rsid w:val="00F9489D"/>
    <w:rsid w:val="00F94BB1"/>
    <w:rsid w:val="00FB7E58"/>
    <w:rsid w:val="00FC1FD7"/>
    <w:rsid w:val="00FF03AF"/>
    <w:rsid w:val="06216975"/>
    <w:rsid w:val="0732502E"/>
    <w:rsid w:val="09071918"/>
    <w:rsid w:val="0CD833C0"/>
    <w:rsid w:val="0DE65E3F"/>
    <w:rsid w:val="0FC965FB"/>
    <w:rsid w:val="154F0201"/>
    <w:rsid w:val="199FCEFC"/>
    <w:rsid w:val="1EFE33C9"/>
    <w:rsid w:val="1FFFCDFD"/>
    <w:rsid w:val="21C96890"/>
    <w:rsid w:val="23FF727A"/>
    <w:rsid w:val="26042ADE"/>
    <w:rsid w:val="266A4119"/>
    <w:rsid w:val="283869F0"/>
    <w:rsid w:val="28481463"/>
    <w:rsid w:val="285C79AD"/>
    <w:rsid w:val="2A110088"/>
    <w:rsid w:val="2A777343"/>
    <w:rsid w:val="2E4248BC"/>
    <w:rsid w:val="2E5D00E0"/>
    <w:rsid w:val="316F6D5F"/>
    <w:rsid w:val="352C084C"/>
    <w:rsid w:val="3648284C"/>
    <w:rsid w:val="369D029B"/>
    <w:rsid w:val="36AD6156"/>
    <w:rsid w:val="376D37EC"/>
    <w:rsid w:val="37AE17FF"/>
    <w:rsid w:val="37BFEDE8"/>
    <w:rsid w:val="38A878A9"/>
    <w:rsid w:val="39D236E8"/>
    <w:rsid w:val="3BEA428A"/>
    <w:rsid w:val="3CC62B60"/>
    <w:rsid w:val="3EF30E57"/>
    <w:rsid w:val="3F327C3B"/>
    <w:rsid w:val="41894C7C"/>
    <w:rsid w:val="41E67340"/>
    <w:rsid w:val="420E644F"/>
    <w:rsid w:val="43C13B02"/>
    <w:rsid w:val="44FE038A"/>
    <w:rsid w:val="46916D50"/>
    <w:rsid w:val="48274494"/>
    <w:rsid w:val="489D35C5"/>
    <w:rsid w:val="49114F62"/>
    <w:rsid w:val="49AD7E80"/>
    <w:rsid w:val="4B315A3D"/>
    <w:rsid w:val="4D824F2D"/>
    <w:rsid w:val="4F7D4ED5"/>
    <w:rsid w:val="54105B12"/>
    <w:rsid w:val="565FC2CC"/>
    <w:rsid w:val="56A72890"/>
    <w:rsid w:val="57312361"/>
    <w:rsid w:val="575B7EDD"/>
    <w:rsid w:val="58442698"/>
    <w:rsid w:val="59A0508D"/>
    <w:rsid w:val="5AC97A40"/>
    <w:rsid w:val="5C5A1297"/>
    <w:rsid w:val="5D0BEE0C"/>
    <w:rsid w:val="5ECE6083"/>
    <w:rsid w:val="5EF95688"/>
    <w:rsid w:val="5F2464B0"/>
    <w:rsid w:val="5F53BD26"/>
    <w:rsid w:val="60AA4CCD"/>
    <w:rsid w:val="622C32F9"/>
    <w:rsid w:val="64C21FB7"/>
    <w:rsid w:val="66EF4B44"/>
    <w:rsid w:val="679943B6"/>
    <w:rsid w:val="67B16402"/>
    <w:rsid w:val="67DB45EA"/>
    <w:rsid w:val="67FE2CF1"/>
    <w:rsid w:val="692A3D38"/>
    <w:rsid w:val="6ABC42B1"/>
    <w:rsid w:val="6D055A56"/>
    <w:rsid w:val="6DE01D5F"/>
    <w:rsid w:val="6F075D51"/>
    <w:rsid w:val="73FF988F"/>
    <w:rsid w:val="74933C75"/>
    <w:rsid w:val="74CE3E1E"/>
    <w:rsid w:val="751A4A66"/>
    <w:rsid w:val="75FDB43A"/>
    <w:rsid w:val="764C7A4B"/>
    <w:rsid w:val="77EFAE59"/>
    <w:rsid w:val="79E44292"/>
    <w:rsid w:val="7A3474E7"/>
    <w:rsid w:val="7BA75723"/>
    <w:rsid w:val="7C7ED688"/>
    <w:rsid w:val="7DAE1348"/>
    <w:rsid w:val="7DF48D2A"/>
    <w:rsid w:val="7DFF3455"/>
    <w:rsid w:val="7FA7D4D0"/>
    <w:rsid w:val="7FBB9693"/>
    <w:rsid w:val="7FE7DED3"/>
    <w:rsid w:val="875DB8B0"/>
    <w:rsid w:val="87CF423C"/>
    <w:rsid w:val="ADFD046E"/>
    <w:rsid w:val="B7FF39DA"/>
    <w:rsid w:val="BC8DCBA2"/>
    <w:rsid w:val="BEBF6AE8"/>
    <w:rsid w:val="BEDEB1A5"/>
    <w:rsid w:val="BFD754C5"/>
    <w:rsid w:val="BFED6684"/>
    <w:rsid w:val="CDFE5BB5"/>
    <w:rsid w:val="D58BB486"/>
    <w:rsid w:val="DFBE7FCA"/>
    <w:rsid w:val="DFFEC82E"/>
    <w:rsid w:val="E5BF7013"/>
    <w:rsid w:val="ED6FF3E8"/>
    <w:rsid w:val="EDF95868"/>
    <w:rsid w:val="F06FE202"/>
    <w:rsid w:val="F17FAFB9"/>
    <w:rsid w:val="FB7F624D"/>
    <w:rsid w:val="FE53F9FF"/>
    <w:rsid w:val="FE6E610C"/>
    <w:rsid w:val="FFBD578D"/>
    <w:rsid w:val="FFE7DD68"/>
    <w:rsid w:val="FFFDE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楷体_GB2312" w:hAnsi="Tahoma" w:eastAsia="楷体_GB2312"/>
      <w:b/>
      <w:bCs/>
    </w:rPr>
  </w:style>
  <w:style w:type="paragraph" w:styleId="3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rFonts w:ascii="仿宋_GB2312" w:hAnsi="Tahom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pacing w:line="360" w:lineRule="auto"/>
      <w:ind w:firstLine="0" w:firstLineChars="0"/>
      <w:jc w:val="both"/>
      <w:textAlignment w:val="baseline"/>
    </w:pPr>
    <w:rPr>
      <w:kern w:val="0"/>
      <w:szCs w:val="20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2"/>
    <w:qFormat/>
    <w:uiPriority w:val="0"/>
  </w:style>
  <w:style w:type="paragraph" w:styleId="8">
    <w:name w:val="Body Text"/>
    <w:basedOn w:val="1"/>
    <w:next w:val="9"/>
    <w:qFormat/>
    <w:uiPriority w:val="0"/>
    <w:pPr>
      <w:spacing w:after="120"/>
    </w:pPr>
    <w:rPr>
      <w:rFonts w:ascii="Tahoma" w:hAnsi="Tahoma"/>
    </w:rPr>
  </w:style>
  <w:style w:type="paragraph" w:styleId="9">
    <w:name w:val="Body Text First Indent"/>
    <w:basedOn w:val="8"/>
    <w:next w:val="10"/>
    <w:qFormat/>
    <w:uiPriority w:val="0"/>
    <w:pPr>
      <w:autoSpaceDE w:val="0"/>
      <w:autoSpaceDN w:val="0"/>
      <w:adjustRightInd w:val="0"/>
      <w:ind w:firstLine="420" w:firstLineChars="100"/>
    </w:pPr>
    <w:rPr>
      <w:rFonts w:ascii="仿宋_GB2312" w:hAnsi="Times New Roman"/>
      <w:b/>
      <w:kern w:val="0"/>
      <w:sz w:val="32"/>
      <w:szCs w:val="32"/>
    </w:rPr>
  </w:style>
  <w:style w:type="paragraph" w:styleId="10">
    <w:name w:val="toc 6"/>
    <w:basedOn w:val="1"/>
    <w:next w:val="1"/>
    <w:qFormat/>
    <w:uiPriority w:val="39"/>
    <w:pPr>
      <w:autoSpaceDE w:val="0"/>
      <w:autoSpaceDN w:val="0"/>
      <w:adjustRightInd w:val="0"/>
      <w:ind w:left="2100" w:leftChars="1000"/>
    </w:pPr>
    <w:rPr>
      <w:kern w:val="0"/>
      <w:sz w:val="20"/>
      <w:szCs w:val="20"/>
    </w:rPr>
  </w:style>
  <w:style w:type="paragraph" w:styleId="11">
    <w:name w:val="Body Text Indent"/>
    <w:basedOn w:val="1"/>
    <w:next w:val="5"/>
    <w:qFormat/>
    <w:uiPriority w:val="0"/>
    <w:pPr>
      <w:adjustRightInd w:val="0"/>
      <w:spacing w:line="360" w:lineRule="auto"/>
      <w:ind w:firstLine="490"/>
    </w:pPr>
    <w:rPr>
      <w:rFonts w:ascii="宋体" w:hAnsi="宋体"/>
      <w:sz w:val="24"/>
      <w:szCs w:val="20"/>
    </w:rPr>
  </w:style>
  <w:style w:type="paragraph" w:styleId="12">
    <w:name w:val="Balloon Text"/>
    <w:basedOn w:val="1"/>
    <w:link w:val="25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link w:val="23"/>
    <w:qFormat/>
    <w:uiPriority w:val="0"/>
    <w:rPr>
      <w:b/>
      <w:bCs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annotation reference"/>
    <w:basedOn w:val="18"/>
    <w:qFormat/>
    <w:uiPriority w:val="0"/>
    <w:rPr>
      <w:sz w:val="21"/>
      <w:szCs w:val="21"/>
    </w:rPr>
  </w:style>
  <w:style w:type="character" w:customStyle="1" w:styleId="21">
    <w:name w:val="标题 4 Char"/>
    <w:basedOn w:val="1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批注文字 Char"/>
    <w:basedOn w:val="18"/>
    <w:link w:val="7"/>
    <w:qFormat/>
    <w:uiPriority w:val="0"/>
    <w:rPr>
      <w:kern w:val="2"/>
      <w:sz w:val="21"/>
      <w:szCs w:val="24"/>
    </w:rPr>
  </w:style>
  <w:style w:type="character" w:customStyle="1" w:styleId="23">
    <w:name w:val="批注主题 Char"/>
    <w:basedOn w:val="22"/>
    <w:link w:val="16"/>
    <w:qFormat/>
    <w:uiPriority w:val="0"/>
    <w:rPr>
      <w:b/>
      <w:bCs/>
      <w:kern w:val="2"/>
      <w:sz w:val="21"/>
      <w:szCs w:val="24"/>
    </w:rPr>
  </w:style>
  <w:style w:type="paragraph" w:customStyle="1" w:styleId="2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批注框文本 Char"/>
    <w:basedOn w:val="18"/>
    <w:link w:val="1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545</Words>
  <Characters>3109</Characters>
  <Lines>25</Lines>
  <Paragraphs>7</Paragraphs>
  <TotalTime>10</TotalTime>
  <ScaleCrop>false</ScaleCrop>
  <LinksUpToDate>false</LinksUpToDate>
  <CharactersWithSpaces>3647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2023-03-17T09:02:00Z</dcterms:created>
  <dc:creator>怀si</dc:creator>
  <cp:lastModifiedBy>项光荣</cp:lastModifiedBy>
  <cp:lastPrinted>2023-08-14T16:50:00Z</cp:lastPrinted>
  <dcterms:modified xsi:type="dcterms:W3CDTF">2023-10-09T01:08:29Z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DDE3111DFF894E358988C3880A61B170_13</vt:lpwstr>
  </property>
</Properties>
</file>