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DD8B" w14:textId="4BAA52DC" w:rsidR="009137B4" w:rsidRPr="00AA00D2" w:rsidRDefault="00AA00D2" w:rsidP="00AA00D2">
      <w:pPr>
        <w:snapToGrid w:val="0"/>
        <w:spacing w:line="600" w:lineRule="exact"/>
        <w:jc w:val="center"/>
        <w:rPr>
          <w:rFonts w:ascii="小标宋" w:eastAsia="小标宋"/>
          <w:sz w:val="44"/>
          <w:szCs w:val="44"/>
        </w:rPr>
      </w:pPr>
      <w:r w:rsidRPr="00AA00D2">
        <w:rPr>
          <w:rFonts w:ascii="小标宋" w:eastAsia="小标宋" w:hint="eastAsia"/>
          <w:sz w:val="44"/>
          <w:szCs w:val="44"/>
        </w:rPr>
        <w:t>关于《遂昌县公共数据授权运营管理实施细则（试行）》（征求意见稿）的起草说明</w:t>
      </w:r>
    </w:p>
    <w:p w14:paraId="6039A892" w14:textId="1F04E366" w:rsidR="00AA00D2" w:rsidRDefault="00AA00D2" w:rsidP="00AA00D2">
      <w:pPr>
        <w:snapToGrid w:val="0"/>
        <w:spacing w:line="600" w:lineRule="exact"/>
        <w:jc w:val="center"/>
      </w:pPr>
    </w:p>
    <w:p w14:paraId="19948B49" w14:textId="59DBB376" w:rsidR="00AA00D2" w:rsidRPr="009B7751" w:rsidRDefault="009B7751" w:rsidP="009B7751">
      <w:pPr>
        <w:snapToGrid w:val="0"/>
        <w:spacing w:line="600" w:lineRule="exact"/>
        <w:rPr>
          <w:rFonts w:ascii="黑体" w:eastAsia="黑体" w:hAnsi="黑体"/>
        </w:rPr>
      </w:pPr>
      <w:r>
        <w:rPr>
          <w:rFonts w:hint="eastAsia"/>
        </w:rPr>
        <w:t xml:space="preserve"> </w:t>
      </w:r>
      <w:r>
        <w:t xml:space="preserve">  </w:t>
      </w:r>
      <w:r w:rsidRPr="009B7751">
        <w:rPr>
          <w:rFonts w:ascii="黑体" w:eastAsia="黑体" w:hAnsi="黑体"/>
        </w:rPr>
        <w:t xml:space="preserve"> </w:t>
      </w:r>
      <w:r w:rsidRPr="009B7751">
        <w:rPr>
          <w:rFonts w:ascii="黑体" w:eastAsia="黑体" w:hAnsi="黑体" w:hint="eastAsia"/>
        </w:rPr>
        <w:t>一、制定文件的必要性和可行性</w:t>
      </w:r>
    </w:p>
    <w:p w14:paraId="5C80A00A" w14:textId="597F77D1" w:rsidR="009B7751" w:rsidRDefault="009B7751" w:rsidP="009B7751">
      <w:pPr>
        <w:snapToGrid w:val="0"/>
        <w:spacing w:line="600" w:lineRule="exact"/>
      </w:pPr>
      <w:r>
        <w:rPr>
          <w:rFonts w:hint="eastAsia"/>
        </w:rPr>
        <w:t xml:space="preserve"> </w:t>
      </w:r>
      <w:r>
        <w:t xml:space="preserve">   </w:t>
      </w:r>
      <w:r w:rsidRPr="009B7751">
        <w:rPr>
          <w:rFonts w:hint="eastAsia"/>
        </w:rPr>
        <w:t>为落实《中共中央</w:t>
      </w:r>
      <w:r w:rsidRPr="009B7751">
        <w:rPr>
          <w:rFonts w:hint="eastAsia"/>
        </w:rPr>
        <w:t xml:space="preserve"> </w:t>
      </w:r>
      <w:r w:rsidRPr="009B7751">
        <w:rPr>
          <w:rFonts w:hint="eastAsia"/>
        </w:rPr>
        <w:t>国务院关于构建数据基础制度更好发挥数据要素作用的意见》《国家数据局等部门关于印发〈“数据要素×”三年行动计划（</w:t>
      </w:r>
      <w:r w:rsidRPr="009B7751">
        <w:rPr>
          <w:rFonts w:hint="eastAsia"/>
        </w:rPr>
        <w:t>2024</w:t>
      </w:r>
      <w:r w:rsidRPr="009B7751">
        <w:rPr>
          <w:rFonts w:hint="eastAsia"/>
        </w:rPr>
        <w:t>—</w:t>
      </w:r>
      <w:r w:rsidRPr="009B7751">
        <w:rPr>
          <w:rFonts w:hint="eastAsia"/>
        </w:rPr>
        <w:t>2026</w:t>
      </w:r>
      <w:r w:rsidRPr="009B7751">
        <w:rPr>
          <w:rFonts w:hint="eastAsia"/>
        </w:rPr>
        <w:t>年）〉的通知》（国数政策〔</w:t>
      </w:r>
      <w:r w:rsidRPr="009B7751">
        <w:rPr>
          <w:rFonts w:hint="eastAsia"/>
        </w:rPr>
        <w:t>2023</w:t>
      </w:r>
      <w:r w:rsidRPr="009B7751">
        <w:rPr>
          <w:rFonts w:hint="eastAsia"/>
        </w:rPr>
        <w:t>〕</w:t>
      </w:r>
      <w:r w:rsidRPr="009B7751">
        <w:rPr>
          <w:rFonts w:hint="eastAsia"/>
        </w:rPr>
        <w:t>11</w:t>
      </w:r>
      <w:r w:rsidRPr="009B7751">
        <w:rPr>
          <w:rFonts w:hint="eastAsia"/>
        </w:rPr>
        <w:t>号），规范全县公共数据授权运营行为，加快公共数据有序开发利用，培育数据要素市场，根据《浙江省公共数据条例》《浙江省人民政府办公厅关于印发浙江省公共数据授权运营管理办法（试行）的通知》（浙政办发〔</w:t>
      </w:r>
      <w:r w:rsidRPr="009B7751">
        <w:rPr>
          <w:rFonts w:hint="eastAsia"/>
        </w:rPr>
        <w:t>2023</w:t>
      </w:r>
      <w:r w:rsidRPr="009B7751">
        <w:rPr>
          <w:rFonts w:hint="eastAsia"/>
        </w:rPr>
        <w:t>〕</w:t>
      </w:r>
      <w:r w:rsidRPr="009B7751">
        <w:rPr>
          <w:rFonts w:hint="eastAsia"/>
        </w:rPr>
        <w:t>44</w:t>
      </w:r>
      <w:r w:rsidRPr="009B7751">
        <w:rPr>
          <w:rFonts w:hint="eastAsia"/>
        </w:rPr>
        <w:t>号）《丽水市公共数据授权运营管理实施细则（试行）》等文件精神，结合本县实际，制定《</w:t>
      </w:r>
      <w:r>
        <w:rPr>
          <w:rFonts w:hint="eastAsia"/>
        </w:rPr>
        <w:t>遂昌</w:t>
      </w:r>
      <w:r w:rsidRPr="009B7751">
        <w:rPr>
          <w:rFonts w:hint="eastAsia"/>
        </w:rPr>
        <w:t>县公共数据授权运营管理实施细则（试行）》（征求意见稿）（以下简称《细则》）。</w:t>
      </w:r>
    </w:p>
    <w:p w14:paraId="09DF2F28" w14:textId="1828A978" w:rsidR="009B7751" w:rsidRPr="009B7751" w:rsidRDefault="009B7751" w:rsidP="009B7751">
      <w:pPr>
        <w:snapToGrid w:val="0"/>
        <w:spacing w:line="600" w:lineRule="exact"/>
        <w:ind w:firstLineChars="200" w:firstLine="640"/>
        <w:rPr>
          <w:rFonts w:ascii="黑体" w:eastAsia="黑体" w:hAnsi="黑体"/>
        </w:rPr>
      </w:pPr>
      <w:r w:rsidRPr="009B7751">
        <w:rPr>
          <w:rFonts w:ascii="黑体" w:eastAsia="黑体" w:hAnsi="黑体" w:hint="eastAsia"/>
        </w:rPr>
        <w:t>二、解决的主要问题</w:t>
      </w:r>
    </w:p>
    <w:p w14:paraId="6D740D21" w14:textId="58A44858" w:rsidR="009B7751" w:rsidRDefault="009B7751" w:rsidP="009B7751">
      <w:pPr>
        <w:snapToGrid w:val="0"/>
        <w:spacing w:line="600" w:lineRule="exact"/>
        <w:ind w:firstLine="640"/>
      </w:pPr>
      <w:r>
        <w:rPr>
          <w:rFonts w:hint="eastAsia"/>
        </w:rPr>
        <w:t>在省级公共数据授权运营顶层设计和市级公共数据授权运营实施细则指导下，本《细则》立足县级实际</w:t>
      </w:r>
      <w:r w:rsidR="00DF4A46">
        <w:rPr>
          <w:rFonts w:hint="eastAsia"/>
        </w:rPr>
        <w:t>，进一步明晰了县级公共数据授权运营的工作体系、部门职责</w:t>
      </w:r>
      <w:r w:rsidR="009E6E24">
        <w:rPr>
          <w:rFonts w:hint="eastAsia"/>
        </w:rPr>
        <w:t>、</w:t>
      </w:r>
      <w:r w:rsidR="00DF4A46">
        <w:rPr>
          <w:rFonts w:hint="eastAsia"/>
        </w:rPr>
        <w:t>授权主体</w:t>
      </w:r>
      <w:r w:rsidR="009E6E24">
        <w:rPr>
          <w:rFonts w:hint="eastAsia"/>
        </w:rPr>
        <w:t>和授权终止情形</w:t>
      </w:r>
      <w:r w:rsidR="00DF4A46">
        <w:rPr>
          <w:rFonts w:hint="eastAsia"/>
        </w:rPr>
        <w:t>，突出县级对</w:t>
      </w:r>
      <w:r w:rsidR="00256F37">
        <w:rPr>
          <w:rFonts w:hint="eastAsia"/>
        </w:rPr>
        <w:t>市级专家组力量的依托，以及县级对市级</w:t>
      </w:r>
      <w:r w:rsidR="00DF4A46">
        <w:rPr>
          <w:rFonts w:hint="eastAsia"/>
        </w:rPr>
        <w:t>授权</w:t>
      </w:r>
      <w:r w:rsidR="00256F37">
        <w:rPr>
          <w:rFonts w:hint="eastAsia"/>
        </w:rPr>
        <w:t>运营</w:t>
      </w:r>
      <w:r w:rsidR="00DF4A46">
        <w:rPr>
          <w:rFonts w:hint="eastAsia"/>
        </w:rPr>
        <w:t>域平台的</w:t>
      </w:r>
      <w:r w:rsidR="00256F37">
        <w:rPr>
          <w:rFonts w:hint="eastAsia"/>
        </w:rPr>
        <w:t>统一</w:t>
      </w:r>
      <w:r w:rsidR="00DF4A46">
        <w:rPr>
          <w:rFonts w:hint="eastAsia"/>
        </w:rPr>
        <w:t>使用和</w:t>
      </w:r>
      <w:r w:rsidR="00256F37">
        <w:rPr>
          <w:rFonts w:hint="eastAsia"/>
        </w:rPr>
        <w:t>运营支撑，有力推动县级公共数据授权运营的实际落地操作。</w:t>
      </w:r>
    </w:p>
    <w:p w14:paraId="1A619FDD" w14:textId="22737CEF" w:rsidR="009B7751" w:rsidRPr="009B7751" w:rsidRDefault="009B7751" w:rsidP="009B7751">
      <w:pPr>
        <w:snapToGrid w:val="0"/>
        <w:spacing w:line="600" w:lineRule="exact"/>
        <w:ind w:firstLineChars="200" w:firstLine="640"/>
        <w:rPr>
          <w:rFonts w:ascii="黑体" w:eastAsia="黑体" w:hAnsi="黑体"/>
        </w:rPr>
      </w:pPr>
      <w:r w:rsidRPr="009B7751">
        <w:rPr>
          <w:rFonts w:ascii="黑体" w:eastAsia="黑体" w:hAnsi="黑体" w:hint="eastAsia"/>
        </w:rPr>
        <w:t>三、主要内容</w:t>
      </w:r>
    </w:p>
    <w:p w14:paraId="4D84B861" w14:textId="77777777" w:rsidR="00155527" w:rsidRDefault="00155527" w:rsidP="00155527">
      <w:pPr>
        <w:snapToGrid w:val="0"/>
        <w:spacing w:line="600" w:lineRule="exact"/>
        <w:ind w:firstLine="640"/>
      </w:pPr>
      <w:r>
        <w:rPr>
          <w:rFonts w:hint="eastAsia"/>
        </w:rPr>
        <w:lastRenderedPageBreak/>
        <w:t>《细则》主要对公共数据授权运营管理机制、授权与授权终止、授权运营权利与行为规范、授权运营域使用、数据安全与监督管理等方面进行统一规范。</w:t>
      </w:r>
    </w:p>
    <w:p w14:paraId="77A25167" w14:textId="52CCD546" w:rsidR="00155527" w:rsidRDefault="00155527" w:rsidP="00155527">
      <w:pPr>
        <w:snapToGrid w:val="0"/>
        <w:spacing w:line="600" w:lineRule="exact"/>
        <w:ind w:firstLine="640"/>
      </w:pPr>
      <w:r w:rsidRPr="00155527">
        <w:rPr>
          <w:rFonts w:hint="eastAsia"/>
          <w:b/>
          <w:bCs/>
        </w:rPr>
        <w:t>第一点：总则。</w:t>
      </w:r>
      <w:r>
        <w:rPr>
          <w:rFonts w:hint="eastAsia"/>
        </w:rPr>
        <w:t>主要包括编制的目的依据、基本原则、适用范围、术语定义、工作体系、部门职责分工、授权主体、授权范围、授权应用场景要求、定价方式、收益机制等。《细则》明确要建立县级公共数据授权运营工作协调机制，对本县公共数据授权运营进行统筹管理，明确授权运营应用场景的要求。</w:t>
      </w:r>
    </w:p>
    <w:p w14:paraId="2919D966" w14:textId="5D35572C" w:rsidR="00155527" w:rsidRDefault="00155527" w:rsidP="00155527">
      <w:pPr>
        <w:snapToGrid w:val="0"/>
        <w:spacing w:line="600" w:lineRule="exact"/>
        <w:ind w:firstLine="640"/>
      </w:pPr>
      <w:r w:rsidRPr="00155527">
        <w:rPr>
          <w:rFonts w:hint="eastAsia"/>
          <w:b/>
          <w:bCs/>
        </w:rPr>
        <w:t>第二点：授权与授权终止。</w:t>
      </w:r>
      <w:r>
        <w:rPr>
          <w:rFonts w:hint="eastAsia"/>
        </w:rPr>
        <w:t>《细则》明确了公共数据授权运营工作流程</w:t>
      </w:r>
      <w:r w:rsidR="00E86C3B">
        <w:rPr>
          <w:rFonts w:hint="eastAsia"/>
        </w:rPr>
        <w:t>，</w:t>
      </w:r>
      <w:r>
        <w:rPr>
          <w:rFonts w:hint="eastAsia"/>
        </w:rPr>
        <w:t>包括发布公告、提交申请、</w:t>
      </w:r>
      <w:r w:rsidR="00E86C3B">
        <w:rPr>
          <w:rFonts w:hint="eastAsia"/>
        </w:rPr>
        <w:t>审议确定</w:t>
      </w:r>
      <w:r>
        <w:rPr>
          <w:rFonts w:hint="eastAsia"/>
        </w:rPr>
        <w:t>、公开结果、签订协议等，明确了授权终止的</w:t>
      </w:r>
      <w:r w:rsidR="00A63B36">
        <w:rPr>
          <w:rFonts w:hint="eastAsia"/>
        </w:rPr>
        <w:t>四</w:t>
      </w:r>
      <w:r>
        <w:rPr>
          <w:rFonts w:hint="eastAsia"/>
        </w:rPr>
        <w:t>种情形以及授权终止的</w:t>
      </w:r>
      <w:r w:rsidR="00A63B36">
        <w:rPr>
          <w:rFonts w:hint="eastAsia"/>
        </w:rPr>
        <w:t>操作</w:t>
      </w:r>
      <w:r>
        <w:rPr>
          <w:rFonts w:hint="eastAsia"/>
        </w:rPr>
        <w:t>要求。</w:t>
      </w:r>
    </w:p>
    <w:p w14:paraId="5FB5F6FE" w14:textId="77777777" w:rsidR="00155527" w:rsidRDefault="00155527" w:rsidP="00155527">
      <w:pPr>
        <w:snapToGrid w:val="0"/>
        <w:spacing w:line="600" w:lineRule="exact"/>
        <w:ind w:firstLine="640"/>
      </w:pPr>
      <w:r w:rsidRPr="00155527">
        <w:rPr>
          <w:rFonts w:hint="eastAsia"/>
          <w:b/>
          <w:bCs/>
        </w:rPr>
        <w:t>第三点：授权运营单位权利与行为规范。</w:t>
      </w:r>
      <w:r>
        <w:rPr>
          <w:rFonts w:hint="eastAsia"/>
        </w:rPr>
        <w:t>主要从授权数据获取、数据加工和处理、数据产品、数据治理、规范管理等方面对授权运营单位提出了相关要求，授权运营单位在授权运营期限内，应当向县公共数据主管部门提交授权运营年度运营报告。保障授权运营单位提出数据治理权利，促进公共数据高质量供给。</w:t>
      </w:r>
    </w:p>
    <w:p w14:paraId="62D15F6A" w14:textId="4FA6AB99" w:rsidR="00155527" w:rsidRPr="007901CC" w:rsidRDefault="00155527" w:rsidP="00155527">
      <w:pPr>
        <w:snapToGrid w:val="0"/>
        <w:spacing w:line="600" w:lineRule="exact"/>
        <w:ind w:firstLine="640"/>
        <w:rPr>
          <w:color w:val="auto"/>
        </w:rPr>
      </w:pPr>
      <w:r w:rsidRPr="00155527">
        <w:rPr>
          <w:rFonts w:hint="eastAsia"/>
          <w:b/>
          <w:bCs/>
        </w:rPr>
        <w:t>第四点：授权运营域。</w:t>
      </w:r>
      <w:r w:rsidRPr="00554790">
        <w:rPr>
          <w:rFonts w:hint="eastAsia"/>
        </w:rPr>
        <w:t>《</w:t>
      </w:r>
      <w:r>
        <w:rPr>
          <w:rFonts w:hint="eastAsia"/>
        </w:rPr>
        <w:t>细则》明确县级依托市级授权运营域开展工作，不再单独建设授权运营域</w:t>
      </w:r>
      <w:r w:rsidR="00554790">
        <w:rPr>
          <w:rFonts w:hint="eastAsia"/>
        </w:rPr>
        <w:t>，</w:t>
      </w:r>
      <w:r w:rsidR="007901CC">
        <w:rPr>
          <w:rFonts w:hint="eastAsia"/>
        </w:rPr>
        <w:t>同时</w:t>
      </w:r>
      <w:r w:rsidR="00554790">
        <w:rPr>
          <w:rFonts w:hint="eastAsia"/>
        </w:rPr>
        <w:t>禁止县级公共管理和服务机构</w:t>
      </w:r>
      <w:r w:rsidR="007901CC">
        <w:rPr>
          <w:rFonts w:hint="eastAsia"/>
        </w:rPr>
        <w:t>新建</w:t>
      </w:r>
      <w:r w:rsidR="00554790">
        <w:rPr>
          <w:rFonts w:hint="eastAsia"/>
        </w:rPr>
        <w:t>公共数据授权运营通道</w:t>
      </w:r>
      <w:r>
        <w:rPr>
          <w:rFonts w:hint="eastAsia"/>
        </w:rPr>
        <w:t>。</w:t>
      </w:r>
      <w:r w:rsidR="00554790">
        <w:rPr>
          <w:rFonts w:hint="eastAsia"/>
        </w:rPr>
        <w:t>《细则》</w:t>
      </w:r>
      <w:r w:rsidR="000B44B6">
        <w:rPr>
          <w:rFonts w:hint="eastAsia"/>
        </w:rPr>
        <w:t>支持县</w:t>
      </w:r>
      <w:r w:rsidR="007901CC">
        <w:rPr>
          <w:rFonts w:hint="eastAsia"/>
        </w:rPr>
        <w:t>级</w:t>
      </w:r>
      <w:r w:rsidR="000B44B6">
        <w:rPr>
          <w:rFonts w:hint="eastAsia"/>
        </w:rPr>
        <w:t>委托</w:t>
      </w:r>
      <w:r w:rsidR="007901CC">
        <w:rPr>
          <w:rFonts w:hint="eastAsia"/>
        </w:rPr>
        <w:t>第三方</w:t>
      </w:r>
      <w:r w:rsidR="000B44B6">
        <w:rPr>
          <w:rFonts w:hint="eastAsia"/>
        </w:rPr>
        <w:t>开展授权运营域平台的技术</w:t>
      </w:r>
      <w:r w:rsidR="007901CC">
        <w:rPr>
          <w:rFonts w:hint="eastAsia"/>
        </w:rPr>
        <w:t>运营运维服务，</w:t>
      </w:r>
      <w:r w:rsidR="007901CC">
        <w:rPr>
          <w:rFonts w:hint="eastAsia"/>
        </w:rPr>
        <w:lastRenderedPageBreak/>
        <w:t>加强对第三方服务机构的</w:t>
      </w:r>
      <w:r w:rsidR="003D0A70">
        <w:rPr>
          <w:rFonts w:hint="eastAsia"/>
        </w:rPr>
        <w:t>数据</w:t>
      </w:r>
      <w:r w:rsidR="007901CC">
        <w:rPr>
          <w:rFonts w:hint="eastAsia"/>
        </w:rPr>
        <w:t>安全</w:t>
      </w:r>
      <w:r w:rsidR="003D0A70">
        <w:rPr>
          <w:rFonts w:hint="eastAsia"/>
        </w:rPr>
        <w:t>监管</w:t>
      </w:r>
      <w:r w:rsidR="000B44B6">
        <w:rPr>
          <w:rFonts w:hint="eastAsia"/>
        </w:rPr>
        <w:t>和</w:t>
      </w:r>
      <w:r w:rsidR="003D0A70">
        <w:rPr>
          <w:rFonts w:hint="eastAsia"/>
        </w:rPr>
        <w:t>经费财政保障。</w:t>
      </w:r>
    </w:p>
    <w:p w14:paraId="154649FD" w14:textId="77777777" w:rsidR="00155527" w:rsidRDefault="00155527" w:rsidP="00155527">
      <w:pPr>
        <w:snapToGrid w:val="0"/>
        <w:spacing w:line="600" w:lineRule="exact"/>
        <w:ind w:firstLine="640"/>
      </w:pPr>
      <w:r w:rsidRPr="00155527">
        <w:rPr>
          <w:rFonts w:hint="eastAsia"/>
          <w:b/>
          <w:bCs/>
        </w:rPr>
        <w:t>第五点：数据安全与监督管理。</w:t>
      </w:r>
      <w:r>
        <w:rPr>
          <w:rFonts w:hint="eastAsia"/>
        </w:rPr>
        <w:t>主要从授权运营单位数据安全工作要求、县公共数据主管部门数据安全工作要求、运营监督管理、年度运营评估、违反协议整改等方面细化了相关要求，《细则》明确了授权运营单位主要负责人是运营公共数据安全的第一责任人；明确各相关部门应按照职责做好监督检查工作。</w:t>
      </w:r>
    </w:p>
    <w:p w14:paraId="438CA6B4" w14:textId="7F929CA6" w:rsidR="009B7751" w:rsidRDefault="00155527" w:rsidP="00155527">
      <w:pPr>
        <w:snapToGrid w:val="0"/>
        <w:spacing w:line="600" w:lineRule="exact"/>
        <w:ind w:firstLine="640"/>
      </w:pPr>
      <w:r w:rsidRPr="00155527">
        <w:rPr>
          <w:rFonts w:hint="eastAsia"/>
          <w:b/>
          <w:bCs/>
        </w:rPr>
        <w:t>第六点：附则。</w:t>
      </w:r>
      <w:r>
        <w:rPr>
          <w:rFonts w:hint="eastAsia"/>
        </w:rPr>
        <w:t>主要</w:t>
      </w:r>
      <w:r w:rsidR="000D53B5">
        <w:rPr>
          <w:rFonts w:hint="eastAsia"/>
        </w:rPr>
        <w:t>明确</w:t>
      </w:r>
      <w:r>
        <w:rPr>
          <w:rFonts w:hint="eastAsia"/>
        </w:rPr>
        <w:t>了</w:t>
      </w:r>
      <w:r w:rsidR="000B44B6">
        <w:rPr>
          <w:rFonts w:hint="eastAsia"/>
        </w:rPr>
        <w:t>《细则》施行</w:t>
      </w:r>
      <w:r>
        <w:rPr>
          <w:rFonts w:hint="eastAsia"/>
        </w:rPr>
        <w:t>时间</w:t>
      </w:r>
      <w:r w:rsidR="000B44B6">
        <w:rPr>
          <w:rFonts w:hint="eastAsia"/>
        </w:rPr>
        <w:t>，</w:t>
      </w:r>
      <w:r w:rsidR="000D53B5">
        <w:rPr>
          <w:rFonts w:hint="eastAsia"/>
        </w:rPr>
        <w:t>并</w:t>
      </w:r>
      <w:r w:rsidR="009E6E24">
        <w:rPr>
          <w:rFonts w:hint="eastAsia"/>
        </w:rPr>
        <w:t>遵循</w:t>
      </w:r>
      <w:r w:rsidR="000B44B6" w:rsidRPr="000B44B6">
        <w:rPr>
          <w:rFonts w:hint="eastAsia"/>
        </w:rPr>
        <w:t>国家、省、市对公共数据授权运营管理</w:t>
      </w:r>
      <w:r w:rsidR="009E6E24">
        <w:rPr>
          <w:rFonts w:hint="eastAsia"/>
        </w:rPr>
        <w:t>的</w:t>
      </w:r>
      <w:r w:rsidR="000D53B5">
        <w:rPr>
          <w:rFonts w:hint="eastAsia"/>
        </w:rPr>
        <w:t>最</w:t>
      </w:r>
      <w:r w:rsidR="000B44B6" w:rsidRPr="000B44B6">
        <w:rPr>
          <w:rFonts w:hint="eastAsia"/>
        </w:rPr>
        <w:t>新规定</w:t>
      </w:r>
      <w:r>
        <w:rPr>
          <w:rFonts w:hint="eastAsia"/>
        </w:rPr>
        <w:t>。</w:t>
      </w:r>
    </w:p>
    <w:p w14:paraId="5671C1DC" w14:textId="4E48527E" w:rsidR="00155527" w:rsidRDefault="00155527" w:rsidP="00155527">
      <w:pPr>
        <w:snapToGrid w:val="0"/>
        <w:spacing w:line="600" w:lineRule="exact"/>
        <w:ind w:firstLine="640"/>
      </w:pPr>
    </w:p>
    <w:p w14:paraId="47918CE1" w14:textId="77777777" w:rsidR="00155527" w:rsidRDefault="00155527" w:rsidP="00155527">
      <w:pPr>
        <w:snapToGrid w:val="0"/>
        <w:spacing w:line="600" w:lineRule="exact"/>
        <w:ind w:firstLine="640"/>
      </w:pPr>
    </w:p>
    <w:p w14:paraId="25CFD068" w14:textId="4FFCA68C" w:rsidR="00155527" w:rsidRDefault="00155527" w:rsidP="00155527">
      <w:pPr>
        <w:snapToGrid w:val="0"/>
        <w:spacing w:line="600" w:lineRule="exact"/>
        <w:ind w:firstLineChars="1200" w:firstLine="3840"/>
      </w:pPr>
      <w:r>
        <w:rPr>
          <w:rFonts w:hint="eastAsia"/>
        </w:rPr>
        <w:t>遂昌县大数据和金融发展中心</w:t>
      </w:r>
    </w:p>
    <w:p w14:paraId="2A8E1969" w14:textId="23D2C212" w:rsidR="00155527" w:rsidRDefault="00155527" w:rsidP="00155527">
      <w:pPr>
        <w:snapToGrid w:val="0"/>
        <w:spacing w:line="600" w:lineRule="exact"/>
        <w:ind w:firstLineChars="1500" w:firstLine="4800"/>
      </w:pPr>
      <w:r>
        <w:rPr>
          <w:rFonts w:hint="eastAsia"/>
        </w:rPr>
        <w:t>2</w:t>
      </w:r>
      <w:r>
        <w:t>024</w:t>
      </w:r>
      <w:r>
        <w:rPr>
          <w:rFonts w:hint="eastAsia"/>
        </w:rPr>
        <w:t>年</w:t>
      </w:r>
      <w:r>
        <w:rPr>
          <w:rFonts w:hint="eastAsia"/>
        </w:rPr>
        <w:t>2</w:t>
      </w:r>
      <w:r>
        <w:rPr>
          <w:rFonts w:hint="eastAsia"/>
        </w:rPr>
        <w:t>月</w:t>
      </w:r>
      <w:r w:rsidR="00EA2983">
        <w:t>21</w:t>
      </w:r>
      <w:r>
        <w:rPr>
          <w:rFonts w:hint="eastAsia"/>
        </w:rPr>
        <w:t>日</w:t>
      </w:r>
    </w:p>
    <w:sectPr w:rsidR="00155527" w:rsidSect="006867AC">
      <w:footerReference w:type="even" r:id="rId7"/>
      <w:footerReference w:type="default" r:id="rId8"/>
      <w:pgSz w:w="11906" w:h="16838" w:code="9"/>
      <w:pgMar w:top="1440" w:right="1797" w:bottom="1440" w:left="1797" w:header="851" w:footer="90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81B4" w14:textId="77777777" w:rsidR="0095296D" w:rsidRDefault="0095296D" w:rsidP="00AA00D2">
      <w:r>
        <w:separator/>
      </w:r>
    </w:p>
  </w:endnote>
  <w:endnote w:type="continuationSeparator" w:id="0">
    <w:p w14:paraId="26FEAEF2" w14:textId="77777777" w:rsidR="0095296D" w:rsidRDefault="0095296D" w:rsidP="00AA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671339"/>
      <w:docPartObj>
        <w:docPartGallery w:val="Page Numbers (Bottom of Page)"/>
        <w:docPartUnique/>
      </w:docPartObj>
    </w:sdtPr>
    <w:sdtContent>
      <w:p w14:paraId="4A4DADBD" w14:textId="2CE0948A" w:rsidR="006867AC" w:rsidRDefault="006867AC">
        <w:pPr>
          <w:pStyle w:val="a5"/>
        </w:pPr>
        <w:r w:rsidRPr="006867AC">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Pr="006867AC">
          <w:rPr>
            <w:rFonts w:asciiTheme="minorEastAsia" w:eastAsiaTheme="minorEastAsia" w:hAnsiTheme="minorEastAsia"/>
            <w:sz w:val="28"/>
            <w:szCs w:val="28"/>
          </w:rPr>
          <w:fldChar w:fldCharType="begin"/>
        </w:r>
        <w:r w:rsidRPr="006867AC">
          <w:rPr>
            <w:rFonts w:asciiTheme="minorEastAsia" w:eastAsiaTheme="minorEastAsia" w:hAnsiTheme="minorEastAsia"/>
            <w:sz w:val="28"/>
            <w:szCs w:val="28"/>
          </w:rPr>
          <w:instrText>PAGE   \* MERGEFORMAT</w:instrText>
        </w:r>
        <w:r w:rsidRPr="006867AC">
          <w:rPr>
            <w:rFonts w:asciiTheme="minorEastAsia" w:eastAsiaTheme="minorEastAsia" w:hAnsiTheme="minorEastAsia"/>
            <w:sz w:val="28"/>
            <w:szCs w:val="28"/>
          </w:rPr>
          <w:fldChar w:fldCharType="separate"/>
        </w:r>
        <w:r w:rsidRPr="006867AC">
          <w:rPr>
            <w:rFonts w:asciiTheme="minorEastAsia" w:eastAsiaTheme="minorEastAsia" w:hAnsiTheme="minorEastAsia"/>
            <w:sz w:val="28"/>
            <w:szCs w:val="28"/>
            <w:lang w:val="zh-CN"/>
          </w:rPr>
          <w:t>2</w:t>
        </w:r>
        <w:r w:rsidRPr="006867AC">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sidRPr="006867AC">
          <w:rPr>
            <w:rFonts w:asciiTheme="minorEastAsia" w:eastAsiaTheme="minorEastAsia" w:hAnsiTheme="minorEastAsia"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789689"/>
      <w:docPartObj>
        <w:docPartGallery w:val="Page Numbers (Bottom of Page)"/>
        <w:docPartUnique/>
      </w:docPartObj>
    </w:sdtPr>
    <w:sdtContent>
      <w:p w14:paraId="5A8917B1" w14:textId="38559549" w:rsidR="006867AC" w:rsidRDefault="006867AC" w:rsidP="006867AC">
        <w:pPr>
          <w:pStyle w:val="a5"/>
          <w:jc w:val="right"/>
        </w:pPr>
        <w:r w:rsidRPr="006867AC">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Pr="006867AC">
          <w:rPr>
            <w:rFonts w:asciiTheme="minorEastAsia" w:eastAsiaTheme="minorEastAsia" w:hAnsiTheme="minorEastAsia"/>
            <w:sz w:val="28"/>
            <w:szCs w:val="28"/>
          </w:rPr>
          <w:fldChar w:fldCharType="begin"/>
        </w:r>
        <w:r w:rsidRPr="006867AC">
          <w:rPr>
            <w:rFonts w:asciiTheme="minorEastAsia" w:eastAsiaTheme="minorEastAsia" w:hAnsiTheme="minorEastAsia"/>
            <w:sz w:val="28"/>
            <w:szCs w:val="28"/>
          </w:rPr>
          <w:instrText>PAGE   \* MERGEFORMAT</w:instrText>
        </w:r>
        <w:r w:rsidRPr="006867AC">
          <w:rPr>
            <w:rFonts w:asciiTheme="minorEastAsia" w:eastAsiaTheme="minorEastAsia" w:hAnsiTheme="minorEastAsia"/>
            <w:sz w:val="28"/>
            <w:szCs w:val="28"/>
          </w:rPr>
          <w:fldChar w:fldCharType="separate"/>
        </w:r>
        <w:r w:rsidRPr="006867AC">
          <w:rPr>
            <w:rFonts w:asciiTheme="minorEastAsia" w:eastAsiaTheme="minorEastAsia" w:hAnsiTheme="minorEastAsia"/>
            <w:sz w:val="28"/>
            <w:szCs w:val="28"/>
            <w:lang w:val="zh-CN"/>
          </w:rPr>
          <w:t>2</w:t>
        </w:r>
        <w:r w:rsidRPr="006867AC">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sidRPr="006867AC">
          <w:rPr>
            <w:rFonts w:asciiTheme="minorEastAsia" w:eastAsiaTheme="minorEastAsia" w:hAnsiTheme="minorEastAsia"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7121" w14:textId="77777777" w:rsidR="0095296D" w:rsidRDefault="0095296D" w:rsidP="00AA00D2">
      <w:r>
        <w:separator/>
      </w:r>
    </w:p>
  </w:footnote>
  <w:footnote w:type="continuationSeparator" w:id="0">
    <w:p w14:paraId="173F65E6" w14:textId="77777777" w:rsidR="0095296D" w:rsidRDefault="0095296D" w:rsidP="00AA0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0A"/>
    <w:rsid w:val="000B44B6"/>
    <w:rsid w:val="000D53B5"/>
    <w:rsid w:val="00155527"/>
    <w:rsid w:val="001C3B0A"/>
    <w:rsid w:val="00256F37"/>
    <w:rsid w:val="003D0A70"/>
    <w:rsid w:val="00554790"/>
    <w:rsid w:val="00657FD0"/>
    <w:rsid w:val="006867AC"/>
    <w:rsid w:val="007901CC"/>
    <w:rsid w:val="009137B4"/>
    <w:rsid w:val="0095296D"/>
    <w:rsid w:val="009B7751"/>
    <w:rsid w:val="009E6E24"/>
    <w:rsid w:val="00A63B36"/>
    <w:rsid w:val="00AA00D2"/>
    <w:rsid w:val="00C6359A"/>
    <w:rsid w:val="00DA695C"/>
    <w:rsid w:val="00DF4A46"/>
    <w:rsid w:val="00E86C3B"/>
    <w:rsid w:val="00EA2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62C91"/>
  <w15:chartTrackingRefBased/>
  <w15:docId w15:val="{5BE47721-7E4F-4AEF-BE56-29D79D93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_GB2312" w:hAnsi="Times New Roman" w:cs="Arial"/>
        <w:color w:val="0D0D0D" w:themeColor="text1" w:themeTint="F2"/>
        <w:kern w:val="2"/>
        <w:sz w:val="32"/>
        <w:szCs w:val="36"/>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0D2"/>
    <w:pPr>
      <w:tabs>
        <w:tab w:val="center" w:pos="4153"/>
        <w:tab w:val="right" w:pos="8306"/>
      </w:tabs>
      <w:snapToGrid w:val="0"/>
      <w:jc w:val="center"/>
    </w:pPr>
    <w:rPr>
      <w:sz w:val="18"/>
      <w:szCs w:val="18"/>
    </w:rPr>
  </w:style>
  <w:style w:type="character" w:customStyle="1" w:styleId="a4">
    <w:name w:val="页眉 字符"/>
    <w:basedOn w:val="a0"/>
    <w:link w:val="a3"/>
    <w:uiPriority w:val="99"/>
    <w:rsid w:val="00AA00D2"/>
    <w:rPr>
      <w:sz w:val="18"/>
      <w:szCs w:val="18"/>
    </w:rPr>
  </w:style>
  <w:style w:type="paragraph" w:styleId="a5">
    <w:name w:val="footer"/>
    <w:basedOn w:val="a"/>
    <w:link w:val="a6"/>
    <w:uiPriority w:val="99"/>
    <w:unhideWhenUsed/>
    <w:rsid w:val="00AA00D2"/>
    <w:pPr>
      <w:tabs>
        <w:tab w:val="center" w:pos="4153"/>
        <w:tab w:val="right" w:pos="8306"/>
      </w:tabs>
      <w:snapToGrid w:val="0"/>
      <w:jc w:val="left"/>
    </w:pPr>
    <w:rPr>
      <w:sz w:val="18"/>
      <w:szCs w:val="18"/>
    </w:rPr>
  </w:style>
  <w:style w:type="character" w:customStyle="1" w:styleId="a6">
    <w:name w:val="页脚 字符"/>
    <w:basedOn w:val="a0"/>
    <w:link w:val="a5"/>
    <w:uiPriority w:val="99"/>
    <w:rsid w:val="00AA00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86E35-0B46-48EE-BFE3-02368828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刘博文</dc:creator>
  <cp:keywords/>
  <dc:description/>
  <cp:lastModifiedBy>刘博文</cp:lastModifiedBy>
  <cp:revision>10</cp:revision>
  <dcterms:created xsi:type="dcterms:W3CDTF">2024-02-19T03:41:00Z</dcterms:created>
  <dcterms:modified xsi:type="dcterms:W3CDTF">2024-02-21T01:14:00Z</dcterms:modified>
</cp:coreProperties>
</file>