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86BBBE">
      <w:pPr>
        <w:pStyle w:val="10"/>
        <w:keepNext w:val="0"/>
        <w:keepLines w:val="0"/>
        <w:widowControl/>
        <w:suppressLineNumbers w:val="0"/>
        <w:spacing w:before="0" w:beforeAutospacing="0" w:after="0" w:afterAutospacing="0"/>
        <w:ind w:left="0" w:right="0"/>
        <w:jc w:val="cente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bookmarkStart w:id="0" w:name="_GoBack"/>
      <w:r>
        <w:rPr>
          <w:rFonts w:ascii="黑体" w:hAnsi="宋体" w:eastAsia="黑体" w:cs="黑体"/>
          <w:color w:val="00000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关于进一步明确耕地开垦费收缴和</w:t>
      </w:r>
    </w:p>
    <w:p w14:paraId="2C2EC227">
      <w:pPr>
        <w:pStyle w:val="10"/>
        <w:keepNext w:val="0"/>
        <w:keepLines w:val="0"/>
        <w:widowControl/>
        <w:suppressLineNumbers w:val="0"/>
        <w:spacing w:before="0" w:beforeAutospacing="0" w:after="0" w:afterAutospacing="0"/>
        <w:ind w:left="0" w:right="0"/>
        <w:jc w:val="cente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黑体" w:hAnsi="宋体" w:eastAsia="黑体" w:cs="黑体"/>
          <w:color w:val="000000"/>
          <w:sz w:val="44"/>
          <w:szCs w:val="44"/>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补充耕地资金标准的通知</w:t>
      </w:r>
    </w:p>
    <w:p w14:paraId="76679F4A">
      <w:pPr>
        <w:pStyle w:val="10"/>
        <w:keepNext w:val="0"/>
        <w:keepLines w:val="0"/>
        <w:widowControl/>
        <w:suppressLineNumbers w:val="0"/>
        <w:spacing w:before="0" w:beforeAutospacing="0" w:after="20" w:afterAutospacing="0"/>
        <w:ind w:left="0" w:right="0"/>
        <w:jc w:val="center"/>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ascii="仿宋" w:hAnsi="仿宋" w:eastAsia="仿宋" w:cs="仿宋"/>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（征求意见稿）</w:t>
      </w:r>
    </w:p>
    <w:p w14:paraId="2757CE69">
      <w:pPr>
        <w:pStyle w:val="10"/>
        <w:keepNext w:val="0"/>
        <w:keepLines w:val="0"/>
        <w:widowControl/>
        <w:suppressLineNumbers w:val="0"/>
        <w:spacing w:before="0" w:beforeAutospacing="0" w:after="0" w:afterAutospacing="0"/>
        <w:ind w:left="0" w:right="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7E42D39C">
      <w:pPr>
        <w:pStyle w:val="10"/>
        <w:keepNext w:val="0"/>
        <w:keepLines w:val="0"/>
        <w:widowControl/>
        <w:suppressLineNumbers w:val="0"/>
        <w:spacing w:before="0" w:beforeAutospacing="0" w:after="20" w:afterAutospacing="0"/>
        <w:ind w:left="0" w:right="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各镇乡人民政府、街道办事处，市政府各部门：</w:t>
      </w:r>
    </w:p>
    <w:p w14:paraId="2E98EBFB">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为严格落实耕地占补平衡政策，切实做好耕地保护工作，根据《浙江省人民政府办公厅关于调整耕地开垦费等有关政策的通知》（浙政办函〔2025〕2号）要求，结合我市实际，现就我市耕地开垦费和补充耕地资金收缴及使用管理通知如下：   </w:t>
      </w:r>
    </w:p>
    <w:p w14:paraId="6C4449B3">
      <w:pPr>
        <w:pStyle w:val="10"/>
        <w:keepNext w:val="0"/>
        <w:keepLines w:val="0"/>
        <w:widowControl/>
        <w:suppressLineNumbers w:val="0"/>
        <w:spacing w:before="0" w:beforeAutospacing="0" w:after="20" w:afterAutospacing="0"/>
        <w:ind w:left="0" w:right="0" w:firstLine="620"/>
        <w:jc w:val="lef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黑体" w:hAnsi="宋体" w:eastAsia="黑体" w:cs="黑体"/>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一、征收范围 </w:t>
      </w:r>
    </w:p>
    <w:p w14:paraId="71A8E3D3">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非农建设经批准占用耕地的单位和个人，按照“占多少，垦多少”的原则，由占用耕地的单位和个人负责开垦与占用耕地数量和质量相当的耕地；没有条件开垦或者开垦的耕地不符合要求的，按照规定标准缴纳耕地开垦费和委托补充耕地产生的相关费用（以下简称补充耕地资金）。耕地开垦费和补充耕地资金作为建设成本，列入建设项目总投资或者生产成本。 </w:t>
      </w:r>
    </w:p>
    <w:p w14:paraId="3983654C">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单独选址项目，尤其是省级以上重大基础设施项目，应当优先使用国家统筹补充耕地指标落实耕地占补平衡。对于其他各类建设项目申请使用国家统筹补充耕地指标的，予以全额保障。 </w:t>
      </w:r>
    </w:p>
    <w:p w14:paraId="2F52060C">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用地主体使用国家统筹、省统筹和跨市域、县域调剂指标的，可不缴纳相应面积的补充耕地资金。 </w:t>
      </w:r>
    </w:p>
    <w:p w14:paraId="2513C7AC">
      <w:pPr>
        <w:pStyle w:val="10"/>
        <w:keepNext w:val="0"/>
        <w:keepLines w:val="0"/>
        <w:widowControl/>
        <w:suppressLineNumbers w:val="0"/>
        <w:spacing w:before="0" w:beforeAutospacing="0" w:after="20" w:afterAutospacing="0"/>
        <w:ind w:left="0" w:right="0" w:firstLine="620"/>
        <w:jc w:val="lef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黑体" w:hAnsi="宋体" w:eastAsia="黑体" w:cs="黑体"/>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二、征收标准 </w:t>
      </w:r>
    </w:p>
    <w:p w14:paraId="4B64E55E">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耕地开垦费根据建设占用耕地质量等别划分为4档一类2—4等为72元/平方米，二类5—7等为64元/平方米，三类8—10等为56元/平方米，四类11—13等为40元/平方米。经依法批准 占用永久基本农田的，按照上述标准的2倍收缴。</w:t>
      </w:r>
    </w:p>
    <w:p w14:paraId="0EBF79A9">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补充耕地资金收缴标准为375元/平方米</w:t>
      </w:r>
      <w:r>
        <w:rPr>
          <w:rFonts w:hint="eastAsia" w:ascii="仿宋" w:hAnsi="仿宋" w:eastAsia="仿宋" w:cs="仿宋"/>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w:t>
      </w: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对于使用原先已购入的国家统筹、省统筹和跨市调剂指标的项目，补充耕地资金按原调剂补充耕地指标价格执行。</w:t>
      </w:r>
    </w:p>
    <w:p w14:paraId="6C21D572">
      <w:pPr>
        <w:pStyle w:val="10"/>
        <w:keepNext w:val="0"/>
        <w:keepLines w:val="0"/>
        <w:widowControl/>
        <w:suppressLineNumbers w:val="0"/>
        <w:spacing w:before="0" w:beforeAutospacing="0" w:after="20" w:afterAutospacing="0"/>
        <w:ind w:left="0" w:right="0" w:firstLine="620"/>
        <w:jc w:val="lef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黑体" w:hAnsi="宋体" w:eastAsia="黑体" w:cs="黑体"/>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三、征收程序 </w:t>
      </w:r>
    </w:p>
    <w:p w14:paraId="62CEC63C">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用地主体在申请办理农用地转用审批时，按照规定标准向自然资源部门足额缴纳耕地开垦费和补充耕地资金（出让项目由所在镇乡街道为责任主体，跨乡镇项目由市人民政府指定责任主体）。 </w:t>
      </w:r>
    </w:p>
    <w:p w14:paraId="6EAEDD73">
      <w:pPr>
        <w:pStyle w:val="10"/>
        <w:keepNext w:val="0"/>
        <w:keepLines w:val="0"/>
        <w:widowControl/>
        <w:suppressLineNumbers w:val="0"/>
        <w:spacing w:before="0" w:beforeAutospacing="0" w:after="20" w:afterAutospacing="0"/>
        <w:ind w:left="0" w:right="0" w:firstLine="620"/>
        <w:jc w:val="lef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黑体" w:hAnsi="宋体" w:eastAsia="黑体" w:cs="黑体"/>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四、资金使用和管理 </w:t>
      </w:r>
    </w:p>
    <w:p w14:paraId="158F2982">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耕地开垦费和补充耕地资金纳入一般公共预算管理，实行收支两条线管理。耕地开垦费和补充耕地资金统筹用于耕地保护、质量建设、“多田套合”工作。对未完成“多田套合”的镇乡街道，2027年底前收取的补充耕地资金应专项用于“多田套合”工程。 </w:t>
      </w:r>
    </w:p>
    <w:p w14:paraId="08620778">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市财政、自然资源等有关部门要加强耕地开垦费和补充耕地资金的收缴和管理，规范耕地开垦费和补充耕地资金收缴与使用。 </w:t>
      </w:r>
    </w:p>
    <w:p w14:paraId="127817FE">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市发展改革、财政、自然资源、审计、市场监管等部门对耕地开垦费和补充耕地资金的收缴、使用和管理情况进行监督检查，如有违纪违法行为的，依据有关法律、法规和规定进行严肃处理。 </w:t>
      </w:r>
    </w:p>
    <w:p w14:paraId="39FA8AD5">
      <w:pPr>
        <w:pStyle w:val="10"/>
        <w:keepNext w:val="0"/>
        <w:keepLines w:val="0"/>
        <w:widowControl/>
        <w:suppressLineNumbers w:val="0"/>
        <w:spacing w:before="0" w:beforeAutospacing="0" w:after="20" w:afterAutospacing="0"/>
        <w:ind w:left="0" w:right="0" w:firstLine="620"/>
        <w:jc w:val="lef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黑体" w:hAnsi="宋体" w:eastAsia="黑体" w:cs="黑体"/>
          <w:color w:val="000000"/>
          <w:sz w:val="30"/>
          <w:szCs w:val="30"/>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五、其他事项 </w:t>
      </w:r>
    </w:p>
    <w:p w14:paraId="4B74A4B6">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凡依法利用农村集体所有土地或国有土地（含依法征收为国有土地）用于农民建房或农民住房安置的新建、翻建自用住房，不缴纳耕地开垦费和补充耕地资金。 </w:t>
      </w:r>
    </w:p>
    <w:p w14:paraId="3BB64979">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城乡建设用地增减挂钩项目区内新建农村居民安置住房和农村公共服务、基础设施用地，未超过项目增减挂钩建设用地复耕总面积的，不缴纳耕地开垦费和补充耕地资金。 </w:t>
      </w:r>
    </w:p>
    <w:p w14:paraId="7AE87886">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非农业建设经批准占用园地的，不缴纳耕地开垦费和补充耕地资金。 </w:t>
      </w:r>
    </w:p>
    <w:p w14:paraId="297E449D">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 xml:space="preserve">其他耕地开垦费和补充耕地资金减免政策按国家有关规定执行。 </w:t>
      </w:r>
    </w:p>
    <w:p w14:paraId="6567ADFB">
      <w:pPr>
        <w:pStyle w:val="10"/>
        <w:keepNext w:val="0"/>
        <w:keepLines w:val="0"/>
        <w:widowControl/>
        <w:suppressLineNumbers w:val="0"/>
        <w:spacing w:before="0" w:beforeAutospacing="0" w:after="20" w:afterAutospacing="0"/>
        <w:ind w:left="0" w:right="0" w:firstLine="640"/>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r>
        <w:rPr>
          <w:rFonts w:hint="eastAsia" w:ascii="仿宋" w:hAnsi="仿宋" w:eastAsia="仿宋" w:cs="仿宋"/>
          <w:color w:val="FF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本通知于2025年2月20日起施行</w:t>
      </w:r>
      <w:r>
        <w:rPr>
          <w:rFonts w:hint="eastAsia" w:ascii="仿宋" w:hAnsi="仿宋" w:eastAsia="仿宋" w:cs="仿宋"/>
          <w:color w:val="000000"/>
          <w:sz w:val="32"/>
          <w:szCs w:val="32"/>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t>，此前已农转用项目按《东阳市非农建设指标交易管理办法》（东自然资规〔2023〕80号 ）执行。</w:t>
      </w:r>
    </w:p>
    <w:p w14:paraId="5F89CB0A">
      <w:pPr>
        <w:pStyle w:val="10"/>
        <w:keepNext w:val="0"/>
        <w:keepLines w:val="0"/>
        <w:widowControl/>
        <w:suppressLineNumbers w:val="0"/>
        <w:spacing w:before="0" w:beforeAutospacing="0" w:after="0" w:afterAutospacing="0"/>
        <w:ind w:left="0" w:right="0"/>
        <w:jc w:val="lef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3DFCEE6F">
      <w:pPr>
        <w:pStyle w:val="10"/>
        <w:keepNext w:val="0"/>
        <w:keepLines w:val="0"/>
        <w:widowControl/>
        <w:suppressLineNumbers w:val="0"/>
        <w:spacing w:before="0" w:beforeAutospacing="0" w:after="0" w:afterAutospacing="0"/>
        <w:ind w:left="0" w:right="0"/>
        <w:jc w:val="left"/>
        <w:rPr>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p w14:paraId="65A322BB">
      <w:pPr>
        <w:rPr>
          <w:rFonts w:hint="default"/>
          <w:lang w:val="en-US" w:eastAsia="zh-CN"/>
          <w14:textFill>
            <w14:gradFill>
              <w14:gsLst>
                <w14:gs w14:pos="50000">
                  <w14:schemeClr w14:val="tx1"/>
                </w14:gs>
                <w14:gs w14:pos="0">
                  <w14:schemeClr w14:val="tx1">
                    <w14:lumMod w14:val="25000"/>
                    <w14:lumOff w14:val="75000"/>
                  </w14:schemeClr>
                </w14:gs>
                <w14:gs w14:pos="100000">
                  <w14:schemeClr w14:val="tx1">
                    <w14:lumMod w14:val="85000"/>
                  </w14:schemeClr>
                </w14:gs>
              </w14:gsLst>
              <w14:lin w14:ang="5400000" w14:scaled="1"/>
            </w14:gradFill>
          </w14:textFill>
        </w:rPr>
      </w:pP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36CCF90-E4AB-4A3A-8EA5-CDDFE9D92B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AEA6A751-2FEA-4192-8E65-614BD4FA807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A6A8B">
    <w:pPr>
      <w:pStyle w:val="8"/>
      <w:jc w:val="center"/>
    </w:pPr>
    <w:r>
      <w:fldChar w:fldCharType="begin"/>
    </w:r>
    <w:r>
      <w:instrText xml:space="preserve">PAGE   \* MERGEFORMAT</w:instrText>
    </w:r>
    <w:r>
      <w:fldChar w:fldCharType="separate"/>
    </w:r>
    <w:r>
      <w:rPr>
        <w:lang w:val="zh-CN"/>
      </w:rPr>
      <w:t>1</w:t>
    </w:r>
    <w:r>
      <w:fldChar w:fldCharType="end"/>
    </w:r>
  </w:p>
  <w:p w14:paraId="1DC80841">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E3"/>
    <w:rsid w:val="000440AA"/>
    <w:rsid w:val="00051FB6"/>
    <w:rsid w:val="000664BC"/>
    <w:rsid w:val="00090DE3"/>
    <w:rsid w:val="000B3835"/>
    <w:rsid w:val="00130393"/>
    <w:rsid w:val="00232FE0"/>
    <w:rsid w:val="00293659"/>
    <w:rsid w:val="00317EC6"/>
    <w:rsid w:val="00373BEC"/>
    <w:rsid w:val="00405347"/>
    <w:rsid w:val="00434932"/>
    <w:rsid w:val="004A2275"/>
    <w:rsid w:val="004E29B0"/>
    <w:rsid w:val="0054159C"/>
    <w:rsid w:val="00554436"/>
    <w:rsid w:val="00561FAD"/>
    <w:rsid w:val="00566C8C"/>
    <w:rsid w:val="005A1F84"/>
    <w:rsid w:val="005B2A37"/>
    <w:rsid w:val="005B6623"/>
    <w:rsid w:val="005D379C"/>
    <w:rsid w:val="005E2F09"/>
    <w:rsid w:val="006075DF"/>
    <w:rsid w:val="00652311"/>
    <w:rsid w:val="0066729D"/>
    <w:rsid w:val="006966E0"/>
    <w:rsid w:val="006C6AFF"/>
    <w:rsid w:val="006E51C3"/>
    <w:rsid w:val="006E6315"/>
    <w:rsid w:val="006F1412"/>
    <w:rsid w:val="007E3C57"/>
    <w:rsid w:val="00813317"/>
    <w:rsid w:val="00814F96"/>
    <w:rsid w:val="00864C76"/>
    <w:rsid w:val="00885582"/>
    <w:rsid w:val="008C26CD"/>
    <w:rsid w:val="008F32A0"/>
    <w:rsid w:val="00911182"/>
    <w:rsid w:val="00962B9B"/>
    <w:rsid w:val="009E67EA"/>
    <w:rsid w:val="00A60A43"/>
    <w:rsid w:val="00BC2465"/>
    <w:rsid w:val="00C06CE2"/>
    <w:rsid w:val="00C673B0"/>
    <w:rsid w:val="00D01319"/>
    <w:rsid w:val="00D45A23"/>
    <w:rsid w:val="00DB52E4"/>
    <w:rsid w:val="00DC58D8"/>
    <w:rsid w:val="00DF2C76"/>
    <w:rsid w:val="00E10C94"/>
    <w:rsid w:val="00E72CD0"/>
    <w:rsid w:val="00E82BA9"/>
    <w:rsid w:val="00F7748C"/>
    <w:rsid w:val="00FB234C"/>
    <w:rsid w:val="0191079E"/>
    <w:rsid w:val="020A29E6"/>
    <w:rsid w:val="021E4F0A"/>
    <w:rsid w:val="02CD6FC2"/>
    <w:rsid w:val="033B46E7"/>
    <w:rsid w:val="035A456B"/>
    <w:rsid w:val="036D5529"/>
    <w:rsid w:val="037A4E60"/>
    <w:rsid w:val="03E40DD9"/>
    <w:rsid w:val="03EC504A"/>
    <w:rsid w:val="03F94E39"/>
    <w:rsid w:val="0429604A"/>
    <w:rsid w:val="04B65575"/>
    <w:rsid w:val="055A2768"/>
    <w:rsid w:val="06F47AB5"/>
    <w:rsid w:val="072F3095"/>
    <w:rsid w:val="07356F64"/>
    <w:rsid w:val="07696335"/>
    <w:rsid w:val="077B1AD3"/>
    <w:rsid w:val="08324B51"/>
    <w:rsid w:val="0842281D"/>
    <w:rsid w:val="08B554B3"/>
    <w:rsid w:val="09161874"/>
    <w:rsid w:val="09172B79"/>
    <w:rsid w:val="091A746D"/>
    <w:rsid w:val="09511A59"/>
    <w:rsid w:val="09D61CB2"/>
    <w:rsid w:val="0A1F33AB"/>
    <w:rsid w:val="0A9E5E78"/>
    <w:rsid w:val="0AE578F1"/>
    <w:rsid w:val="0B2E40E6"/>
    <w:rsid w:val="0BFA6134"/>
    <w:rsid w:val="0C563C95"/>
    <w:rsid w:val="0D01028A"/>
    <w:rsid w:val="0D8856E9"/>
    <w:rsid w:val="0DF97DF8"/>
    <w:rsid w:val="0E196FC3"/>
    <w:rsid w:val="0E6E0BBC"/>
    <w:rsid w:val="0ECB1602"/>
    <w:rsid w:val="0F363083"/>
    <w:rsid w:val="0F4E072A"/>
    <w:rsid w:val="10534754"/>
    <w:rsid w:val="10E0563D"/>
    <w:rsid w:val="117C0D3F"/>
    <w:rsid w:val="12907582"/>
    <w:rsid w:val="12B03555"/>
    <w:rsid w:val="130C2503"/>
    <w:rsid w:val="13282BFD"/>
    <w:rsid w:val="13AD533D"/>
    <w:rsid w:val="13B0325D"/>
    <w:rsid w:val="140F1E5D"/>
    <w:rsid w:val="14D1519A"/>
    <w:rsid w:val="15A90E19"/>
    <w:rsid w:val="15B7232D"/>
    <w:rsid w:val="164E0CE9"/>
    <w:rsid w:val="165212E9"/>
    <w:rsid w:val="1677496A"/>
    <w:rsid w:val="17084259"/>
    <w:rsid w:val="17090F65"/>
    <w:rsid w:val="170B51DD"/>
    <w:rsid w:val="17175921"/>
    <w:rsid w:val="17A50287"/>
    <w:rsid w:val="17E106B9"/>
    <w:rsid w:val="184C57E9"/>
    <w:rsid w:val="18617D0D"/>
    <w:rsid w:val="18A14B05"/>
    <w:rsid w:val="18C05F6B"/>
    <w:rsid w:val="18C775E4"/>
    <w:rsid w:val="190E7AE8"/>
    <w:rsid w:val="19BD21C8"/>
    <w:rsid w:val="19E63779"/>
    <w:rsid w:val="1A240C73"/>
    <w:rsid w:val="1A3C2A96"/>
    <w:rsid w:val="1A442372"/>
    <w:rsid w:val="1A9F5A04"/>
    <w:rsid w:val="1AB27AEA"/>
    <w:rsid w:val="1AF76A4D"/>
    <w:rsid w:val="1BD16400"/>
    <w:rsid w:val="1BE3794F"/>
    <w:rsid w:val="1CBB1BB0"/>
    <w:rsid w:val="1CCD534E"/>
    <w:rsid w:val="1D091930"/>
    <w:rsid w:val="1EF849DE"/>
    <w:rsid w:val="1F254ABB"/>
    <w:rsid w:val="1F695F97"/>
    <w:rsid w:val="1F6A149A"/>
    <w:rsid w:val="202253C5"/>
    <w:rsid w:val="210843BE"/>
    <w:rsid w:val="219F5BB6"/>
    <w:rsid w:val="21F90B29"/>
    <w:rsid w:val="21FD39D1"/>
    <w:rsid w:val="226A1E07"/>
    <w:rsid w:val="2336009A"/>
    <w:rsid w:val="23485E0E"/>
    <w:rsid w:val="23B1689B"/>
    <w:rsid w:val="23D55283"/>
    <w:rsid w:val="23E45C09"/>
    <w:rsid w:val="24BC2A13"/>
    <w:rsid w:val="25444AB3"/>
    <w:rsid w:val="257B04C7"/>
    <w:rsid w:val="257B346B"/>
    <w:rsid w:val="259B6E67"/>
    <w:rsid w:val="25B4565D"/>
    <w:rsid w:val="25B54A09"/>
    <w:rsid w:val="25C47BFD"/>
    <w:rsid w:val="26032F2C"/>
    <w:rsid w:val="26361ABD"/>
    <w:rsid w:val="26446854"/>
    <w:rsid w:val="26567DF3"/>
    <w:rsid w:val="265870D4"/>
    <w:rsid w:val="267C0033"/>
    <w:rsid w:val="26D14490"/>
    <w:rsid w:val="26D443FB"/>
    <w:rsid w:val="27032CFC"/>
    <w:rsid w:val="27167F0B"/>
    <w:rsid w:val="27563219"/>
    <w:rsid w:val="277D7855"/>
    <w:rsid w:val="27C71C19"/>
    <w:rsid w:val="281A0D7B"/>
    <w:rsid w:val="283F3197"/>
    <w:rsid w:val="2960326E"/>
    <w:rsid w:val="29AE65D4"/>
    <w:rsid w:val="29CD0F6D"/>
    <w:rsid w:val="29E0703F"/>
    <w:rsid w:val="29E11326"/>
    <w:rsid w:val="2A1E01A9"/>
    <w:rsid w:val="2A5D7C8E"/>
    <w:rsid w:val="2A6A03B7"/>
    <w:rsid w:val="2A9113E2"/>
    <w:rsid w:val="2AC77123"/>
    <w:rsid w:val="2ACA2FEE"/>
    <w:rsid w:val="2B293FE6"/>
    <w:rsid w:val="2BBC30CD"/>
    <w:rsid w:val="2BC17555"/>
    <w:rsid w:val="2C046D45"/>
    <w:rsid w:val="2C1A6CEA"/>
    <w:rsid w:val="2CAA0B47"/>
    <w:rsid w:val="2CD83CDF"/>
    <w:rsid w:val="2D111DA5"/>
    <w:rsid w:val="2D3A4BC3"/>
    <w:rsid w:val="2D607001"/>
    <w:rsid w:val="2EA77318"/>
    <w:rsid w:val="2EA9281C"/>
    <w:rsid w:val="30013024"/>
    <w:rsid w:val="304E094E"/>
    <w:rsid w:val="31002970"/>
    <w:rsid w:val="31790FB9"/>
    <w:rsid w:val="3256656D"/>
    <w:rsid w:val="32886F74"/>
    <w:rsid w:val="32FA5FAE"/>
    <w:rsid w:val="33A97525"/>
    <w:rsid w:val="343B7491"/>
    <w:rsid w:val="34AE217C"/>
    <w:rsid w:val="34CE3EBA"/>
    <w:rsid w:val="350B4A94"/>
    <w:rsid w:val="359A3841"/>
    <w:rsid w:val="36B030D7"/>
    <w:rsid w:val="3719466D"/>
    <w:rsid w:val="39033E77"/>
    <w:rsid w:val="39AE0030"/>
    <w:rsid w:val="39F93F4F"/>
    <w:rsid w:val="3A7264BB"/>
    <w:rsid w:val="3A733F3C"/>
    <w:rsid w:val="3B140C32"/>
    <w:rsid w:val="3B601BF5"/>
    <w:rsid w:val="3B667AC4"/>
    <w:rsid w:val="3BCD2229"/>
    <w:rsid w:val="3D593035"/>
    <w:rsid w:val="3DE24F60"/>
    <w:rsid w:val="3E0B08DA"/>
    <w:rsid w:val="3E190E7D"/>
    <w:rsid w:val="3ECA0E1A"/>
    <w:rsid w:val="3EE06334"/>
    <w:rsid w:val="3F65400E"/>
    <w:rsid w:val="3FC33E56"/>
    <w:rsid w:val="3FDD6A7E"/>
    <w:rsid w:val="3FE758E9"/>
    <w:rsid w:val="400D3523"/>
    <w:rsid w:val="40217707"/>
    <w:rsid w:val="40520794"/>
    <w:rsid w:val="407654D0"/>
    <w:rsid w:val="40A101CA"/>
    <w:rsid w:val="410C3445"/>
    <w:rsid w:val="41336B88"/>
    <w:rsid w:val="416937DF"/>
    <w:rsid w:val="420A311C"/>
    <w:rsid w:val="42706982"/>
    <w:rsid w:val="42EF48E0"/>
    <w:rsid w:val="43051815"/>
    <w:rsid w:val="433C115C"/>
    <w:rsid w:val="43710D5B"/>
    <w:rsid w:val="43B4209F"/>
    <w:rsid w:val="44017345"/>
    <w:rsid w:val="44053E0B"/>
    <w:rsid w:val="447A2DE9"/>
    <w:rsid w:val="44C738BD"/>
    <w:rsid w:val="452644FF"/>
    <w:rsid w:val="45292F05"/>
    <w:rsid w:val="452E10F1"/>
    <w:rsid w:val="455475CD"/>
    <w:rsid w:val="458C2FAA"/>
    <w:rsid w:val="45B6056B"/>
    <w:rsid w:val="45BE30F7"/>
    <w:rsid w:val="45F45E51"/>
    <w:rsid w:val="46652C8D"/>
    <w:rsid w:val="46C323FE"/>
    <w:rsid w:val="474657FE"/>
    <w:rsid w:val="47B61335"/>
    <w:rsid w:val="47EE0076"/>
    <w:rsid w:val="48632FFD"/>
    <w:rsid w:val="48773972"/>
    <w:rsid w:val="495132D5"/>
    <w:rsid w:val="4AD77C59"/>
    <w:rsid w:val="4AD8665B"/>
    <w:rsid w:val="4B0A575B"/>
    <w:rsid w:val="4B411887"/>
    <w:rsid w:val="4BC30B5B"/>
    <w:rsid w:val="4C717790"/>
    <w:rsid w:val="4CA65CEC"/>
    <w:rsid w:val="4CB12D62"/>
    <w:rsid w:val="4D506DCC"/>
    <w:rsid w:val="4D9430F4"/>
    <w:rsid w:val="4D9D5186"/>
    <w:rsid w:val="4DC74AA8"/>
    <w:rsid w:val="4E02140A"/>
    <w:rsid w:val="4E125E21"/>
    <w:rsid w:val="4E4619DF"/>
    <w:rsid w:val="4E8E31EC"/>
    <w:rsid w:val="4ECE7859"/>
    <w:rsid w:val="4F5819BC"/>
    <w:rsid w:val="4FA74FBE"/>
    <w:rsid w:val="4FC04863"/>
    <w:rsid w:val="4FE02341"/>
    <w:rsid w:val="518B48A7"/>
    <w:rsid w:val="519A53EE"/>
    <w:rsid w:val="51E80D70"/>
    <w:rsid w:val="52481AD7"/>
    <w:rsid w:val="53E03D57"/>
    <w:rsid w:val="53F91A55"/>
    <w:rsid w:val="54922ECD"/>
    <w:rsid w:val="55E96D02"/>
    <w:rsid w:val="560A562D"/>
    <w:rsid w:val="5648094A"/>
    <w:rsid w:val="56B31C4E"/>
    <w:rsid w:val="571269BB"/>
    <w:rsid w:val="58290F74"/>
    <w:rsid w:val="58325DEA"/>
    <w:rsid w:val="58B8581B"/>
    <w:rsid w:val="5B291D9C"/>
    <w:rsid w:val="5B7B1BA7"/>
    <w:rsid w:val="5C2B06C5"/>
    <w:rsid w:val="5CAF2D7A"/>
    <w:rsid w:val="5CD652DB"/>
    <w:rsid w:val="5CE110EE"/>
    <w:rsid w:val="5CF2103F"/>
    <w:rsid w:val="5D73645E"/>
    <w:rsid w:val="5E221731"/>
    <w:rsid w:val="5E710FDC"/>
    <w:rsid w:val="5EA57AD5"/>
    <w:rsid w:val="5EE54179"/>
    <w:rsid w:val="5F8C454F"/>
    <w:rsid w:val="5FE31BE7"/>
    <w:rsid w:val="60111F28"/>
    <w:rsid w:val="61341408"/>
    <w:rsid w:val="617A62F9"/>
    <w:rsid w:val="62456CC6"/>
    <w:rsid w:val="62502AD9"/>
    <w:rsid w:val="626465C3"/>
    <w:rsid w:val="63721CB7"/>
    <w:rsid w:val="638E7A75"/>
    <w:rsid w:val="63D92960"/>
    <w:rsid w:val="6525046E"/>
    <w:rsid w:val="657F6514"/>
    <w:rsid w:val="670F2122"/>
    <w:rsid w:val="67511019"/>
    <w:rsid w:val="67B1772D"/>
    <w:rsid w:val="68026233"/>
    <w:rsid w:val="6844471E"/>
    <w:rsid w:val="688F56FD"/>
    <w:rsid w:val="694C2902"/>
    <w:rsid w:val="69635503"/>
    <w:rsid w:val="699917CC"/>
    <w:rsid w:val="69EB0F44"/>
    <w:rsid w:val="6A655A1D"/>
    <w:rsid w:val="6A6D1A75"/>
    <w:rsid w:val="6B8E0982"/>
    <w:rsid w:val="6B9B5A9A"/>
    <w:rsid w:val="6BB82359"/>
    <w:rsid w:val="6BF5536B"/>
    <w:rsid w:val="6C22749F"/>
    <w:rsid w:val="6C27567D"/>
    <w:rsid w:val="6C994E65"/>
    <w:rsid w:val="6D321033"/>
    <w:rsid w:val="6DF1016C"/>
    <w:rsid w:val="6DFD7249"/>
    <w:rsid w:val="6E391BE5"/>
    <w:rsid w:val="6E4965FC"/>
    <w:rsid w:val="6E557E91"/>
    <w:rsid w:val="6EDA00EA"/>
    <w:rsid w:val="6EF91B04"/>
    <w:rsid w:val="6F2B2472"/>
    <w:rsid w:val="6F9C73CD"/>
    <w:rsid w:val="6FC14677"/>
    <w:rsid w:val="706E24E5"/>
    <w:rsid w:val="70B61D2D"/>
    <w:rsid w:val="70C13E99"/>
    <w:rsid w:val="70F33FDC"/>
    <w:rsid w:val="714F0E73"/>
    <w:rsid w:val="717F3BC0"/>
    <w:rsid w:val="718D4B50"/>
    <w:rsid w:val="71DF4FFE"/>
    <w:rsid w:val="721617BA"/>
    <w:rsid w:val="72630BD7"/>
    <w:rsid w:val="72BE7BB9"/>
    <w:rsid w:val="730C7ECF"/>
    <w:rsid w:val="736E46F1"/>
    <w:rsid w:val="73BD5811"/>
    <w:rsid w:val="743535F7"/>
    <w:rsid w:val="7438457C"/>
    <w:rsid w:val="74807A31"/>
    <w:rsid w:val="749444D3"/>
    <w:rsid w:val="750C59C5"/>
    <w:rsid w:val="757D4451"/>
    <w:rsid w:val="75FB6C1C"/>
    <w:rsid w:val="76827062"/>
    <w:rsid w:val="76DA2D0D"/>
    <w:rsid w:val="77927FE9"/>
    <w:rsid w:val="77CD28EA"/>
    <w:rsid w:val="77F45BA7"/>
    <w:rsid w:val="78C725B2"/>
    <w:rsid w:val="78E940ED"/>
    <w:rsid w:val="79251CB7"/>
    <w:rsid w:val="793F303B"/>
    <w:rsid w:val="79545EEF"/>
    <w:rsid w:val="7A024956"/>
    <w:rsid w:val="7A7051EE"/>
    <w:rsid w:val="7A995789"/>
    <w:rsid w:val="7AA443C3"/>
    <w:rsid w:val="7AD2618C"/>
    <w:rsid w:val="7B9911BB"/>
    <w:rsid w:val="7BC24881"/>
    <w:rsid w:val="7C897246"/>
    <w:rsid w:val="7D7C0828"/>
    <w:rsid w:val="7E607661"/>
    <w:rsid w:val="7E772B0A"/>
    <w:rsid w:val="7EC16401"/>
    <w:rsid w:val="7FED3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0"/>
  </w:style>
  <w:style w:type="paragraph" w:styleId="3">
    <w:name w:val="Closing"/>
    <w:basedOn w:val="1"/>
    <w:qFormat/>
    <w:uiPriority w:val="0"/>
    <w:pPr>
      <w:ind w:left="100" w:leftChars="2100"/>
    </w:pPr>
  </w:style>
  <w:style w:type="paragraph" w:styleId="4">
    <w:name w:val="Body Text"/>
    <w:basedOn w:val="1"/>
    <w:qFormat/>
    <w:uiPriority w:val="0"/>
    <w:rPr>
      <w:sz w:val="32"/>
      <w:szCs w:val="32"/>
    </w:rPr>
  </w:style>
  <w:style w:type="paragraph" w:styleId="5">
    <w:name w:val="Plain Text"/>
    <w:basedOn w:val="1"/>
    <w:link w:val="14"/>
    <w:qFormat/>
    <w:uiPriority w:val="0"/>
    <w:rPr>
      <w:rFonts w:ascii="宋体" w:hAnsi="Courier New" w:cs="Courier New"/>
      <w:szCs w:val="21"/>
    </w:rPr>
  </w:style>
  <w:style w:type="paragraph" w:styleId="6">
    <w:name w:val="Date"/>
    <w:basedOn w:val="1"/>
    <w:next w:val="1"/>
    <w:link w:val="16"/>
    <w:qFormat/>
    <w:uiPriority w:val="0"/>
    <w:pPr>
      <w:ind w:left="100" w:leftChars="2500"/>
    </w:pPr>
  </w:style>
  <w:style w:type="paragraph" w:styleId="7">
    <w:name w:val="Balloon Text"/>
    <w:basedOn w:val="1"/>
    <w:link w:val="15"/>
    <w:qFormat/>
    <w:uiPriority w:val="0"/>
    <w:rPr>
      <w:sz w:val="18"/>
      <w:szCs w:val="18"/>
    </w:rPr>
  </w:style>
  <w:style w:type="paragraph" w:styleId="8">
    <w:name w:val="footer"/>
    <w:basedOn w:val="1"/>
    <w:link w:val="17"/>
    <w:qFormat/>
    <w:uiPriority w:val="99"/>
    <w:pPr>
      <w:tabs>
        <w:tab w:val="center" w:pos="4153"/>
        <w:tab w:val="right" w:pos="8306"/>
      </w:tabs>
      <w:snapToGrid w:val="0"/>
      <w:jc w:val="left"/>
    </w:pPr>
    <w:rPr>
      <w:sz w:val="18"/>
      <w:szCs w:val="18"/>
    </w:rPr>
  </w:style>
  <w:style w:type="paragraph" w:styleId="9">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sz w:val="24"/>
      <w:lang w:val="en-US" w:eastAsia="zh-CN" w:bidi="ar"/>
    </w:rPr>
  </w:style>
  <w:style w:type="character" w:customStyle="1" w:styleId="13">
    <w:name w:val="页眉 字符"/>
    <w:link w:val="9"/>
    <w:qFormat/>
    <w:uiPriority w:val="0"/>
    <w:rPr>
      <w:kern w:val="2"/>
      <w:sz w:val="18"/>
      <w:szCs w:val="18"/>
    </w:rPr>
  </w:style>
  <w:style w:type="character" w:customStyle="1" w:styleId="14">
    <w:name w:val="纯文本 字符"/>
    <w:link w:val="5"/>
    <w:qFormat/>
    <w:uiPriority w:val="0"/>
    <w:rPr>
      <w:rFonts w:ascii="宋体" w:hAnsi="Courier New" w:cs="Courier New"/>
      <w:szCs w:val="21"/>
    </w:rPr>
  </w:style>
  <w:style w:type="character" w:customStyle="1" w:styleId="15">
    <w:name w:val="批注框文本 字符"/>
    <w:link w:val="7"/>
    <w:qFormat/>
    <w:uiPriority w:val="0"/>
    <w:rPr>
      <w:kern w:val="2"/>
      <w:sz w:val="18"/>
      <w:szCs w:val="18"/>
    </w:rPr>
  </w:style>
  <w:style w:type="character" w:customStyle="1" w:styleId="16">
    <w:name w:val="日期 字符"/>
    <w:link w:val="6"/>
    <w:qFormat/>
    <w:uiPriority w:val="0"/>
    <w:rPr>
      <w:kern w:val="2"/>
      <w:sz w:val="21"/>
      <w:szCs w:val="24"/>
    </w:rPr>
  </w:style>
  <w:style w:type="character" w:customStyle="1" w:styleId="17">
    <w:name w:val="页脚 字符"/>
    <w:link w:val="8"/>
    <w:qFormat/>
    <w:uiPriority w:val="99"/>
    <w:rPr>
      <w:kern w:val="2"/>
      <w:sz w:val="18"/>
      <w:szCs w:val="18"/>
    </w:rPr>
  </w:style>
  <w:style w:type="paragraph" w:customStyle="1" w:styleId="18">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19">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4</Pages>
  <Words>1240</Words>
  <Characters>1263</Characters>
  <Lines>1</Lines>
  <Paragraphs>1</Paragraphs>
  <TotalTime>2</TotalTime>
  <ScaleCrop>false</ScaleCrop>
  <LinksUpToDate>false</LinksUpToDate>
  <CharactersWithSpaces>1284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2020-12-15T03:25:00Z</dcterms:created>
  <dc:creator>国土局管理员</dc:creator>
  <cp:lastModifiedBy>笑品云卷云舒</cp:lastModifiedBy>
  <cp:lastPrinted>2020-06-23T08:38:00Z</cp:lastPrinted>
  <dcterms:modified xsi:type="dcterms:W3CDTF">2025-04-18T06:32:52Z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eyJoZGlkIjoiNGUzYzYzYzg4ZGY0ZTUxMWQ1MDA1YTU3YmRjY2QxZTEiLCJ1c2VySWQiOiI2MDgzNTg2MDkifQ==</vt:lpwstr>
  </property>
  <property fmtid="{D5CDD505-2E9C-101B-9397-08002B2CF9AE}" pid="4" name="ICV">
    <vt:lpwstr>01DF577646574D02AA5A444239145920_12</vt:lpwstr>
  </property>
</Properties>
</file>