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绍兴市上虞区人民政府办公室</w:t>
      </w:r>
    </w:p>
    <w:p>
      <w:pPr>
        <w:pStyle w:val="2"/>
        <w:widowControl/>
        <w:spacing w:line="560" w:lineRule="exact"/>
        <w:ind w:firstLine="420"/>
        <w:jc w:val="center"/>
        <w:rPr>
          <w:rFonts w:hint="eastAsia" w:ascii="微软雅黑" w:hAnsi="微软雅黑" w:eastAsia="方正小标宋简体"/>
          <w:b/>
          <w:color w:val="333333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仿宋_GB2312"/>
          <w:sz w:val="44"/>
          <w:szCs w:val="44"/>
        </w:rPr>
        <w:t>关于</w:t>
      </w: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行政复议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专用章使用管理的通知</w:t>
      </w: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（草案）</w:t>
      </w:r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区司法局：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为严格执行《中华人民共和国行政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法》的规定，确保在法定期限内出具各类文书材料，经区政府同意，启用“绍兴市上虞区人民政府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专用章”（以下简称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专用章）。现将有关事项通知如下：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专用章的使用范围为：《中华人民共和国行政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法》及相关司法解释规定的需绍兴市上虞区人民政府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出具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行政复议补正通知书、行政复议不予受理告知书、行政复议受理通知书、行政复议答复通知书、中止行政复议通知书、恢复审理通知书、延期审理通知书、行政复议听证通知书、行政复议商议函、行政复议意见书、行政复议建议书、责令履行行政复议决定通知书、行政复议更正通知书、行政复议终止决定书等法律文书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二、在上述使用范围内，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专用章与绍兴市上虞区人民政府国徽章具有同等法律效力。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专用章由区政府委托你局使用管理。你局要严格按照《绍兴市上虞区人民政府行政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专用章使用管理办法》规定，规范管理使用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专用章自202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 月 日起正式启用。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绍兴市上虞区人民政府办公室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/>
        <w:jc w:val="center"/>
        <w:textAlignment w:val="auto"/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22C5"/>
    <w:rsid w:val="0C3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2024-06-21T09:21:00Z</dcterms:created>
  <dc:creator>司法局</dc:creator>
  <cp:lastModifiedBy>司法局</cp:lastModifiedBy>
  <dcterms:modified xsi:type="dcterms:W3CDTF">2024-06-21T09:21:41Z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E1B14CC06D924BC09A342DEB028792BE</vt:lpwstr>
  </property>
</Properties>
</file>