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关于进一步促进东阳市木雕竹编家居产业高质量发展的若干意见</w:t>
      </w:r>
      <w:bookmarkStart w:id="23" w:name="_GoBack"/>
      <w:bookmarkEnd w:id="23"/>
    </w:p>
    <w:p>
      <w:pPr>
        <w:keepNext w:val="0"/>
        <w:keepLines w:val="0"/>
        <w:pageBreakBefore w:val="0"/>
        <w:widowControl w:val="0"/>
        <w:kinsoku/>
        <w:wordWrap/>
        <w:overflowPunct/>
        <w:topLinePunct w:val="0"/>
        <w:autoSpaceDE/>
        <w:autoSpaceDN/>
        <w:bidi w:val="0"/>
        <w:spacing w:line="560" w:lineRule="exact"/>
        <w:ind w:firstLine="2880" w:firstLineChars="9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pStyle w:val="13"/>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为进一步推动木雕竹编家居产业传承创新发展，实现东阳市第十六次党代会提出的“打造木雕家居千亿产业”目标，根据</w:t>
      </w:r>
      <w:r>
        <w:rPr>
          <w:rFonts w:ascii="仿宋_GB2312" w:hAnsi="仿宋_GB2312" w:eastAsia="仿宋_GB2312" w:cs="仿宋_GB2312"/>
          <w:b w:val="0"/>
          <w:bCs w:val="0"/>
          <w:color w:val="000000"/>
          <w:sz w:val="31"/>
          <w:szCs w:val="31"/>
        </w:rPr>
        <w:t>《关于推动浙江省历史经典产业传承创新发展的行动方案》《关于支持浙江省历史经典产业高水平传承高质量发展的若干政策举措》</w:t>
      </w:r>
      <w:r>
        <w:rPr>
          <w:rFonts w:hint="eastAsia" w:ascii="仿宋_GB2312" w:hAnsi="仿宋_GB2312" w:eastAsia="仿宋_GB2312" w:cs="仿宋_GB2312"/>
          <w:sz w:val="32"/>
          <w:szCs w:val="32"/>
          <w:lang w:val="en-US" w:eastAsia="zh-CN"/>
        </w:rPr>
        <w:t>文件精神和当前我市木雕竹编家居产业发展实际，现就促进我市木雕竹编家居产业高质量发展提出以下意见。</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sz w:val="32"/>
          <w:szCs w:val="32"/>
          <w:lang w:eastAsia="zh-CN"/>
        </w:rPr>
      </w:pPr>
      <w:r>
        <w:rPr>
          <w:rFonts w:ascii="黑体" w:hAnsi="黑体" w:eastAsia="黑体"/>
          <w:sz w:val="32"/>
          <w:szCs w:val="32"/>
        </w:rPr>
        <w:t>一、</w:t>
      </w:r>
      <w:r>
        <w:rPr>
          <w:rFonts w:hint="eastAsia" w:ascii="黑体" w:hAnsi="黑体" w:eastAsia="黑体"/>
          <w:sz w:val="32"/>
          <w:szCs w:val="32"/>
          <w:lang w:eastAsia="zh-CN"/>
        </w:rPr>
        <w:t>总体目标</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sz w:val="32"/>
          <w:szCs w:val="32"/>
          <w:lang w:val="en-US" w:eastAsia="zh-CN"/>
        </w:rPr>
      </w:pPr>
      <w:r>
        <w:rPr>
          <w:rFonts w:hint="eastAsia" w:ascii="仿宋_GB2312" w:hAnsi="仿宋_GB2312" w:eastAsia="仿宋_GB2312" w:cs="仿宋_GB2312"/>
          <w:b w:val="0"/>
          <w:bCs w:val="0"/>
          <w:color w:val="000000"/>
          <w:sz w:val="31"/>
          <w:szCs w:val="31"/>
          <w:lang w:val="en-US" w:eastAsia="zh-CN"/>
        </w:rPr>
        <w:t>坚持以习近平新时代中国特色社会主义思想为指导，</w:t>
      </w:r>
      <w:r>
        <w:rPr>
          <w:rFonts w:ascii="仿宋_GB2312" w:hAnsi="仿宋_GB2312" w:eastAsia="仿宋_GB2312" w:cs="仿宋_GB2312"/>
          <w:b w:val="0"/>
          <w:bCs w:val="0"/>
          <w:color w:val="000000"/>
          <w:sz w:val="31"/>
          <w:szCs w:val="31"/>
          <w:lang w:val="en-US" w:eastAsia="zh-CN"/>
        </w:rPr>
        <w:t>深入贯彻党的二十大精神，立足新发展阶段、贯彻新发展理念、构建新发展格局，以传承保护和创新发展为主线，以满足人民日益增长的美好生活需要为目的，坚持文化传承与产业提升并重，</w:t>
      </w:r>
      <w:r>
        <w:rPr>
          <w:rFonts w:hint="eastAsia" w:ascii="仿宋_GB2312" w:hAnsi="仿宋_GB2312" w:eastAsia="仿宋_GB2312" w:cs="仿宋_GB2312"/>
          <w:b w:val="0"/>
          <w:bCs w:val="0"/>
          <w:color w:val="000000"/>
          <w:sz w:val="31"/>
          <w:szCs w:val="31"/>
          <w:lang w:val="en-US" w:eastAsia="zh-CN"/>
        </w:rPr>
        <w:t>深入挖掘产业文化内涵和时代价值</w:t>
      </w:r>
      <w:r>
        <w:rPr>
          <w:rFonts w:ascii="仿宋_GB2312" w:hAnsi="仿宋_GB2312" w:eastAsia="仿宋_GB2312" w:cs="仿宋_GB2312"/>
          <w:b w:val="0"/>
          <w:bCs w:val="0"/>
          <w:color w:val="000000"/>
          <w:sz w:val="31"/>
          <w:szCs w:val="31"/>
          <w:lang w:val="en-US" w:eastAsia="zh-CN"/>
        </w:rPr>
        <w:t>，</w:t>
      </w:r>
      <w:r>
        <w:rPr>
          <w:rFonts w:hint="eastAsia" w:ascii="仿宋_GB2312" w:hAnsi="仿宋_GB2312" w:eastAsia="仿宋_GB2312" w:cs="仿宋_GB2312"/>
          <w:b w:val="0"/>
          <w:bCs w:val="0"/>
          <w:color w:val="000000"/>
          <w:sz w:val="31"/>
          <w:szCs w:val="31"/>
          <w:lang w:eastAsia="zh-CN"/>
        </w:rPr>
        <w:t>坚持</w:t>
      </w:r>
      <w:r>
        <w:rPr>
          <w:rFonts w:hint="default" w:ascii="仿宋_GB2312" w:hAnsi="仿宋_GB2312" w:eastAsia="仿宋_GB2312" w:cs="仿宋_GB2312"/>
          <w:b w:val="0"/>
          <w:bCs w:val="0"/>
          <w:color w:val="000000"/>
          <w:sz w:val="31"/>
          <w:szCs w:val="31"/>
          <w:lang w:eastAsia="zh-CN"/>
        </w:rPr>
        <w:t>发展提质、文化铸魂、人才强基、品牌赋能</w:t>
      </w:r>
      <w:r>
        <w:rPr>
          <w:rFonts w:hint="eastAsia" w:ascii="仿宋_GB2312" w:hAnsi="仿宋_GB2312" w:eastAsia="仿宋_GB2312" w:cs="仿宋_GB2312"/>
          <w:kern w:val="2"/>
          <w:sz w:val="32"/>
          <w:szCs w:val="32"/>
          <w:lang w:val="en-US" w:eastAsia="zh-CN" w:bidi="ar-SA"/>
        </w:rPr>
        <w:t>四大理念</w:t>
      </w:r>
      <w:r>
        <w:rPr>
          <w:rFonts w:hint="default" w:ascii="仿宋_GB2312" w:hAnsi="仿宋_GB2312" w:eastAsia="仿宋_GB2312" w:cs="仿宋_GB2312"/>
          <w:b w:val="0"/>
          <w:bCs w:val="0"/>
          <w:color w:val="000000"/>
          <w:sz w:val="31"/>
          <w:szCs w:val="31"/>
          <w:lang w:eastAsia="zh-CN"/>
        </w:rPr>
        <w:t>，持续激发</w:t>
      </w:r>
      <w:r>
        <w:rPr>
          <w:rFonts w:hint="eastAsia" w:ascii="仿宋_GB2312" w:hAnsi="仿宋_GB2312" w:eastAsia="仿宋_GB2312" w:cs="仿宋_GB2312"/>
          <w:b w:val="0"/>
          <w:bCs w:val="0"/>
          <w:color w:val="000000"/>
          <w:sz w:val="31"/>
          <w:szCs w:val="31"/>
          <w:lang w:eastAsia="zh-CN"/>
        </w:rPr>
        <w:t>木雕竹编家居</w:t>
      </w:r>
      <w:r>
        <w:rPr>
          <w:rFonts w:hint="default" w:ascii="仿宋_GB2312" w:hAnsi="仿宋_GB2312" w:eastAsia="仿宋_GB2312" w:cs="仿宋_GB2312"/>
          <w:b w:val="0"/>
          <w:bCs w:val="0"/>
          <w:color w:val="000000"/>
          <w:sz w:val="31"/>
          <w:szCs w:val="31"/>
          <w:lang w:eastAsia="zh-CN"/>
        </w:rPr>
        <w:t>产业生机和活力，让艺术之花和发展之花竞相绽放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kern w:val="2"/>
          <w:sz w:val="32"/>
          <w:szCs w:val="32"/>
          <w:lang w:val="en-US" w:eastAsia="zh-CN" w:bidi="ar-SA"/>
        </w:rPr>
        <w:t>助推木雕竹编家居产业高质量发展。</w:t>
      </w:r>
      <w:r>
        <w:rPr>
          <w:rFonts w:hint="eastAsia" w:ascii="仿宋_GB2312" w:hAnsi="仿宋_GB2312" w:eastAsia="仿宋_GB2312" w:cs="仿宋_GB2312"/>
          <w:b w:val="0"/>
          <w:bCs w:val="0"/>
          <w:color w:val="000000"/>
          <w:sz w:val="31"/>
          <w:szCs w:val="31"/>
          <w:lang w:val="en-US" w:eastAsia="zh-CN"/>
        </w:rPr>
        <w:t>力争到2025年底，木雕竹编家居全产业链总营收达1000亿元以上，到2027年底，</w:t>
      </w:r>
      <w:r>
        <w:rPr>
          <w:rFonts w:hint="eastAsia" w:ascii="仿宋_GB2312" w:hAnsi="仿宋_GB2312" w:eastAsia="仿宋_GB2312" w:cs="仿宋_GB2312"/>
          <w:b w:val="0"/>
          <w:bCs w:val="0"/>
          <w:color w:val="auto"/>
          <w:sz w:val="32"/>
          <w:szCs w:val="32"/>
          <w:lang w:val="en-US" w:eastAsia="zh-CN"/>
        </w:rPr>
        <w:t>新增中国工艺美术大师1人、浙江省工艺美术大师12人，</w:t>
      </w:r>
      <w:r>
        <w:rPr>
          <w:rFonts w:hint="eastAsia" w:ascii="仿宋_GB2312" w:hAnsi="仿宋_GB2312" w:eastAsia="仿宋_GB2312" w:cs="仿宋_GB2312"/>
          <w:b w:val="0"/>
          <w:bCs w:val="0"/>
          <w:color w:val="000000"/>
          <w:sz w:val="31"/>
          <w:szCs w:val="31"/>
          <w:lang w:val="en-US" w:eastAsia="zh-CN"/>
        </w:rPr>
        <w:t>完成“东阳竹编”地理标志证明商标注册，“东阳红木家具”集体商标使用企业达60家以上，超亿元企业达3家以上，规上企业达55家以上。</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二、主要举措</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（一）加快推动产业提质升级</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 w:hAnsi="仿宋" w:eastAsia="仿宋_GB2312"/>
          <w:b/>
          <w:bCs/>
          <w:sz w:val="32"/>
          <w:szCs w:val="32"/>
          <w:highlight w:val="yellow"/>
          <w:lang w:val="en-US" w:eastAsia="zh-CN"/>
        </w:rPr>
      </w:pPr>
      <w:r>
        <w:rPr>
          <w:rFonts w:hint="eastAsia" w:ascii="仿宋_GB2312" w:hAnsi="仿宋_GB2312" w:eastAsia="仿宋_GB2312" w:cs="仿宋_GB2312"/>
          <w:b/>
          <w:bCs/>
          <w:color w:val="auto"/>
          <w:sz w:val="32"/>
          <w:szCs w:val="32"/>
          <w:lang w:val="en-US" w:eastAsia="zh-CN"/>
        </w:rPr>
        <w:t>1.</w:t>
      </w:r>
      <w:r>
        <w:rPr>
          <w:rFonts w:ascii="仿宋" w:hAnsi="仿宋" w:eastAsia="仿宋"/>
          <w:b/>
          <w:sz w:val="32"/>
          <w:szCs w:val="32"/>
        </w:rPr>
        <w:t>打造全国木材交易集散地</w:t>
      </w:r>
      <w:r>
        <w:rPr>
          <w:rFonts w:hint="eastAsia" w:ascii="仿宋" w:hAnsi="仿宋" w:eastAsia="仿宋"/>
          <w:b/>
          <w:sz w:val="32"/>
          <w:szCs w:val="32"/>
        </w:rPr>
        <w:t>。</w:t>
      </w:r>
      <w:r>
        <w:rPr>
          <w:rFonts w:hint="eastAsia" w:ascii="仿宋_GB2312" w:hAnsi="仿宋_GB2312" w:eastAsia="仿宋_GB2312" w:cs="仿宋_GB2312"/>
          <w:color w:val="auto"/>
          <w:sz w:val="32"/>
          <w:szCs w:val="32"/>
          <w:lang w:val="en-US" w:eastAsia="zh-CN"/>
        </w:rPr>
        <w:t>大力支持木材交易平台建设，加强南马、横店等木材市场整合规范，引导错位发展、规范交易，实现开票销售，打造全国木材交易集散地。充分发挥义甬舟开放大通道枢纽节点优势，争取上级海关支持，推进进境贸易便利化，打造集进口、加工、贸易、保税、物流、金融服务于一体的大宗商品进口交易平台，力争到2027年实现交易额</w:t>
      </w:r>
      <w:r>
        <w:rPr>
          <w:rFonts w:hint="eastAsia" w:ascii="仿宋_GB2312" w:hAnsi="仿宋_GB2312" w:eastAsia="仿宋_GB2312" w:cs="仿宋_GB2312"/>
          <w:color w:val="C00000"/>
          <w:sz w:val="32"/>
          <w:szCs w:val="32"/>
          <w:lang w:val="en-US" w:eastAsia="zh-CN"/>
        </w:rPr>
        <w:t>40亿元以上</w:t>
      </w:r>
      <w:r>
        <w:rPr>
          <w:rFonts w:hint="eastAsia" w:ascii="仿宋_GB2312" w:hAnsi="仿宋_GB2312" w:eastAsia="仿宋_GB2312" w:cs="仿宋_GB2312"/>
          <w:color w:val="auto"/>
          <w:sz w:val="32"/>
          <w:szCs w:val="32"/>
          <w:lang w:val="en-US" w:eastAsia="zh-CN"/>
        </w:rPr>
        <w:t>。积极发挥国有企业优势，探索代采、集采模式，打造红木产业综合服务链。支持在南马镇设立保税仓，并以保税仓为核心，建设一站式智慧保税供应链中心，为国际供应商和东阳生产企业提供“保税+产业”全产业链一体化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 w:hAnsi="仿宋" w:eastAsia="仿宋"/>
          <w:b/>
          <w:sz w:val="32"/>
          <w:szCs w:val="32"/>
          <w:lang w:val="en-US" w:eastAsia="zh-CN"/>
        </w:rPr>
        <w:t>2</w:t>
      </w:r>
      <w:r>
        <w:rPr>
          <w:rFonts w:hint="eastAsia" w:ascii="仿宋" w:hAnsi="仿宋" w:eastAsia="仿宋"/>
          <w:b/>
          <w:sz w:val="32"/>
          <w:szCs w:val="32"/>
        </w:rPr>
        <w:t>.</w:t>
      </w:r>
      <w:r>
        <w:rPr>
          <w:rFonts w:hint="eastAsia" w:ascii="仿宋" w:hAnsi="仿宋" w:eastAsia="仿宋"/>
          <w:b/>
          <w:sz w:val="32"/>
          <w:szCs w:val="32"/>
          <w:lang w:eastAsia="zh-CN"/>
        </w:rPr>
        <w:t>引导</w:t>
      </w:r>
      <w:r>
        <w:rPr>
          <w:rFonts w:hint="eastAsia" w:ascii="仿宋_GB2312" w:hAnsi="仿宋_GB2312" w:eastAsia="仿宋_GB2312" w:cs="仿宋_GB2312"/>
          <w:b/>
          <w:bCs/>
          <w:color w:val="auto"/>
          <w:kern w:val="2"/>
          <w:sz w:val="32"/>
          <w:szCs w:val="32"/>
          <w:lang w:val="en-US" w:eastAsia="zh-CN" w:bidi="ar-SA"/>
        </w:rPr>
        <w:t>企业转型发展。</w:t>
      </w:r>
      <w:r>
        <w:rPr>
          <w:rFonts w:hint="eastAsia" w:ascii="仿宋_GB2312" w:hAnsi="仿宋_GB2312" w:eastAsia="仿宋_GB2312" w:cs="仿宋_GB2312"/>
          <w:sz w:val="32"/>
          <w:szCs w:val="32"/>
          <w:lang w:eastAsia="zh-CN"/>
        </w:rPr>
        <w:t>引导企业进一步挖掘细分行业，做优做强细分市场。</w:t>
      </w:r>
      <w:r>
        <w:rPr>
          <w:rFonts w:hint="eastAsia" w:ascii="仿宋_GB2312" w:hAnsi="仿宋_GB2312" w:eastAsia="仿宋_GB2312" w:cs="仿宋_GB2312"/>
          <w:sz w:val="32"/>
          <w:szCs w:val="32"/>
        </w:rPr>
        <w:t>引导企业在产品定位、产品受众等维度转变发展思维、优化产品形式、积极</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新模式、新场景，加快拓展全屋整装、智能家居、影视衍生品等融合新业态商业模式，推动产业实现从“家具”到“家居”转变</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大力发展整装定制产业，</w:t>
      </w:r>
      <w:r>
        <w:rPr>
          <w:rFonts w:hint="eastAsia" w:ascii="仿宋_GB2312" w:hAnsi="仿宋_GB2312" w:eastAsia="仿宋_GB2312" w:cs="仿宋_GB2312"/>
          <w:sz w:val="32"/>
          <w:szCs w:val="32"/>
          <w:lang w:val="en-US" w:eastAsia="zh-CN"/>
        </w:rPr>
        <w:t>加强与规划、城建、文保等部门对接，引导红木企业将全屋整装与文化遗产、宗教场所传承改造更新、历史文化街区、风景名胜区、乡村振兴等相结合，拓展东阳红木整装发展的新业态。深入挖掘木雕、竹编</w:t>
      </w:r>
      <w:r>
        <w:rPr>
          <w:rFonts w:hint="default" w:ascii="仿宋_GB2312" w:hAnsi="仿宋_GB2312" w:eastAsia="仿宋_GB2312" w:cs="仿宋_GB2312"/>
          <w:sz w:val="32"/>
          <w:szCs w:val="32"/>
          <w:lang w:val="en-US" w:eastAsia="zh-CN"/>
        </w:rPr>
        <w:t>文化底蕴</w:t>
      </w:r>
      <w:r>
        <w:rPr>
          <w:rFonts w:hint="eastAsia" w:ascii="仿宋_GB2312" w:hAnsi="仿宋_GB2312" w:eastAsia="仿宋_GB2312" w:cs="仿宋_GB2312"/>
          <w:sz w:val="32"/>
          <w:szCs w:val="32"/>
          <w:lang w:val="en-US" w:eastAsia="zh-CN"/>
        </w:rPr>
        <w:t>，发展</w:t>
      </w:r>
      <w:r>
        <w:rPr>
          <w:rFonts w:hint="default" w:ascii="仿宋_GB2312" w:hAnsi="仿宋_GB2312" w:eastAsia="仿宋_GB2312" w:cs="仿宋_GB2312"/>
          <w:sz w:val="32"/>
          <w:szCs w:val="32"/>
          <w:lang w:val="en-US" w:eastAsia="zh-CN"/>
        </w:rPr>
        <w:t>以木头木艺木技为基础的市场化网络化文创产品及业态。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6"/>
          <w:szCs w:val="36"/>
          <w:lang w:val="en-US" w:eastAsia="zh-CN"/>
        </w:rPr>
      </w:pPr>
      <w:bookmarkStart w:id="0" w:name="OLE_LINK7"/>
      <w:r>
        <w:rPr>
          <w:rFonts w:hint="eastAsia" w:ascii="仿宋_GB2312" w:hAnsi="仿宋_GB2312" w:eastAsia="仿宋_GB2312" w:cs="仿宋_GB2312"/>
          <w:b/>
          <w:bCs/>
          <w:sz w:val="32"/>
          <w:szCs w:val="32"/>
          <w:lang w:val="en-US" w:eastAsia="zh-CN"/>
        </w:rPr>
        <w:t>3</w:t>
      </w:r>
      <w:r>
        <w:rPr>
          <w:rFonts w:hint="eastAsia" w:ascii="仿宋" w:hAnsi="仿宋" w:eastAsia="仿宋"/>
          <w:b/>
          <w:sz w:val="32"/>
          <w:szCs w:val="32"/>
          <w:lang w:val="en-US" w:eastAsia="zh-CN"/>
        </w:rPr>
        <w:t>.推动产业集群发展</w:t>
      </w:r>
      <w:bookmarkEnd w:id="0"/>
      <w:r>
        <w:rPr>
          <w:rFonts w:hint="eastAsia" w:ascii="仿宋" w:hAnsi="仿宋" w:eastAsia="仿宋"/>
          <w:b/>
          <w:sz w:val="32"/>
          <w:szCs w:val="32"/>
          <w:lang w:val="en-US" w:eastAsia="zh-CN"/>
        </w:rPr>
        <w:t>。</w:t>
      </w:r>
      <w:r>
        <w:rPr>
          <w:rFonts w:hint="eastAsia" w:ascii="仿宋_GB2312" w:hAnsi="仿宋_GB2312" w:eastAsia="仿宋_GB2312" w:cs="仿宋_GB2312"/>
          <w:b w:val="0"/>
          <w:bCs w:val="0"/>
          <w:sz w:val="32"/>
          <w:szCs w:val="32"/>
          <w:highlight w:val="none"/>
          <w:lang w:val="en-US" w:eastAsia="zh-CN" w:bidi="ar"/>
        </w:rPr>
        <w:t>围绕“</w:t>
      </w:r>
      <w:r>
        <w:rPr>
          <w:rFonts w:hint="eastAsia" w:ascii="仿宋_GB2312" w:hAnsi="仿宋_GB2312" w:eastAsia="仿宋_GB2312" w:cs="仿宋_GB2312"/>
          <w:b w:val="0"/>
          <w:bCs w:val="0"/>
          <w:sz w:val="32"/>
          <w:szCs w:val="32"/>
          <w:lang w:val="en-US" w:eastAsia="zh-CN" w:bidi="ar"/>
        </w:rPr>
        <w:t>专业化、园区化、集群化</w:t>
      </w:r>
      <w:r>
        <w:rPr>
          <w:rFonts w:hint="eastAsia" w:ascii="仿宋_GB2312" w:hAnsi="仿宋_GB2312" w:eastAsia="仿宋_GB2312" w:cs="仿宋_GB2312"/>
          <w:b w:val="0"/>
          <w:bCs w:val="0"/>
          <w:sz w:val="32"/>
          <w:szCs w:val="32"/>
          <w:highlight w:val="none"/>
          <w:lang w:val="en-US" w:eastAsia="zh-CN" w:bidi="ar"/>
        </w:rPr>
        <w:t>”发展理念，着力构建“</w:t>
      </w:r>
      <w:r>
        <w:rPr>
          <w:rFonts w:hint="eastAsia" w:ascii="仿宋_GB2312" w:hAnsi="仿宋_GB2312" w:eastAsia="仿宋_GB2312" w:cs="仿宋_GB2312"/>
          <w:b w:val="0"/>
          <w:bCs w:val="0"/>
          <w:sz w:val="32"/>
          <w:szCs w:val="32"/>
          <w:lang w:val="en-US" w:eastAsia="zh-CN" w:bidi="ar"/>
        </w:rPr>
        <w:t>特色小镇+产业基地+专业市场</w:t>
      </w:r>
      <w:r>
        <w:rPr>
          <w:rFonts w:hint="eastAsia" w:ascii="仿宋_GB2312" w:hAnsi="仿宋_GB2312" w:eastAsia="仿宋_GB2312" w:cs="仿宋_GB2312"/>
          <w:b w:val="0"/>
          <w:bCs w:val="0"/>
          <w:sz w:val="32"/>
          <w:szCs w:val="32"/>
          <w:highlight w:val="none"/>
          <w:lang w:val="en-US" w:eastAsia="zh-CN" w:bidi="ar"/>
        </w:rPr>
        <w:t>”的空间布局，</w:t>
      </w:r>
      <w:bookmarkStart w:id="1" w:name="OLE_LINK6"/>
      <w:r>
        <w:rPr>
          <w:rFonts w:hint="eastAsia" w:ascii="仿宋_GB2312" w:hAnsi="仿宋_GB2312" w:eastAsia="仿宋_GB2312" w:cs="仿宋_GB2312"/>
          <w:b w:val="0"/>
          <w:bCs w:val="0"/>
          <w:sz w:val="32"/>
          <w:szCs w:val="32"/>
          <w:lang w:val="en-US" w:eastAsia="zh-CN" w:bidi="ar"/>
        </w:rPr>
        <w:t>推动产业集群发</w:t>
      </w:r>
      <w:r>
        <w:rPr>
          <w:rFonts w:hint="eastAsia" w:ascii="仿宋_GB2312" w:hAnsi="仿宋_GB2312" w:eastAsia="仿宋_GB2312" w:cs="仿宋_GB2312"/>
          <w:b w:val="0"/>
          <w:bCs w:val="0"/>
          <w:color w:val="auto"/>
          <w:sz w:val="32"/>
          <w:szCs w:val="32"/>
          <w:lang w:val="en-US" w:eastAsia="zh-CN" w:bidi="ar"/>
        </w:rPr>
        <w:t>展</w:t>
      </w:r>
      <w:bookmarkEnd w:id="1"/>
      <w:r>
        <w:rPr>
          <w:rFonts w:hint="eastAsia" w:ascii="仿宋_GB2312" w:hAnsi="仿宋_GB2312" w:eastAsia="仿宋_GB2312" w:cs="仿宋_GB2312"/>
          <w:b w:val="0"/>
          <w:bCs w:val="0"/>
          <w:color w:val="auto"/>
          <w:sz w:val="32"/>
          <w:szCs w:val="32"/>
          <w:lang w:val="en-US" w:eastAsia="zh-CN" w:bidi="ar"/>
        </w:rPr>
        <w:t>。</w:t>
      </w:r>
      <w:r>
        <w:rPr>
          <w:rFonts w:hint="eastAsia" w:ascii="仿宋_GB2312" w:hAnsi="仿宋_GB2312" w:eastAsia="仿宋_GB2312" w:cs="仿宋_GB2312"/>
          <w:b w:val="0"/>
          <w:bCs w:val="0"/>
          <w:sz w:val="32"/>
          <w:szCs w:val="32"/>
          <w:lang w:val="en-US" w:eastAsia="zh-CN"/>
        </w:rPr>
        <w:t>培育提升</w:t>
      </w:r>
      <w:r>
        <w:rPr>
          <w:rFonts w:hint="eastAsia" w:ascii="仿宋_GB2312" w:hAnsi="仿宋_GB2312" w:eastAsia="仿宋_GB2312" w:cs="仿宋_GB2312"/>
          <w:b w:val="0"/>
          <w:bCs w:val="0"/>
          <w:color w:val="auto"/>
          <w:sz w:val="32"/>
          <w:szCs w:val="32"/>
          <w:lang w:val="en-US" w:eastAsia="zh-CN" w:bidi="ar"/>
        </w:rPr>
        <w:t>木雕小镇，</w:t>
      </w:r>
      <w:r>
        <w:rPr>
          <w:rFonts w:hint="eastAsia" w:ascii="仿宋_GB2312" w:hAnsi="仿宋_GB2312" w:eastAsia="仿宋_GB2312" w:cs="仿宋_GB2312"/>
          <w:b w:val="0"/>
          <w:bCs w:val="0"/>
          <w:sz w:val="32"/>
          <w:szCs w:val="32"/>
          <w:lang w:val="en-US" w:eastAsia="zh-CN"/>
        </w:rPr>
        <w:t>对照国家4A级旅游景区加强木雕小镇培育，推动木雕小镇文商旅业态融合发展，努力将</w:t>
      </w:r>
      <w:r>
        <w:rPr>
          <w:rFonts w:hint="default" w:ascii="仿宋_GB2312" w:hAnsi="仿宋_GB2312" w:eastAsia="仿宋_GB2312" w:cs="仿宋_GB2312"/>
          <w:b w:val="0"/>
          <w:bCs w:val="0"/>
          <w:sz w:val="32"/>
          <w:szCs w:val="32"/>
          <w:lang w:val="en-US" w:eastAsia="zh-CN"/>
        </w:rPr>
        <w:t>木雕小镇打造</w:t>
      </w:r>
      <w:r>
        <w:rPr>
          <w:rFonts w:hint="eastAsia" w:ascii="仿宋_GB2312" w:hAnsi="仿宋_GB2312" w:eastAsia="仿宋_GB2312" w:cs="仿宋_GB2312"/>
          <w:b w:val="0"/>
          <w:bCs w:val="0"/>
          <w:sz w:val="32"/>
          <w:szCs w:val="32"/>
          <w:lang w:val="en-US" w:eastAsia="zh-CN"/>
        </w:rPr>
        <w:t>成浙江省</w:t>
      </w:r>
      <w:r>
        <w:rPr>
          <w:rFonts w:hint="default" w:ascii="仿宋_GB2312" w:hAnsi="仿宋_GB2312" w:eastAsia="仿宋_GB2312" w:cs="仿宋_GB2312"/>
          <w:b w:val="0"/>
          <w:bCs w:val="0"/>
          <w:sz w:val="32"/>
          <w:szCs w:val="32"/>
          <w:lang w:val="en-US" w:eastAsia="zh-CN"/>
        </w:rPr>
        <w:t>历史经典</w:t>
      </w:r>
      <w:r>
        <w:rPr>
          <w:rFonts w:hint="eastAsia" w:ascii="仿宋_GB2312" w:hAnsi="仿宋_GB2312" w:eastAsia="仿宋_GB2312" w:cs="仿宋_GB2312"/>
          <w:b w:val="0"/>
          <w:bCs w:val="0"/>
          <w:sz w:val="32"/>
          <w:szCs w:val="32"/>
          <w:lang w:val="en-US" w:eastAsia="zh-CN"/>
        </w:rPr>
        <w:t>产业</w:t>
      </w:r>
      <w:r>
        <w:rPr>
          <w:rFonts w:hint="default" w:ascii="仿宋_GB2312" w:hAnsi="仿宋_GB2312" w:eastAsia="仿宋_GB2312" w:cs="仿宋_GB2312"/>
          <w:b w:val="0"/>
          <w:bCs w:val="0"/>
          <w:sz w:val="32"/>
          <w:szCs w:val="32"/>
          <w:lang w:val="en-US" w:eastAsia="zh-CN"/>
        </w:rPr>
        <w:t>特色小镇标杆</w:t>
      </w:r>
      <w:r>
        <w:rPr>
          <w:rFonts w:hint="eastAsia" w:ascii="仿宋_GB2312" w:hAnsi="仿宋_GB2312" w:eastAsia="仿宋_GB2312" w:cs="仿宋_GB2312"/>
          <w:b w:val="0"/>
          <w:bCs w:val="0"/>
          <w:sz w:val="32"/>
          <w:szCs w:val="32"/>
          <w:lang w:val="en-US" w:eastAsia="zh-CN" w:bidi="ar"/>
        </w:rPr>
        <w:t>。引导南市街道、横店镇、南马镇、画水镇、经济开发区等产业基地实现“专、精、特、新”差异化发展。引导小微企业向标准化产业园集群发展。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黑体"/>
          <w:b w:val="0"/>
          <w:bCs w:val="0"/>
          <w:color w:val="auto"/>
          <w:sz w:val="32"/>
          <w:szCs w:val="32"/>
          <w:lang w:val="en-US" w:eastAsia="zh-CN"/>
        </w:rPr>
        <w:t>（二）</w:t>
      </w:r>
      <w:r>
        <w:rPr>
          <w:rFonts w:hint="eastAsia" w:ascii="黑体" w:hAnsi="黑体" w:eastAsia="黑体" w:cstheme="minorBidi"/>
          <w:kern w:val="2"/>
          <w:sz w:val="32"/>
          <w:szCs w:val="32"/>
          <w:lang w:val="en-US" w:eastAsia="zh-CN" w:bidi="ar-SA"/>
        </w:rPr>
        <w:t>鼓励企业高质量发展</w:t>
      </w:r>
      <w:r>
        <w:rPr>
          <w:rStyle w:val="14"/>
          <w:rFonts w:hint="eastAsia" w:ascii="仿宋_GB2312" w:hAnsi="仿宋" w:eastAsia="仿宋_GB2312" w:cs="Times New Roman"/>
          <w:b/>
          <w:bCs/>
          <w:i w:val="0"/>
          <w:caps w:val="0"/>
          <w:color w:val="auto"/>
          <w:spacing w:val="0"/>
          <w:w w:val="100"/>
          <w:kern w:val="2"/>
          <w:sz w:val="32"/>
          <w:szCs w:val="32"/>
          <w:lang w:val="en-US" w:eastAsia="zh-CN" w:bidi="ar-SA"/>
        </w:rPr>
        <w:t>（原东阳市木雕竹编红木产业专项扶持资金管理办法修改而来）</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4"/>
          <w:rFonts w:hint="eastAsia" w:ascii="仿宋_GB2312" w:hAnsi="仿宋" w:eastAsia="仿宋_GB2312" w:cs="Times New Roman"/>
          <w:b w:val="0"/>
          <w:i w:val="0"/>
          <w:caps w:val="0"/>
          <w:color w:val="auto"/>
          <w:spacing w:val="0"/>
          <w:w w:val="100"/>
          <w:kern w:val="2"/>
          <w:sz w:val="32"/>
          <w:szCs w:val="32"/>
          <w:lang w:val="en-US" w:eastAsia="zh-CN" w:bidi="ar-SA"/>
        </w:rPr>
      </w:pPr>
      <w:r>
        <w:rPr>
          <w:rFonts w:hint="eastAsia" w:ascii="仿宋" w:hAnsi="仿宋" w:eastAsia="仿宋"/>
          <w:b/>
          <w:sz w:val="32"/>
          <w:szCs w:val="32"/>
          <w:lang w:val="en-US" w:eastAsia="zh-CN"/>
        </w:rPr>
        <w:t>4.</w:t>
      </w:r>
      <w:bookmarkStart w:id="2" w:name="OLE_LINK1"/>
      <w:r>
        <w:rPr>
          <w:rFonts w:hint="eastAsia" w:ascii="仿宋" w:hAnsi="仿宋" w:eastAsia="仿宋"/>
          <w:b/>
          <w:sz w:val="32"/>
          <w:szCs w:val="32"/>
          <w:lang w:val="en-US" w:eastAsia="zh-CN"/>
        </w:rPr>
        <w:t>鼓励中小企业“小升规”。</w:t>
      </w:r>
      <w:bookmarkEnd w:id="2"/>
      <w:r>
        <w:rPr>
          <w:rStyle w:val="14"/>
          <w:rFonts w:hint="eastAsia" w:ascii="仿宋_GB2312" w:hAnsi="仿宋" w:eastAsia="仿宋_GB2312" w:cs="Times New Roman"/>
          <w:b w:val="0"/>
          <w:i w:val="0"/>
          <w:caps w:val="0"/>
          <w:color w:val="auto"/>
          <w:spacing w:val="0"/>
          <w:w w:val="100"/>
          <w:kern w:val="2"/>
          <w:sz w:val="32"/>
          <w:szCs w:val="32"/>
          <w:lang w:val="en-US" w:eastAsia="zh-CN" w:bidi="ar-SA"/>
        </w:rPr>
        <w:t>对首次月度、年度新升规的</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木雕竹编家居</w:t>
      </w:r>
      <w:r>
        <w:rPr>
          <w:rStyle w:val="14"/>
          <w:rFonts w:hint="eastAsia" w:ascii="仿宋_GB2312" w:hAnsi="仿宋" w:eastAsia="仿宋_GB2312" w:cs="Times New Roman"/>
          <w:b w:val="0"/>
          <w:i w:val="0"/>
          <w:caps w:val="0"/>
          <w:color w:val="auto"/>
          <w:spacing w:val="0"/>
          <w:w w:val="100"/>
          <w:kern w:val="2"/>
          <w:sz w:val="32"/>
          <w:szCs w:val="32"/>
          <w:lang w:val="en-US" w:eastAsia="zh-CN" w:bidi="ar-SA"/>
        </w:rPr>
        <w:t>企业分别奖励20万元、</w:t>
      </w:r>
      <w:r>
        <w:rPr>
          <w:rStyle w:val="14"/>
          <w:rFonts w:hint="eastAsia" w:ascii="仿宋_GB2312" w:hAnsi="仿宋" w:eastAsia="仿宋_GB2312" w:cs="Times New Roman"/>
          <w:b w:val="0"/>
          <w:bCs w:val="0"/>
          <w:i w:val="0"/>
          <w:caps w:val="0"/>
          <w:color w:val="auto"/>
          <w:spacing w:val="0"/>
          <w:w w:val="100"/>
          <w:kern w:val="2"/>
          <w:sz w:val="32"/>
          <w:szCs w:val="32"/>
          <w:lang w:val="en-US" w:eastAsia="zh-CN" w:bidi="ar-SA"/>
        </w:rPr>
        <w:t>15万</w:t>
      </w:r>
      <w:r>
        <w:rPr>
          <w:rStyle w:val="14"/>
          <w:rFonts w:hint="eastAsia" w:ascii="仿宋_GB2312" w:hAnsi="仿宋" w:eastAsia="仿宋_GB2312" w:cs="Times New Roman"/>
          <w:b w:val="0"/>
          <w:i w:val="0"/>
          <w:caps w:val="0"/>
          <w:color w:val="auto"/>
          <w:spacing w:val="0"/>
          <w:w w:val="100"/>
          <w:kern w:val="2"/>
          <w:sz w:val="32"/>
          <w:szCs w:val="32"/>
          <w:lang w:val="en-US" w:eastAsia="zh-CN" w:bidi="ar-SA"/>
        </w:rPr>
        <w:t>元，对第二年仍在统计规上库且规模达到规上标准的，再奖励5万元。对首次新升规企业，次年的“亩均效益”评价结果，上提一档享受奖励政策（最高不超过B类）。</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color w:val="auto"/>
          <w:kern w:val="2"/>
          <w:sz w:val="32"/>
          <w:szCs w:val="32"/>
          <w:lang w:val="en-US" w:eastAsia="zh-CN" w:bidi="ar-SA"/>
        </w:rPr>
      </w:pPr>
      <w:r>
        <w:rPr>
          <w:rFonts w:hint="eastAsia" w:ascii="仿宋" w:hAnsi="仿宋" w:eastAsia="仿宋"/>
          <w:b/>
          <w:sz w:val="32"/>
          <w:szCs w:val="32"/>
          <w:lang w:val="en-US" w:eastAsia="zh-CN"/>
        </w:rPr>
        <w:t>5.</w:t>
      </w:r>
      <w:bookmarkStart w:id="3" w:name="OLE_LINK2"/>
      <w:r>
        <w:rPr>
          <w:rFonts w:hint="eastAsia" w:ascii="仿宋" w:hAnsi="仿宋" w:eastAsia="仿宋"/>
          <w:b/>
          <w:sz w:val="32"/>
          <w:szCs w:val="32"/>
          <w:lang w:val="en-US" w:eastAsia="zh-CN"/>
        </w:rPr>
        <w:t>鼓励领军企业拔尖提档。</w:t>
      </w:r>
      <w:bookmarkEnd w:id="3"/>
      <w:r>
        <w:rPr>
          <w:rStyle w:val="14"/>
          <w:rFonts w:hint="eastAsia" w:ascii="仿宋_GB2312" w:hAnsi="仿宋" w:eastAsia="仿宋_GB2312" w:cs="Times New Roman"/>
          <w:b w:val="0"/>
          <w:i w:val="0"/>
          <w:caps w:val="0"/>
          <w:color w:val="auto"/>
          <w:spacing w:val="0"/>
          <w:w w:val="100"/>
          <w:kern w:val="2"/>
          <w:sz w:val="32"/>
          <w:szCs w:val="32"/>
          <w:lang w:val="en-US" w:eastAsia="zh-CN" w:bidi="ar-SA"/>
        </w:rPr>
        <w:t>对纳入统计年度应税销售收入首次</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超过1亿元的木雕竹编家居企业，给予一次性奖励50万元；首次超过2亿元的企业，给予一次性奖励80万元；首次超过3亿元企业，给予一次性奖励100万元。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 w:eastAsia="仿宋_GB2312" w:cs="Times New Roman"/>
          <w:b w:val="0"/>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6.新增营收奖励。</w:t>
      </w:r>
      <w:r>
        <w:rPr>
          <w:rStyle w:val="14"/>
          <w:rFonts w:hint="eastAsia" w:ascii="仿宋_GB2312" w:hAnsi="仿宋" w:eastAsia="仿宋_GB2312" w:cs="Times New Roman"/>
          <w:b w:val="0"/>
          <w:i w:val="0"/>
          <w:caps w:val="0"/>
          <w:color w:val="auto"/>
          <w:spacing w:val="0"/>
          <w:w w:val="100"/>
          <w:kern w:val="2"/>
          <w:sz w:val="32"/>
          <w:szCs w:val="32"/>
          <w:lang w:val="en-US" w:eastAsia="zh-CN" w:bidi="ar-SA"/>
        </w:rPr>
        <w:t>规上企业以上一年营收收入为基数（不足2000万元的，按2000万元计算），增长幅度在6%（含）以内，给予新增营收收入0.2%奖励；增长幅度在6%—12%（含）的，给予新增营收收入的0.5%奖励；增长幅度在12%—20%（含）的，给予新增营收收入的0.8%奖励；增长幅度在20%以上的，给予新增营收收入的1.3%奖励。</w:t>
      </w:r>
      <w:bookmarkStart w:id="4" w:name="OLE_LINK20"/>
      <w:r>
        <w:rPr>
          <w:rStyle w:val="14"/>
          <w:rFonts w:hint="eastAsia" w:ascii="仿宋_GB2312" w:hAnsi="仿宋" w:eastAsia="仿宋_GB2312" w:cs="Times New Roman"/>
          <w:b w:val="0"/>
          <w:i w:val="0"/>
          <w:caps w:val="0"/>
          <w:color w:val="auto"/>
          <w:spacing w:val="0"/>
          <w:w w:val="100"/>
          <w:kern w:val="2"/>
          <w:sz w:val="32"/>
          <w:szCs w:val="32"/>
          <w:lang w:val="en-US" w:eastAsia="zh-CN" w:bidi="ar-SA"/>
        </w:rPr>
        <w:t>单家企业最高奖励不超过200万元。</w:t>
      </w:r>
    </w:p>
    <w:bookmarkEnd w:id="4"/>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4"/>
          <w:rFonts w:hint="eastAsia" w:ascii="仿宋_GB2312" w:hAnsi="仿宋" w:eastAsia="仿宋_GB2312" w:cs="Times New Roman"/>
          <w:b w:val="0"/>
          <w:i w:val="0"/>
          <w:caps w:val="0"/>
          <w:color w:val="auto"/>
          <w:spacing w:val="0"/>
          <w:w w:val="100"/>
          <w:kern w:val="2"/>
          <w:sz w:val="32"/>
          <w:szCs w:val="32"/>
          <w:lang w:val="en-US" w:eastAsia="zh-CN" w:bidi="ar-SA"/>
        </w:rPr>
      </w:pPr>
      <w:bookmarkStart w:id="5" w:name="OLE_LINK9"/>
      <w:r>
        <w:rPr>
          <w:rFonts w:hint="eastAsia" w:ascii="仿宋_GB2312" w:hAnsi="仿宋_GB2312" w:eastAsia="仿宋_GB2312" w:cs="仿宋_GB2312"/>
          <w:b/>
          <w:bCs/>
          <w:color w:val="auto"/>
          <w:kern w:val="2"/>
          <w:sz w:val="32"/>
          <w:szCs w:val="32"/>
          <w:lang w:val="en-US" w:eastAsia="zh-CN" w:bidi="ar-SA"/>
        </w:rPr>
        <w:t>7.</w:t>
      </w:r>
      <w:bookmarkStart w:id="6" w:name="OLE_LINK12"/>
      <w:bookmarkStart w:id="7" w:name="OLE_LINK4"/>
      <w:r>
        <w:rPr>
          <w:rFonts w:hint="eastAsia" w:ascii="仿宋_GB2312" w:hAnsi="仿宋_GB2312" w:eastAsia="仿宋_GB2312" w:cs="仿宋_GB2312"/>
          <w:b/>
          <w:bCs/>
          <w:color w:val="auto"/>
          <w:kern w:val="2"/>
          <w:sz w:val="32"/>
          <w:szCs w:val="32"/>
          <w:lang w:val="en-US" w:eastAsia="zh-CN" w:bidi="ar-SA"/>
        </w:rPr>
        <w:t>培育专精特新企业。</w:t>
      </w:r>
      <w:r>
        <w:rPr>
          <w:rStyle w:val="14"/>
          <w:rFonts w:hint="eastAsia" w:ascii="仿宋_GB2312" w:hAnsi="仿宋" w:eastAsia="仿宋_GB2312" w:cs="Times New Roman"/>
          <w:b w:val="0"/>
          <w:i w:val="0"/>
          <w:caps w:val="0"/>
          <w:color w:val="auto"/>
          <w:spacing w:val="0"/>
          <w:w w:val="100"/>
          <w:kern w:val="2"/>
          <w:sz w:val="32"/>
          <w:szCs w:val="32"/>
          <w:lang w:val="en-US" w:eastAsia="zh-CN" w:bidi="ar-SA"/>
        </w:rPr>
        <w:t>对新认定的国家高新技术企业，每家奖励20万元；重新认定的国家高新技术企业，每家奖励10万元。对首次评定为国家级专精特新“小巨人”企业、省级专精特新中小企业的，分别奖励20万元、10万元。</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Fonts w:hint="default"/>
          <w:lang w:val="en-US" w:eastAsia="zh-CN"/>
        </w:rPr>
      </w:pPr>
      <w:bookmarkStart w:id="8" w:name="OLE_LINK3"/>
      <w:bookmarkStart w:id="9" w:name="OLE_LINK10"/>
      <w:r>
        <w:rPr>
          <w:rFonts w:hint="eastAsia" w:ascii="仿宋_GB2312" w:hAnsi="仿宋_GB2312" w:eastAsia="仿宋_GB2312" w:cs="仿宋_GB2312"/>
          <w:b/>
          <w:bCs/>
          <w:color w:val="auto"/>
          <w:kern w:val="2"/>
          <w:sz w:val="32"/>
          <w:szCs w:val="32"/>
          <w:lang w:val="en-US" w:eastAsia="zh-CN" w:bidi="ar-SA"/>
        </w:rPr>
        <w:t>8.</w:t>
      </w:r>
      <w:bookmarkEnd w:id="8"/>
      <w:bookmarkEnd w:id="9"/>
      <w:r>
        <w:rPr>
          <w:rFonts w:hint="eastAsia" w:ascii="仿宋_GB2312" w:hAnsi="仿宋_GB2312" w:eastAsia="仿宋_GB2312" w:cs="仿宋_GB2312"/>
          <w:b/>
          <w:bCs/>
          <w:color w:val="C00000"/>
          <w:kern w:val="2"/>
          <w:sz w:val="32"/>
          <w:szCs w:val="32"/>
          <w:lang w:val="en-US" w:eastAsia="zh-CN" w:bidi="ar-SA"/>
        </w:rPr>
        <w:t>鼓励企业自主创新设计</w:t>
      </w:r>
      <w:bookmarkEnd w:id="6"/>
      <w:r>
        <w:rPr>
          <w:rFonts w:hint="eastAsia" w:ascii="仿宋_GB2312" w:hAnsi="仿宋_GB2312" w:eastAsia="仿宋_GB2312" w:cs="仿宋_GB2312"/>
          <w:b/>
          <w:bCs/>
          <w:color w:val="C00000"/>
          <w:kern w:val="2"/>
          <w:sz w:val="32"/>
          <w:szCs w:val="32"/>
          <w:lang w:val="en-US" w:eastAsia="zh-CN" w:bidi="ar-SA"/>
        </w:rPr>
        <w:t>。</w:t>
      </w:r>
      <w:bookmarkEnd w:id="7"/>
      <w:r>
        <w:rPr>
          <w:rFonts w:hint="eastAsia" w:ascii="仿宋_GB2312" w:hAnsi="仿宋_GB2312" w:eastAsia="仿宋_GB2312" w:cs="仿宋_GB2312"/>
          <w:kern w:val="2"/>
          <w:sz w:val="32"/>
          <w:szCs w:val="32"/>
          <w:lang w:val="en-US" w:eastAsia="zh-CN" w:bidi="ar-SA"/>
        </w:rPr>
        <w:t>支持企业提升自主创新设计能力，鼓励企业成立设计部门、组建设计师团队，设计师团队拥有3名及以上具有本科以上设计类专业学历且在东阳市缴纳社保18个月以上的</w:t>
      </w:r>
      <w:r>
        <w:rPr>
          <w:rFonts w:hint="eastAsia" w:ascii="仿宋_GB2312" w:hAnsi="仿宋_GB2312" w:eastAsia="仿宋_GB2312" w:cs="仿宋_GB2312"/>
          <w:b/>
          <w:bCs/>
          <w:color w:val="C00000"/>
          <w:kern w:val="2"/>
          <w:sz w:val="32"/>
          <w:szCs w:val="32"/>
          <w:lang w:val="en-US" w:eastAsia="zh-CN" w:bidi="ar-SA"/>
        </w:rPr>
        <w:t>，规上企业在月报、年报中应体现相应的研发投入，规下企业应提供当年度企业研发费用专项报告,</w:t>
      </w:r>
      <w:r>
        <w:rPr>
          <w:rFonts w:hint="eastAsia" w:ascii="仿宋_GB2312" w:hAnsi="仿宋_GB2312" w:eastAsia="仿宋_GB2312" w:cs="仿宋_GB2312"/>
          <w:kern w:val="2"/>
          <w:sz w:val="32"/>
          <w:szCs w:val="32"/>
          <w:lang w:val="en-US" w:eastAsia="zh-CN" w:bidi="ar-SA"/>
        </w:rPr>
        <w:t>给予每家企业每年5万元专项补贴。</w:t>
      </w:r>
      <w:bookmarkEnd w:id="5"/>
      <w:r>
        <w:rPr>
          <w:rFonts w:hint="eastAsia" w:ascii="仿宋_GB2312" w:hAnsi="仿宋_GB2312" w:eastAsia="仿宋_GB2312" w:cs="仿宋_GB2312"/>
          <w:b/>
          <w:bCs/>
          <w:kern w:val="2"/>
          <w:sz w:val="32"/>
          <w:szCs w:val="32"/>
          <w:lang w:val="en-US" w:eastAsia="zh-CN" w:bidi="ar-SA"/>
        </w:rPr>
        <w:t>（首次提出、新增条款）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C00000"/>
          <w:kern w:val="2"/>
          <w:sz w:val="32"/>
          <w:szCs w:val="32"/>
          <w:lang w:val="en-US" w:eastAsia="zh-CN" w:bidi="ar-SA"/>
        </w:rPr>
      </w:pPr>
      <w:bookmarkStart w:id="10" w:name="OLE_LINK23"/>
      <w:r>
        <w:rPr>
          <w:rFonts w:hint="eastAsia" w:ascii="仿宋_GB2312" w:hAnsi="仿宋_GB2312" w:eastAsia="仿宋_GB2312" w:cs="仿宋_GB2312"/>
          <w:b/>
          <w:bCs/>
          <w:color w:val="C00000"/>
          <w:kern w:val="2"/>
          <w:sz w:val="32"/>
          <w:szCs w:val="32"/>
          <w:lang w:val="en-US" w:eastAsia="zh-CN" w:bidi="ar-SA"/>
        </w:rPr>
        <w:t>9.鼓励企业积极开发文创产品。</w:t>
      </w:r>
      <w:r>
        <w:rPr>
          <w:rFonts w:hint="eastAsia" w:ascii="仿宋_GB2312" w:hAnsi="仿宋_GB2312" w:eastAsia="仿宋_GB2312" w:cs="仿宋_GB2312"/>
          <w:kern w:val="2"/>
          <w:sz w:val="32"/>
          <w:szCs w:val="32"/>
          <w:lang w:val="en-US" w:eastAsia="zh-CN" w:bidi="ar-SA"/>
        </w:rPr>
        <w:t>企业</w:t>
      </w:r>
      <w:r>
        <w:rPr>
          <w:rFonts w:hint="default" w:ascii="Times New Roman" w:hAnsi="Times New Roman" w:eastAsia="仿宋_GB2312" w:cs="Times New Roman"/>
          <w:sz w:val="32"/>
          <w:szCs w:val="32"/>
          <w:lang w:val="en-US" w:eastAsia="zh-CN"/>
        </w:rPr>
        <w:t>自主设计开发、生产销售具有</w:t>
      </w:r>
      <w:r>
        <w:rPr>
          <w:rFonts w:hint="eastAsia" w:ascii="Times New Roman" w:hAnsi="Times New Roman" w:eastAsia="仿宋_GB2312" w:cs="Times New Roman"/>
          <w:sz w:val="32"/>
          <w:szCs w:val="32"/>
          <w:lang w:val="en-US" w:eastAsia="zh-CN"/>
        </w:rPr>
        <w:t>东阳木雕、竹编</w:t>
      </w:r>
      <w:r>
        <w:rPr>
          <w:rFonts w:hint="default" w:ascii="Times New Roman" w:hAnsi="Times New Roman" w:eastAsia="仿宋_GB2312" w:cs="Times New Roman"/>
          <w:sz w:val="32"/>
          <w:szCs w:val="32"/>
          <w:lang w:val="en-US" w:eastAsia="zh-CN"/>
        </w:rPr>
        <w:t>特色文化元素的创意产品，单款产品年度销售额达到30万元，给予一次性奖励5万元，达到50万元及以上的，给予一次性奖励10万元。</w:t>
      </w:r>
      <w:r>
        <w:rPr>
          <w:rStyle w:val="14"/>
          <w:rFonts w:hint="eastAsia" w:ascii="仿宋_GB2312" w:hAnsi="仿宋" w:eastAsia="仿宋_GB2312" w:cs="Times New Roman"/>
          <w:b w:val="0"/>
          <w:i w:val="0"/>
          <w:caps w:val="0"/>
          <w:color w:val="auto"/>
          <w:spacing w:val="0"/>
          <w:w w:val="100"/>
          <w:kern w:val="2"/>
          <w:sz w:val="32"/>
          <w:szCs w:val="32"/>
          <w:lang w:val="en-US" w:eastAsia="zh-CN" w:bidi="ar-SA"/>
        </w:rPr>
        <w:t>单家企业最高奖励不超过10万元。</w:t>
      </w:r>
    </w:p>
    <w:bookmarkEnd w:id="10"/>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theme="minorBidi"/>
          <w:kern w:val="2"/>
          <w:sz w:val="32"/>
          <w:szCs w:val="32"/>
          <w:lang w:val="en-US" w:eastAsia="zh-CN" w:bidi="ar-SA"/>
        </w:rPr>
        <w:t>（三）</w:t>
      </w:r>
      <w:r>
        <w:rPr>
          <w:rFonts w:hint="eastAsia" w:ascii="黑体" w:hAnsi="黑体" w:eastAsia="黑体" w:cs="黑体"/>
          <w:b w:val="0"/>
          <w:bCs w:val="0"/>
          <w:color w:val="auto"/>
          <w:sz w:val="32"/>
          <w:szCs w:val="32"/>
          <w:lang w:val="en-US" w:eastAsia="zh-CN"/>
        </w:rPr>
        <w:t>大力度做好人才培育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C00000"/>
          <w:kern w:val="2"/>
          <w:sz w:val="32"/>
          <w:szCs w:val="32"/>
          <w:lang w:val="en-US" w:eastAsia="zh-CN" w:bidi="ar-SA"/>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重视发挥大师作用。</w:t>
      </w:r>
      <w:r>
        <w:rPr>
          <w:rFonts w:hint="eastAsia" w:ascii="仿宋_GB2312" w:hAnsi="仿宋_GB2312" w:eastAsia="仿宋_GB2312" w:cs="仿宋_GB2312"/>
          <w:sz w:val="32"/>
          <w:szCs w:val="32"/>
          <w:lang w:val="en-US" w:eastAsia="zh-CN"/>
        </w:rPr>
        <w:t>加强要素、待遇等方面的保障力度，推动大师经济做大做强。</w:t>
      </w:r>
      <w:r>
        <w:rPr>
          <w:rFonts w:hint="eastAsia" w:ascii="仿宋_GB2312" w:hAnsi="仿宋_GB2312" w:eastAsia="仿宋_GB2312" w:cs="仿宋_GB2312"/>
          <w:color w:val="0070C0"/>
          <w:kern w:val="2"/>
          <w:sz w:val="32"/>
          <w:szCs w:val="32"/>
          <w:lang w:val="en-US" w:eastAsia="zh-CN" w:bidi="ar-SA"/>
        </w:rPr>
        <w:t>省级工艺美术大师以上用地厂房无出租给其他工业类企业行为的，可不纳入亩产效益评价体系。</w:t>
      </w:r>
      <w:r>
        <w:rPr>
          <w:rFonts w:hint="eastAsia" w:ascii="仿宋_GB2312" w:hAnsi="仿宋_GB2312" w:eastAsia="仿宋_GB2312" w:cs="仿宋_GB2312"/>
          <w:sz w:val="32"/>
          <w:szCs w:val="32"/>
          <w:lang w:val="en-US" w:eastAsia="zh-CN"/>
        </w:rPr>
        <w:t>进一步提升大师推选评定工作</w:t>
      </w:r>
      <w:r>
        <w:rPr>
          <w:rFonts w:hint="eastAsia" w:ascii="仿宋_GB2312" w:hAnsi="仿宋_GB2312" w:eastAsia="仿宋_GB2312" w:cs="仿宋_GB2312"/>
          <w:kern w:val="2"/>
          <w:sz w:val="32"/>
          <w:szCs w:val="32"/>
          <w:lang w:val="en-US" w:eastAsia="zh-CN" w:bidi="ar-SA"/>
        </w:rPr>
        <w:t>制度化、规范化水平，</w:t>
      </w:r>
      <w:r>
        <w:rPr>
          <w:rFonts w:hint="default" w:ascii="仿宋_GB2312" w:hAnsi="仿宋_GB2312" w:eastAsia="仿宋_GB2312" w:cs="仿宋_GB2312"/>
          <w:kern w:val="2"/>
          <w:sz w:val="32"/>
          <w:szCs w:val="32"/>
          <w:lang w:val="en-US" w:eastAsia="zh-CN" w:bidi="ar-SA"/>
        </w:rPr>
        <w:t>严格对照中国工艺美术大师评选标准来挖掘培养优秀人才，</w:t>
      </w:r>
      <w:r>
        <w:rPr>
          <w:rFonts w:hint="eastAsia" w:ascii="仿宋_GB2312" w:hAnsi="仿宋_GB2312" w:eastAsia="仿宋_GB2312" w:cs="仿宋_GB2312"/>
          <w:kern w:val="2"/>
          <w:sz w:val="32"/>
          <w:szCs w:val="32"/>
          <w:lang w:val="en-US" w:eastAsia="zh-CN" w:bidi="ar-SA"/>
        </w:rPr>
        <w:t>公平公正地做好大师后备人选梯队建设。鼓</w:t>
      </w:r>
      <w:r>
        <w:rPr>
          <w:rFonts w:hint="eastAsia" w:ascii="仿宋_GB2312" w:hAnsi="仿宋_GB2312" w:eastAsia="仿宋_GB2312" w:cs="仿宋_GB2312"/>
          <w:sz w:val="32"/>
          <w:szCs w:val="32"/>
          <w:lang w:val="en-US" w:eastAsia="zh-CN"/>
        </w:rPr>
        <w:t>励大师、企业申报省级传承创新工作室，推动木雕、竹编等传统工艺技艺传承创新和推广。</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C000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11.推进产学研融合。</w:t>
      </w:r>
      <w:r>
        <w:rPr>
          <w:rFonts w:hint="eastAsia" w:ascii="仿宋_GB2312" w:hAnsi="仿宋_GB2312" w:eastAsia="仿宋_GB2312" w:cs="仿宋_GB2312"/>
          <w:b w:val="0"/>
          <w:bCs w:val="0"/>
          <w:kern w:val="2"/>
          <w:sz w:val="32"/>
          <w:szCs w:val="32"/>
          <w:lang w:val="en-US" w:eastAsia="zh-CN" w:bidi="ar-SA"/>
        </w:rPr>
        <w:t>支持</w:t>
      </w:r>
      <w:r>
        <w:rPr>
          <w:rFonts w:hint="default" w:ascii="仿宋_GB2312" w:hAnsi="仿宋_GB2312" w:eastAsia="仿宋_GB2312" w:cs="仿宋_GB2312"/>
          <w:kern w:val="2"/>
          <w:sz w:val="32"/>
          <w:szCs w:val="32"/>
          <w:lang w:val="en-US" w:eastAsia="zh-CN" w:bidi="ar-SA"/>
        </w:rPr>
        <w:t>广厦大学、市职教中心聚焦木雕家居产业高质量发展需求打造特色高水平专业群，进一步探索木雕家居领域专业人才中高本一体化培养新路径</w:t>
      </w:r>
      <w:r>
        <w:rPr>
          <w:rFonts w:hint="eastAsia" w:ascii="仿宋_GB2312" w:hAnsi="仿宋_GB2312" w:eastAsia="仿宋_GB2312" w:cs="仿宋_GB2312"/>
          <w:kern w:val="2"/>
          <w:sz w:val="32"/>
          <w:szCs w:val="32"/>
          <w:lang w:val="en-US" w:eastAsia="zh-CN" w:bidi="ar-SA"/>
        </w:rPr>
        <w:t>。支持</w:t>
      </w:r>
      <w:r>
        <w:rPr>
          <w:rFonts w:hint="default" w:ascii="仿宋_GB2312" w:hAnsi="仿宋_GB2312" w:eastAsia="仿宋_GB2312" w:cs="仿宋_GB2312"/>
          <w:kern w:val="2"/>
          <w:sz w:val="32"/>
          <w:szCs w:val="32"/>
          <w:lang w:val="en-US" w:eastAsia="zh-CN" w:bidi="ar-SA"/>
        </w:rPr>
        <w:t>广厦大学、东阳家具研究院联合东阳木雕家居企业以及国内外知名高校院所共建协同育人与协同创新体系，进一步探索科、教、产深度融合体制机制，争创高水平产业学院与科创平台，努力构建产学研良性循环新生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C00000"/>
          <w:kern w:val="2"/>
          <w:sz w:val="32"/>
          <w:szCs w:val="32"/>
          <w:lang w:val="en-US" w:eastAsia="zh-CN" w:bidi="ar-SA"/>
        </w:rPr>
        <w:t>12.</w:t>
      </w:r>
      <w:bookmarkStart w:id="11" w:name="OLE_LINK11"/>
      <w:r>
        <w:rPr>
          <w:rFonts w:hint="eastAsia" w:ascii="仿宋_GB2312" w:hAnsi="仿宋_GB2312" w:eastAsia="仿宋_GB2312" w:cs="仿宋_GB2312"/>
          <w:b/>
          <w:bCs/>
          <w:color w:val="C00000"/>
          <w:kern w:val="2"/>
          <w:sz w:val="32"/>
          <w:szCs w:val="32"/>
          <w:lang w:val="en-US" w:eastAsia="zh-CN" w:bidi="ar-SA"/>
        </w:rPr>
        <w:t>鼓励创作者参与奖项评选</w:t>
      </w:r>
      <w:bookmarkEnd w:id="11"/>
      <w:r>
        <w:rPr>
          <w:rFonts w:hint="eastAsia" w:ascii="仿宋_GB2312" w:hAnsi="仿宋_GB2312" w:eastAsia="仿宋_GB2312" w:cs="仿宋_GB2312"/>
          <w:b/>
          <w:bCs/>
          <w:color w:val="C0000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对在</w:t>
      </w:r>
      <w:r>
        <w:rPr>
          <w:rFonts w:hint="default" w:ascii="仿宋_GB2312" w:hAnsi="仿宋_GB2312" w:eastAsia="仿宋_GB2312" w:cs="仿宋_GB2312"/>
          <w:kern w:val="2"/>
          <w:sz w:val="32"/>
          <w:szCs w:val="32"/>
          <w:lang w:val="en-US" w:eastAsia="zh-CN" w:bidi="ar-SA"/>
        </w:rPr>
        <w:t>“百鹤杯”工艺美术设计创新大赛</w:t>
      </w:r>
      <w:r>
        <w:rPr>
          <w:rFonts w:hint="eastAsia" w:ascii="仿宋_GB2312" w:hAnsi="仿宋_GB2312" w:eastAsia="仿宋_GB2312" w:cs="仿宋_GB2312"/>
          <w:kern w:val="2"/>
          <w:sz w:val="32"/>
          <w:szCs w:val="32"/>
          <w:lang w:val="en-US" w:eastAsia="zh-CN" w:bidi="ar-SA"/>
        </w:rPr>
        <w:t>、“百花杯”评审活动中获得金奖（百鹤金鼎奖）、银奖（百鹤奖）、铜奖（百鹤新锐奖）的作品，分别给予创作者3000元、2000元、1000元的奖励，在浙江省工艺美术精品奖评审、浙江省（中国）工艺美术精品博览会中获得金奖的，给与创作者2000元奖励，同一件作品以最高奖项进行奖励，不重复奖励。</w:t>
      </w:r>
      <w:bookmarkStart w:id="12" w:name="OLE_LINK22"/>
      <w:r>
        <w:rPr>
          <w:rFonts w:hint="eastAsia" w:ascii="仿宋_GB2312" w:hAnsi="仿宋_GB2312" w:eastAsia="仿宋_GB2312" w:cs="仿宋_GB2312"/>
          <w:b/>
          <w:bCs/>
          <w:kern w:val="2"/>
          <w:sz w:val="32"/>
          <w:szCs w:val="32"/>
          <w:lang w:val="en-US" w:eastAsia="zh-CN" w:bidi="ar-SA"/>
        </w:rPr>
        <w:t>（首次提出、新增条款）</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bookmarkStart w:id="13" w:name="OLE_LINK8"/>
      <w:r>
        <w:rPr>
          <w:rFonts w:hint="eastAsia" w:ascii="仿宋_GB2312" w:hAnsi="仿宋_GB2312" w:eastAsia="仿宋_GB2312" w:cs="仿宋_GB2312"/>
          <w:b/>
          <w:bCs/>
          <w:color w:val="C00000"/>
          <w:kern w:val="2"/>
          <w:sz w:val="32"/>
          <w:szCs w:val="32"/>
          <w:lang w:val="en-US" w:eastAsia="zh-CN" w:bidi="ar-SA"/>
        </w:rPr>
        <w:t>13.</w:t>
      </w:r>
      <w:bookmarkStart w:id="14" w:name="OLE_LINK13"/>
      <w:bookmarkStart w:id="15" w:name="OLE_LINK5"/>
      <w:r>
        <w:rPr>
          <w:rFonts w:hint="eastAsia" w:ascii="仿宋_GB2312" w:hAnsi="仿宋_GB2312" w:eastAsia="仿宋_GB2312" w:cs="仿宋_GB2312"/>
          <w:b/>
          <w:bCs/>
          <w:color w:val="C00000"/>
          <w:kern w:val="2"/>
          <w:sz w:val="32"/>
          <w:szCs w:val="32"/>
          <w:lang w:val="en-US" w:eastAsia="zh-CN" w:bidi="ar-SA"/>
        </w:rPr>
        <w:t>鼓励东阳木雕竹编文化传承</w:t>
      </w:r>
      <w:bookmarkEnd w:id="14"/>
      <w:r>
        <w:rPr>
          <w:rFonts w:hint="eastAsia" w:ascii="仿宋_GB2312" w:hAnsi="仿宋_GB2312" w:eastAsia="仿宋_GB2312" w:cs="仿宋_GB2312"/>
          <w:b/>
          <w:bCs/>
          <w:color w:val="C00000"/>
          <w:kern w:val="2"/>
          <w:sz w:val="32"/>
          <w:szCs w:val="32"/>
          <w:lang w:val="en-US" w:eastAsia="zh-CN" w:bidi="ar-SA"/>
        </w:rPr>
        <w:t>。</w:t>
      </w:r>
      <w:bookmarkEnd w:id="15"/>
      <w:r>
        <w:rPr>
          <w:rFonts w:hint="eastAsia" w:ascii="仿宋_GB2312" w:hAnsi="仿宋_GB2312" w:eastAsia="仿宋_GB2312" w:cs="仿宋_GB2312"/>
          <w:kern w:val="2"/>
          <w:sz w:val="32"/>
          <w:szCs w:val="32"/>
          <w:lang w:val="en-US" w:eastAsia="zh-CN" w:bidi="ar-SA"/>
        </w:rPr>
        <w:t>对木雕竹编相关专业毕业两年内的学徒，在我市注册的木雕红木等主体从事</w:t>
      </w:r>
      <w:bookmarkStart w:id="16" w:name="OLE_LINK21"/>
      <w:r>
        <w:rPr>
          <w:rFonts w:hint="eastAsia" w:ascii="仿宋_GB2312" w:hAnsi="仿宋_GB2312" w:eastAsia="仿宋_GB2312" w:cs="仿宋_GB2312"/>
          <w:kern w:val="2"/>
          <w:sz w:val="32"/>
          <w:szCs w:val="32"/>
          <w:lang w:val="en-US" w:eastAsia="zh-CN" w:bidi="ar-SA"/>
        </w:rPr>
        <w:t>木雕技艺传承工作</w:t>
      </w:r>
      <w:bookmarkEnd w:id="16"/>
      <w:r>
        <w:rPr>
          <w:rFonts w:hint="eastAsia" w:ascii="仿宋_GB2312" w:hAnsi="仿宋_GB2312" w:eastAsia="仿宋_GB2312" w:cs="仿宋_GB2312"/>
          <w:kern w:val="2"/>
          <w:sz w:val="32"/>
          <w:szCs w:val="32"/>
          <w:lang w:val="en-US" w:eastAsia="zh-CN" w:bidi="ar-SA"/>
        </w:rPr>
        <w:t>，且签订劳动合同工作满一年以上并参加社会保险的，给予个人每年1.2万元的就业补贴，补贴期限三年。</w:t>
      </w:r>
      <w:bookmarkStart w:id="17" w:name="OLE_LINK15"/>
      <w:r>
        <w:rPr>
          <w:rFonts w:hint="eastAsia" w:ascii="仿宋_GB2312" w:hAnsi="仿宋_GB2312" w:eastAsia="仿宋_GB2312" w:cs="仿宋_GB2312"/>
          <w:b/>
          <w:bCs/>
          <w:kern w:val="2"/>
          <w:sz w:val="32"/>
          <w:szCs w:val="32"/>
          <w:lang w:val="en-US" w:eastAsia="zh-CN" w:bidi="ar-SA"/>
        </w:rPr>
        <w:t>（首次提出、新增条款）</w:t>
      </w:r>
      <w:bookmarkEnd w:id="17"/>
    </w:p>
    <w:bookmarkEnd w:id="13"/>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14.推进大中小学一体化职业教育。</w:t>
      </w:r>
      <w:r>
        <w:rPr>
          <w:rFonts w:hint="eastAsia" w:ascii="仿宋_GB2312" w:hAnsi="仿宋_GB2312" w:eastAsia="仿宋_GB2312" w:cs="仿宋_GB2312"/>
          <w:kern w:val="2"/>
          <w:sz w:val="32"/>
          <w:szCs w:val="32"/>
          <w:lang w:val="en-US" w:eastAsia="zh-CN" w:bidi="ar-SA"/>
        </w:rPr>
        <w:t>鼓励广厦大学与我市有关中小学合作，聚焦木雕竹编家居领域建设大中小学一体化职业教育实训基地，从小学生开始每年定期开展木雕竹编家居的非遗教育与职业体验活动，培养东阳市中小学生对木雕技能学习的兴趣爱好，吸引更多的东阳籍青少年报考木雕竹编专业。</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（四）持续打响“世界木雕 东阳红木”品牌</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15.</w:t>
      </w:r>
      <w:r>
        <w:rPr>
          <w:rFonts w:hint="eastAsia" w:ascii="仿宋_GB2312" w:hAnsi="仿宋_GB2312" w:eastAsia="仿宋_GB2312" w:cs="仿宋_GB2312"/>
          <w:b/>
          <w:bCs/>
          <w:kern w:val="2"/>
          <w:sz w:val="32"/>
          <w:szCs w:val="32"/>
        </w:rPr>
        <w:t>培育做强集体商标</w:t>
      </w:r>
      <w:r>
        <w:rPr>
          <w:rFonts w:hint="eastAsia"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sz w:val="32"/>
          <w:szCs w:val="32"/>
          <w:lang w:val="en-US" w:eastAsia="zh-CN"/>
        </w:rPr>
        <w:t>完善“东阳红木家具”商标品牌准入、培育、管理、保护和退出机制，提升品牌美誉度。</w:t>
      </w:r>
      <w:r>
        <w:rPr>
          <w:rFonts w:hint="eastAsia" w:ascii="Times New Roman" w:hAnsi="Times New Roman" w:eastAsia="仿宋_GB2312" w:cs="Times New Roman"/>
          <w:b w:val="0"/>
          <w:bCs w:val="0"/>
          <w:color w:val="auto"/>
          <w:sz w:val="32"/>
          <w:szCs w:val="32"/>
          <w:lang w:val="en-US" w:eastAsia="zh-CN"/>
        </w:rPr>
        <w:t>加强对集体商标使用企业产品的质量跟踪和管理，定期组织开展产品质量抽样检测。</w:t>
      </w:r>
      <w:r>
        <w:rPr>
          <w:rFonts w:hint="eastAsia" w:ascii="仿宋_GB2312" w:hAnsi="仿宋_GB2312" w:eastAsia="仿宋_GB2312" w:cs="仿宋_GB2312"/>
          <w:sz w:val="32"/>
          <w:szCs w:val="32"/>
          <w:lang w:eastAsia="zh-CN"/>
        </w:rPr>
        <w:t>推进“区域品牌</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企业品牌”母子品牌建设，</w:t>
      </w:r>
      <w:r>
        <w:rPr>
          <w:rFonts w:hint="eastAsia" w:ascii="仿宋_GB2312" w:hAnsi="仿宋_GB2312" w:eastAsia="仿宋_GB2312" w:cs="仿宋_GB2312"/>
          <w:sz w:val="32"/>
          <w:szCs w:val="32"/>
          <w:lang w:val="en-US" w:eastAsia="zh-CN"/>
        </w:rPr>
        <w:t>成立“东阳红木家具”集体商标授权企业展示中心，</w:t>
      </w:r>
      <w:r>
        <w:rPr>
          <w:rFonts w:hint="default" w:ascii="仿宋_GB2312" w:hAnsi="仿宋_GB2312" w:eastAsia="仿宋_GB2312" w:cs="仿宋_GB2312"/>
          <w:sz w:val="32"/>
          <w:szCs w:val="32"/>
          <w:lang w:eastAsia="zh-CN"/>
        </w:rPr>
        <w:t>加强</w:t>
      </w:r>
      <w:r>
        <w:rPr>
          <w:rFonts w:hint="eastAsia" w:ascii="Times New Roman" w:hAnsi="Times New Roman" w:eastAsia="仿宋_GB2312" w:cs="Times New Roman"/>
          <w:b w:val="0"/>
          <w:bCs w:val="0"/>
          <w:color w:val="auto"/>
          <w:kern w:val="2"/>
          <w:sz w:val="32"/>
          <w:szCs w:val="32"/>
          <w:lang w:val="en-US" w:eastAsia="zh-CN" w:bidi="ar-SA"/>
        </w:rPr>
        <w:t>集体商标的</w:t>
      </w:r>
      <w:r>
        <w:rPr>
          <w:rFonts w:hint="default" w:ascii="Times New Roman" w:hAnsi="Times New Roman" w:eastAsia="仿宋_GB2312" w:cs="Times New Roman"/>
          <w:b w:val="0"/>
          <w:bCs w:val="0"/>
          <w:color w:val="auto"/>
          <w:kern w:val="2"/>
          <w:sz w:val="32"/>
          <w:szCs w:val="32"/>
          <w:lang w:val="en-US" w:eastAsia="zh-CN" w:bidi="ar-SA"/>
        </w:rPr>
        <w:t>展示推广，</w:t>
      </w:r>
      <w:r>
        <w:rPr>
          <w:rFonts w:hint="eastAsia" w:ascii="Times New Roman" w:hAnsi="Times New Roman" w:eastAsia="仿宋_GB2312" w:cs="Times New Roman"/>
          <w:b w:val="0"/>
          <w:bCs w:val="0"/>
          <w:color w:val="auto"/>
          <w:kern w:val="2"/>
          <w:sz w:val="32"/>
          <w:szCs w:val="32"/>
          <w:lang w:val="en-US" w:eastAsia="zh-CN" w:bidi="ar-SA"/>
        </w:rPr>
        <w:t>不</w:t>
      </w:r>
      <w:r>
        <w:rPr>
          <w:rFonts w:hint="eastAsia" w:ascii="仿宋_GB2312" w:hAnsi="仿宋_GB2312" w:eastAsia="仿宋_GB2312" w:cs="仿宋_GB2312"/>
          <w:sz w:val="32"/>
          <w:szCs w:val="32"/>
          <w:lang w:val="en-US" w:eastAsia="zh-CN"/>
        </w:rPr>
        <w:t>定期组织授权使用企业开展考察学习、交流研讨等活动。</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val="0"/>
          <w:bCs w:val="0"/>
          <w:color w:val="auto"/>
          <w:kern w:val="0"/>
          <w:sz w:val="32"/>
          <w:szCs w:val="32"/>
          <w:lang w:val="en-US" w:eastAsia="zh-CN" w:bidi="ar-SA"/>
        </w:rPr>
      </w:pPr>
      <w:r>
        <w:rPr>
          <w:rFonts w:hint="eastAsia" w:ascii="仿宋_GB2312" w:eastAsia="仿宋_GB2312" w:cs="仿宋_GB2312"/>
          <w:b/>
          <w:bCs/>
          <w:snapToGrid w:val="0"/>
          <w:sz w:val="32"/>
          <w:szCs w:val="32"/>
          <w:lang w:val="en-US" w:eastAsia="zh-CN"/>
        </w:rPr>
        <w:t>16.</w:t>
      </w:r>
      <w:bookmarkStart w:id="18" w:name="OLE_LINK16"/>
      <w:r>
        <w:rPr>
          <w:rFonts w:hint="eastAsia" w:ascii="仿宋_GB2312" w:eastAsia="仿宋_GB2312" w:cs="仿宋_GB2312"/>
          <w:b/>
          <w:bCs/>
          <w:snapToGrid w:val="0"/>
          <w:sz w:val="32"/>
          <w:szCs w:val="32"/>
          <w:lang w:val="en-US" w:eastAsia="zh-CN"/>
        </w:rPr>
        <w:t>加强产业品牌宣传</w:t>
      </w:r>
      <w:bookmarkEnd w:id="18"/>
      <w:r>
        <w:rPr>
          <w:rFonts w:hint="eastAsia" w:ascii="仿宋_GB2312" w:eastAsia="仿宋_GB2312" w:cs="仿宋_GB2312"/>
          <w:b/>
          <w:bCs/>
          <w:snapToGrid w:val="0"/>
          <w:sz w:val="32"/>
          <w:szCs w:val="32"/>
          <w:lang w:val="en-US" w:eastAsia="zh-CN"/>
        </w:rPr>
        <w:t>。</w:t>
      </w:r>
      <w:r>
        <w:rPr>
          <w:rFonts w:hint="eastAsia" w:ascii="仿宋_GB2312" w:eastAsia="仿宋_GB2312" w:cs="仿宋_GB2312"/>
          <w:b w:val="0"/>
          <w:bCs w:val="0"/>
          <w:snapToGrid w:val="0"/>
          <w:sz w:val="32"/>
          <w:szCs w:val="32"/>
          <w:lang w:val="en-US" w:eastAsia="zh-CN"/>
        </w:rPr>
        <w:t>持续</w:t>
      </w:r>
      <w:r>
        <w:rPr>
          <w:rFonts w:hint="eastAsia" w:ascii="仿宋_GB2312" w:hAnsi="仿宋_GB2312" w:eastAsia="仿宋_GB2312" w:cs="仿宋_GB2312"/>
          <w:sz w:val="32"/>
          <w:szCs w:val="32"/>
          <w:lang w:val="en-US" w:eastAsia="zh-CN"/>
        </w:rPr>
        <w:t>在央视、</w:t>
      </w:r>
      <w:bookmarkStart w:id="19" w:name="OLE_LINK17"/>
      <w:r>
        <w:rPr>
          <w:rFonts w:hint="eastAsia" w:ascii="仿宋_GB2312" w:hAnsi="仿宋_GB2312" w:eastAsia="仿宋_GB2312" w:cs="仿宋_GB2312"/>
          <w:sz w:val="32"/>
          <w:szCs w:val="32"/>
          <w:lang w:val="en-US" w:eastAsia="zh-CN"/>
        </w:rPr>
        <w:t>机场、高铁站、电台、市内主干道等平台进行东阳木雕红木家具产业的整体宣传推广</w:t>
      </w:r>
      <w:bookmarkEnd w:id="19"/>
      <w:r>
        <w:rPr>
          <w:rFonts w:hint="eastAsia" w:ascii="仿宋_GB2312" w:hAnsi="仿宋_GB2312" w:eastAsia="仿宋_GB2312" w:cs="仿宋_GB2312"/>
          <w:sz w:val="32"/>
          <w:szCs w:val="32"/>
          <w:lang w:val="en-US" w:eastAsia="zh-CN"/>
        </w:rPr>
        <w:t>，持续打响“买红木到东阳、装中式找东阳”品牌影响力。</w:t>
      </w:r>
      <w:r>
        <w:rPr>
          <w:rFonts w:hint="eastAsia" w:ascii="Times New Roman" w:hAnsi="Times New Roman" w:eastAsia="仿宋_GB2312" w:cs="Times New Roman"/>
          <w:b w:val="0"/>
          <w:bCs w:val="0"/>
          <w:color w:val="auto"/>
          <w:kern w:val="0"/>
          <w:sz w:val="32"/>
          <w:szCs w:val="32"/>
          <w:lang w:val="en-US" w:eastAsia="zh-CN" w:bidi="ar-SA"/>
        </w:rPr>
        <w:t>组织开展</w:t>
      </w:r>
      <w:bookmarkStart w:id="20" w:name="OLE_LINK18"/>
      <w:r>
        <w:rPr>
          <w:rFonts w:hint="default" w:ascii="仿宋_GB2312" w:hAnsi="Cambria" w:eastAsia="仿宋_GB2312" w:cs="仿宋_GB2312"/>
          <w:kern w:val="2"/>
          <w:sz w:val="32"/>
          <w:szCs w:val="32"/>
          <w:lang w:val="en-US" w:eastAsia="zh-CN" w:bidi="ar"/>
        </w:rPr>
        <w:t>中国（东阳）</w:t>
      </w:r>
      <w:r>
        <w:rPr>
          <w:rFonts w:hint="eastAsia" w:ascii="仿宋_GB2312" w:eastAsia="仿宋_GB2312" w:cs="仿宋_GB2312"/>
          <w:kern w:val="2"/>
          <w:sz w:val="32"/>
          <w:szCs w:val="32"/>
          <w:lang w:val="en-US" w:eastAsia="zh-CN" w:bidi="ar"/>
        </w:rPr>
        <w:t>“</w:t>
      </w:r>
      <w:r>
        <w:rPr>
          <w:rFonts w:hint="default" w:ascii="仿宋_GB2312" w:hAnsi="Cambria" w:eastAsia="仿宋_GB2312" w:cs="仿宋_GB2312"/>
          <w:kern w:val="2"/>
          <w:sz w:val="32"/>
          <w:szCs w:val="32"/>
          <w:lang w:val="en-US" w:eastAsia="zh-CN" w:bidi="ar"/>
        </w:rPr>
        <w:t>百工杯</w:t>
      </w:r>
      <w:r>
        <w:rPr>
          <w:rFonts w:hint="eastAsia" w:ascii="仿宋_GB2312" w:eastAsia="仿宋_GB2312" w:cs="仿宋_GB2312"/>
          <w:kern w:val="2"/>
          <w:sz w:val="32"/>
          <w:szCs w:val="32"/>
          <w:lang w:val="en-US" w:eastAsia="zh-CN" w:bidi="ar"/>
        </w:rPr>
        <w:t>”</w:t>
      </w:r>
      <w:r>
        <w:rPr>
          <w:rFonts w:hint="default" w:ascii="仿宋_GB2312" w:hAnsi="Cambria" w:eastAsia="仿宋_GB2312" w:cs="仿宋_GB2312"/>
          <w:kern w:val="2"/>
          <w:sz w:val="32"/>
          <w:szCs w:val="32"/>
          <w:lang w:val="en-US" w:eastAsia="zh-CN" w:bidi="ar"/>
        </w:rPr>
        <w:t>全屋木质家居设计创作大赛</w:t>
      </w:r>
      <w:bookmarkEnd w:id="20"/>
      <w:r>
        <w:rPr>
          <w:rFonts w:hint="eastAsia" w:ascii="Times New Roman" w:hAnsi="Times New Roman" w:eastAsia="仿宋_GB2312" w:cs="Times New Roman"/>
          <w:b w:val="0"/>
          <w:bCs w:val="0"/>
          <w:color w:val="auto"/>
          <w:kern w:val="0"/>
          <w:sz w:val="32"/>
          <w:szCs w:val="32"/>
          <w:lang w:val="en-US" w:eastAsia="zh-CN" w:bidi="ar-SA"/>
        </w:rPr>
        <w:t>、</w:t>
      </w:r>
      <w:r>
        <w:rPr>
          <w:rFonts w:hint="eastAsia" w:ascii="仿宋_GB2312" w:hAnsi="仿宋_GB2312" w:eastAsia="仿宋_GB2312" w:cs="仿宋_GB2312"/>
          <w:sz w:val="32"/>
          <w:szCs w:val="32"/>
          <w:lang w:val="en-US" w:eastAsia="zh-CN"/>
        </w:rPr>
        <w:t>东阳市工艺美术大师创新</w:t>
      </w:r>
      <w:r>
        <w:rPr>
          <w:rFonts w:hint="eastAsia" w:ascii="仿宋_GB2312" w:hAnsi="Cambria" w:eastAsia="仿宋_GB2312" w:cs="仿宋_GB2312"/>
          <w:kern w:val="2"/>
          <w:sz w:val="32"/>
          <w:szCs w:val="32"/>
          <w:lang w:val="en-US" w:eastAsia="zh-CN" w:bidi="ar"/>
        </w:rPr>
        <w:t>创作大赛、</w:t>
      </w:r>
      <w:r>
        <w:rPr>
          <w:rFonts w:hint="eastAsia" w:ascii="仿宋_GB2312" w:hAnsi="Cambria" w:eastAsia="仿宋_GB2312" w:cs="仿宋_GB2312"/>
          <w:kern w:val="2"/>
          <w:sz w:val="32"/>
          <w:szCs w:val="32"/>
          <w:lang w:val="zh-CN" w:eastAsia="zh-CN" w:bidi="ar"/>
        </w:rPr>
        <w:t>东阳市木雕红木家具十大精品创作大赛等活动，</w:t>
      </w:r>
      <w:r>
        <w:rPr>
          <w:rFonts w:hint="eastAsia" w:ascii="仿宋_GB2312" w:hAnsi="Cambria" w:eastAsia="仿宋_GB2312" w:cs="仿宋_GB2312"/>
          <w:kern w:val="2"/>
          <w:sz w:val="32"/>
          <w:szCs w:val="32"/>
          <w:lang w:val="en-US" w:eastAsia="zh-CN" w:bidi="ar"/>
        </w:rPr>
        <w:t>鼓励创先争优示范引领。</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lang w:val="en-US" w:eastAsia="zh-CN"/>
        </w:rPr>
      </w:pPr>
      <w:r>
        <w:rPr>
          <w:rFonts w:hint="eastAsia" w:ascii="仿宋_GB2312" w:eastAsia="仿宋_GB2312" w:cs="仿宋_GB2312"/>
          <w:b/>
          <w:bCs/>
          <w:snapToGrid w:val="0"/>
          <w:sz w:val="32"/>
          <w:szCs w:val="32"/>
          <w:lang w:val="en-US" w:eastAsia="zh-CN"/>
        </w:rPr>
        <w:t>17.加大品牌形象展示</w:t>
      </w:r>
      <w:r>
        <w:rPr>
          <w:rFonts w:hint="default" w:ascii="仿宋_GB2312" w:eastAsia="仿宋_GB2312" w:cs="仿宋_GB2312"/>
          <w:b/>
          <w:bCs/>
          <w:snapToGrid w:val="0"/>
          <w:sz w:val="32"/>
          <w:szCs w:val="32"/>
          <w:lang w:val="en-US" w:eastAsia="zh-CN"/>
        </w:rPr>
        <w:t>。</w:t>
      </w:r>
      <w:r>
        <w:rPr>
          <w:rFonts w:hint="eastAsia" w:eastAsia="仿宋_GB2312"/>
          <w:b w:val="0"/>
          <w:bCs w:val="0"/>
          <w:sz w:val="32"/>
          <w:szCs w:val="32"/>
          <w:lang w:val="en-US" w:eastAsia="zh-CN"/>
        </w:rPr>
        <w:t>组织“东阳红木家具”集体商标使用企业以东阳产区名义参加中国（广州）国际建筑装饰博览会、中国（广州）国际家具博览会、中国（上海）国际家具博览会、中国（天津）国际家具博览会、深圳国际家具展、深圳文博会、义乌森博会等国内家居行业知名展会，扩大集体商标品牌知名度。</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楷体" w:hAnsi="楷体" w:eastAsia="楷体" w:cs="楷体"/>
          <w:b/>
          <w:bCs/>
          <w:color w:val="auto"/>
          <w:sz w:val="32"/>
          <w:szCs w:val="32"/>
          <w:lang w:val="en-US" w:eastAsia="zh-CN"/>
        </w:rPr>
        <w:t>（</w:t>
      </w:r>
      <w:r>
        <w:rPr>
          <w:rFonts w:hint="eastAsia" w:ascii="黑体" w:hAnsi="黑体" w:eastAsia="黑体" w:cs="黑体"/>
          <w:b w:val="0"/>
          <w:bCs w:val="0"/>
          <w:color w:val="auto"/>
          <w:sz w:val="32"/>
          <w:szCs w:val="32"/>
          <w:lang w:val="en-US" w:eastAsia="zh-CN"/>
        </w:rPr>
        <w:t>五）支持企业走出去开拓市场</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eastAsia="仿宋_GB2312" w:cs="仿宋_GB2312"/>
          <w:b/>
          <w:bCs/>
          <w:snapToGrid w:val="0"/>
          <w:sz w:val="32"/>
          <w:szCs w:val="32"/>
          <w:lang w:val="en-US" w:eastAsia="zh-CN"/>
        </w:rPr>
        <w:t>18.支持企业外出参展。</w:t>
      </w:r>
      <w:r>
        <w:rPr>
          <w:rFonts w:hint="eastAsia" w:eastAsia="仿宋_GB2312"/>
          <w:b w:val="0"/>
          <w:bCs w:val="0"/>
          <w:sz w:val="32"/>
          <w:szCs w:val="32"/>
          <w:lang w:val="en-US" w:eastAsia="zh-CN"/>
        </w:rPr>
        <w:t>我市木雕竹编家居企业参加中国（浙江）工艺美术精品博览会、中国工艺美术博览会的，给予每个标准展位（9平方米）0.4万元的展位费（不含装潢费用）补助，展位费少于补助标准的按实补助，单家企业同一展会最高补助5万元。</w:t>
      </w:r>
      <w:r>
        <w:rPr>
          <w:rFonts w:hint="eastAsia" w:eastAsia="仿宋_GB2312"/>
          <w:b/>
          <w:bCs/>
          <w:sz w:val="32"/>
          <w:szCs w:val="32"/>
          <w:lang w:val="en-US" w:eastAsia="zh-CN"/>
        </w:rPr>
        <w:t>（参照</w:t>
      </w:r>
      <w:r>
        <w:rPr>
          <w:rFonts w:hint="eastAsia" w:ascii="仿宋_GB2312" w:hAnsi="Calibri" w:eastAsia="仿宋_GB2312" w:cs="Calibri"/>
          <w:b/>
          <w:bCs/>
          <w:sz w:val="32"/>
          <w:szCs w:val="32"/>
        </w:rPr>
        <w:t>商贸流通业高质量发展</w:t>
      </w:r>
      <w:r>
        <w:rPr>
          <w:rFonts w:hint="eastAsia" w:ascii="仿宋_GB2312" w:hAnsi="Calibri" w:eastAsia="仿宋_GB2312" w:cs="Calibri"/>
          <w:b/>
          <w:bCs/>
          <w:sz w:val="32"/>
          <w:szCs w:val="32"/>
          <w:lang w:val="en-US" w:eastAsia="zh-CN"/>
        </w:rPr>
        <w:t>2024年</w:t>
      </w:r>
      <w:r>
        <w:rPr>
          <w:rFonts w:hint="eastAsia" w:ascii="仿宋_GB2312" w:eastAsia="仿宋_GB2312" w:cs="Calibri"/>
          <w:b/>
          <w:bCs/>
          <w:sz w:val="32"/>
          <w:szCs w:val="32"/>
          <w:lang w:val="en-US" w:eastAsia="zh-CN"/>
        </w:rPr>
        <w:t>政策，</w:t>
      </w:r>
      <w:bookmarkStart w:id="21" w:name="OLE_LINK14"/>
      <w:r>
        <w:rPr>
          <w:rFonts w:hint="eastAsia" w:ascii="仿宋_GB2312" w:eastAsia="仿宋_GB2312" w:cs="Calibri"/>
          <w:b/>
          <w:bCs/>
          <w:sz w:val="32"/>
          <w:szCs w:val="32"/>
          <w:lang w:val="en-US" w:eastAsia="zh-CN"/>
        </w:rPr>
        <w:t>补助范围由规上扩大到所有企业</w:t>
      </w:r>
      <w:bookmarkEnd w:id="21"/>
      <w:r>
        <w:rPr>
          <w:rFonts w:hint="eastAsia" w:eastAsia="仿宋_GB2312"/>
          <w:b/>
          <w:bCs/>
          <w:sz w:val="32"/>
          <w:szCs w:val="32"/>
          <w:lang w:val="en-US" w:eastAsia="zh-CN"/>
        </w:rPr>
        <w:t>）</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cs="仿宋_GB2312"/>
          <w:b/>
          <w:bCs/>
          <w:snapToGrid w:val="0"/>
          <w:sz w:val="32"/>
          <w:szCs w:val="32"/>
          <w:lang w:val="en-US" w:eastAsia="zh-CN"/>
        </w:rPr>
        <w:t>19.鼓励营造消费氛围。</w:t>
      </w:r>
      <w:r>
        <w:rPr>
          <w:rFonts w:hint="eastAsia" w:eastAsia="仿宋_GB2312"/>
          <w:b w:val="0"/>
          <w:bCs w:val="0"/>
          <w:sz w:val="32"/>
          <w:szCs w:val="32"/>
          <w:lang w:val="en-US" w:eastAsia="zh-CN"/>
        </w:rPr>
        <w:t>鼓励红木家具专业市场举办各类商业促销活动，单次活动场地、设备租赁和布展宣传以及委托第三方服务</w:t>
      </w:r>
      <w:r>
        <w:rPr>
          <w:rFonts w:hint="eastAsia" w:ascii="仿宋_GB2312" w:hAnsi="Calibri" w:eastAsia="仿宋_GB2312" w:cs="Calibri"/>
          <w:sz w:val="32"/>
          <w:szCs w:val="32"/>
        </w:rPr>
        <w:t>费用达到</w:t>
      </w:r>
      <w:r>
        <w:rPr>
          <w:rFonts w:hint="eastAsia" w:ascii="仿宋_GB2312" w:eastAsia="仿宋_GB2312" w:cs="Calibri"/>
          <w:sz w:val="32"/>
          <w:szCs w:val="32"/>
          <w:lang w:val="en-US" w:eastAsia="zh-CN"/>
        </w:rPr>
        <w:t>10</w:t>
      </w:r>
      <w:r>
        <w:rPr>
          <w:rFonts w:hint="eastAsia" w:ascii="仿宋_GB2312" w:hAnsi="Calibri" w:eastAsia="仿宋_GB2312" w:cs="Calibri"/>
          <w:sz w:val="32"/>
          <w:szCs w:val="32"/>
        </w:rPr>
        <w:t>万元的，给予实际投入</w:t>
      </w:r>
      <w:r>
        <w:rPr>
          <w:rFonts w:hint="eastAsia" w:ascii="仿宋_GB2312" w:eastAsia="仿宋_GB2312" w:cs="Calibri"/>
          <w:sz w:val="32"/>
          <w:szCs w:val="32"/>
          <w:lang w:val="en-US" w:eastAsia="zh-CN"/>
        </w:rPr>
        <w:t>15</w:t>
      </w:r>
      <w:r>
        <w:rPr>
          <w:rFonts w:hint="eastAsia" w:ascii="仿宋_GB2312" w:hAnsi="Calibri" w:eastAsia="仿宋_GB2312" w:cs="Calibri"/>
          <w:sz w:val="32"/>
          <w:szCs w:val="32"/>
        </w:rPr>
        <w:t>%的补助，单家企业最高补助</w:t>
      </w:r>
      <w:r>
        <w:rPr>
          <w:rFonts w:hint="eastAsia" w:ascii="仿宋_GB2312" w:eastAsia="仿宋_GB2312" w:cs="Calibri"/>
          <w:sz w:val="32"/>
          <w:szCs w:val="32"/>
          <w:lang w:val="en-US" w:eastAsia="zh-CN"/>
        </w:rPr>
        <w:t>20</w:t>
      </w:r>
      <w:r>
        <w:rPr>
          <w:rFonts w:hint="eastAsia" w:ascii="仿宋_GB2312" w:hAnsi="Calibri" w:eastAsia="仿宋_GB2312" w:cs="Calibri"/>
          <w:sz w:val="32"/>
          <w:szCs w:val="32"/>
        </w:rPr>
        <w:t>万元。</w:t>
      </w:r>
      <w:r>
        <w:rPr>
          <w:rFonts w:hint="eastAsia" w:ascii="仿宋_GB2312" w:hAnsi="Calibri" w:eastAsia="仿宋_GB2312" w:cs="Calibri"/>
          <w:b/>
          <w:bCs/>
          <w:sz w:val="32"/>
          <w:szCs w:val="32"/>
          <w:lang w:eastAsia="zh-CN"/>
        </w:rPr>
        <w:t>（参照</w:t>
      </w:r>
      <w:r>
        <w:rPr>
          <w:rFonts w:hint="eastAsia" w:ascii="仿宋_GB2312" w:hAnsi="Calibri" w:eastAsia="仿宋_GB2312" w:cs="Calibri"/>
          <w:b/>
          <w:bCs/>
          <w:sz w:val="32"/>
          <w:szCs w:val="32"/>
        </w:rPr>
        <w:t>商贸流通业高质量发展</w:t>
      </w:r>
      <w:r>
        <w:rPr>
          <w:rFonts w:hint="eastAsia" w:ascii="仿宋_GB2312" w:hAnsi="Calibri" w:eastAsia="仿宋_GB2312" w:cs="Calibri"/>
          <w:b/>
          <w:bCs/>
          <w:sz w:val="32"/>
          <w:szCs w:val="32"/>
          <w:lang w:val="en-US" w:eastAsia="zh-CN"/>
        </w:rPr>
        <w:t>2024年</w:t>
      </w:r>
      <w:r>
        <w:rPr>
          <w:rFonts w:hint="eastAsia" w:ascii="仿宋_GB2312" w:eastAsia="仿宋_GB2312" w:cs="Calibri"/>
          <w:b/>
          <w:bCs/>
          <w:sz w:val="32"/>
          <w:szCs w:val="32"/>
          <w:lang w:val="en-US" w:eastAsia="zh-CN"/>
        </w:rPr>
        <w:t>政策</w:t>
      </w:r>
      <w:r>
        <w:rPr>
          <w:rFonts w:hint="eastAsia" w:ascii="仿宋_GB2312" w:hAnsi="Calibri" w:eastAsia="仿宋_GB2312" w:cs="Calibri"/>
          <w:b/>
          <w:bCs/>
          <w:sz w:val="32"/>
          <w:szCs w:val="32"/>
          <w:lang w:eastAsia="zh-CN"/>
        </w:rPr>
        <w:t>）</w:t>
      </w:r>
      <w:r>
        <w:rPr>
          <w:rFonts w:hint="eastAsia" w:ascii="仿宋_GB2312" w:hAnsi="Calibri" w:eastAsia="仿宋_GB2312" w:cs="Calibri"/>
          <w:sz w:val="32"/>
          <w:szCs w:val="32"/>
          <w:lang w:eastAsia="zh-CN"/>
        </w:rPr>
        <w:t>。鼓励市场、协会</w:t>
      </w:r>
      <w:r>
        <w:rPr>
          <w:rFonts w:hint="eastAsia" w:ascii="仿宋_GB2312" w:hAnsi="仿宋_GB2312" w:eastAsia="仿宋_GB2312" w:cs="仿宋_GB2312"/>
          <w:sz w:val="32"/>
          <w:szCs w:val="32"/>
          <w:lang w:eastAsia="zh-CN"/>
        </w:rPr>
        <w:t>创新举办</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eastAsia="zh-CN"/>
        </w:rPr>
        <w:t>（东阳）</w:t>
      </w:r>
      <w:r>
        <w:rPr>
          <w:rFonts w:hint="eastAsia" w:ascii="仿宋_GB2312" w:hAnsi="仿宋_GB2312" w:eastAsia="仿宋_GB2312" w:cs="仿宋_GB2312"/>
          <w:sz w:val="32"/>
          <w:szCs w:val="32"/>
        </w:rPr>
        <w:t>木雕竹编工艺美术博览会</w:t>
      </w:r>
      <w:r>
        <w:rPr>
          <w:rFonts w:hint="eastAsia" w:ascii="仿宋_GB2312" w:hAnsi="仿宋_GB2312" w:eastAsia="仿宋_GB2312" w:cs="仿宋_GB2312"/>
          <w:sz w:val="32"/>
          <w:szCs w:val="32"/>
          <w:lang w:eastAsia="zh-CN"/>
        </w:rPr>
        <w:t>、中国红木家具展览会等活动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Calibri"/>
          <w:kern w:val="2"/>
          <w:sz w:val="32"/>
          <w:szCs w:val="32"/>
          <w:lang w:val="en-US" w:eastAsia="zh-CN" w:bidi="ar-SA"/>
        </w:rPr>
      </w:pPr>
      <w:bookmarkStart w:id="22" w:name="OLE_LINK19"/>
      <w:r>
        <w:rPr>
          <w:rFonts w:hint="eastAsia" w:ascii="仿宋_GB2312" w:hAnsi="仿宋_GB2312" w:eastAsia="仿宋_GB2312" w:cs="仿宋_GB2312"/>
          <w:b/>
          <w:bCs/>
          <w:color w:val="C00000"/>
          <w:sz w:val="32"/>
          <w:szCs w:val="32"/>
          <w:lang w:val="en-US" w:eastAsia="zh-CN"/>
        </w:rPr>
        <w:t>20.</w:t>
      </w:r>
      <w:bookmarkEnd w:id="22"/>
      <w:r>
        <w:rPr>
          <w:rFonts w:hint="eastAsia" w:ascii="仿宋_GB2312" w:hAnsi="仿宋_GB2312" w:eastAsia="仿宋_GB2312" w:cs="仿宋_GB2312"/>
          <w:b/>
          <w:bCs/>
          <w:color w:val="auto"/>
          <w:sz w:val="32"/>
          <w:szCs w:val="32"/>
          <w:lang w:val="en-US" w:eastAsia="zh-CN"/>
        </w:rPr>
        <w:t>鼓励拓宽销售渠道。</w:t>
      </w:r>
      <w:r>
        <w:rPr>
          <w:rFonts w:hint="default" w:ascii="Times New Roman" w:hAnsi="Times New Roman" w:eastAsia="仿宋_GB2312" w:cs="Times New Roman"/>
          <w:b w:val="0"/>
          <w:bCs w:val="0"/>
          <w:sz w:val="32"/>
          <w:szCs w:val="32"/>
          <w:lang w:val="en-US" w:eastAsia="zh-CN"/>
        </w:rPr>
        <w:t>结合AI科技等新技术领域，</w:t>
      </w:r>
      <w:r>
        <w:rPr>
          <w:rFonts w:hint="eastAsia" w:ascii="Times New Roman" w:hAnsi="Times New Roman" w:eastAsia="仿宋_GB2312" w:cs="Times New Roman"/>
          <w:b w:val="0"/>
          <w:bCs w:val="0"/>
          <w:sz w:val="32"/>
          <w:szCs w:val="32"/>
          <w:lang w:val="en-US" w:eastAsia="zh-CN"/>
        </w:rPr>
        <w:t>谋划</w:t>
      </w:r>
      <w:r>
        <w:rPr>
          <w:rFonts w:hint="default" w:ascii="Times New Roman" w:hAnsi="Times New Roman" w:eastAsia="仿宋_GB2312" w:cs="Times New Roman"/>
          <w:b w:val="0"/>
          <w:bCs w:val="0"/>
          <w:sz w:val="32"/>
          <w:szCs w:val="32"/>
          <w:lang w:val="en-US" w:eastAsia="zh-CN"/>
        </w:rPr>
        <w:t>电商转型规划，</w:t>
      </w:r>
      <w:r>
        <w:rPr>
          <w:rFonts w:hint="default" w:ascii="Times New Roman" w:hAnsi="Times New Roman" w:eastAsia="仿宋_GB2312" w:cs="Times New Roman"/>
          <w:sz w:val="32"/>
          <w:szCs w:val="32"/>
          <w:lang w:val="en-US" w:eastAsia="zh-CN"/>
        </w:rPr>
        <w:t>推动企业线上转型。</w:t>
      </w:r>
      <w:r>
        <w:rPr>
          <w:rFonts w:hint="eastAsia"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lang w:val="en-US" w:eastAsia="zh-CN"/>
        </w:rPr>
        <w:t>电商产业园规划与政策</w:t>
      </w:r>
      <w:r>
        <w:rPr>
          <w:rFonts w:hint="eastAsia" w:ascii="Times New Roman" w:hAnsi="Times New Roman" w:eastAsia="仿宋_GB2312" w:cs="Times New Roman"/>
          <w:sz w:val="32"/>
          <w:szCs w:val="32"/>
          <w:lang w:val="en-US" w:eastAsia="zh-CN"/>
        </w:rPr>
        <w:t>扶持</w:t>
      </w:r>
      <w:r>
        <w:rPr>
          <w:rFonts w:hint="default" w:ascii="Times New Roman" w:hAnsi="Times New Roman" w:eastAsia="仿宋_GB2312" w:cs="Times New Roman"/>
          <w:sz w:val="32"/>
          <w:szCs w:val="32"/>
          <w:lang w:val="en-US" w:eastAsia="zh-CN"/>
        </w:rPr>
        <w:t>，引导木雕产业跨境电商规模化、集群化发展。加强文旅营销，增加旅游专线等定制文旅增值服务，鼓励企业设立文旅体验平台，促进产业跨界融合，实现产业引流。</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（六）进一步优化产业发展环境</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21.</w:t>
      </w:r>
      <w:r>
        <w:rPr>
          <w:rFonts w:hint="default" w:ascii="仿宋_GB2312" w:hAnsi="仿宋_GB2312" w:eastAsia="仿宋_GB2312" w:cs="仿宋_GB2312"/>
          <w:b/>
          <w:bCs/>
          <w:color w:val="auto"/>
          <w:kern w:val="0"/>
          <w:sz w:val="32"/>
          <w:szCs w:val="32"/>
          <w:lang w:val="en-US" w:eastAsia="zh-CN" w:bidi="ar-SA"/>
        </w:rPr>
        <w:t>践行</w:t>
      </w:r>
      <w:r>
        <w:rPr>
          <w:rFonts w:hint="eastAsia" w:ascii="仿宋_GB2312" w:hAnsi="仿宋_GB2312" w:eastAsia="仿宋_GB2312" w:cs="仿宋_GB2312"/>
          <w:b/>
          <w:bCs/>
          <w:color w:val="auto"/>
          <w:kern w:val="0"/>
          <w:sz w:val="32"/>
          <w:szCs w:val="32"/>
          <w:lang w:val="en-US" w:eastAsia="zh-CN" w:bidi="ar-SA"/>
        </w:rPr>
        <w:t>安全</w:t>
      </w:r>
      <w:r>
        <w:rPr>
          <w:rFonts w:hint="default" w:ascii="仿宋_GB2312" w:hAnsi="仿宋_GB2312" w:eastAsia="仿宋_GB2312" w:cs="仿宋_GB2312"/>
          <w:b/>
          <w:bCs/>
          <w:color w:val="auto"/>
          <w:kern w:val="0"/>
          <w:sz w:val="32"/>
          <w:szCs w:val="32"/>
          <w:lang w:val="en-US" w:eastAsia="zh-CN" w:bidi="ar-SA"/>
        </w:rPr>
        <w:t>绿色发展理念</w:t>
      </w:r>
      <w:r>
        <w:rPr>
          <w:rFonts w:hint="eastAsia" w:ascii="仿宋_GB2312" w:hAnsi="仿宋_GB2312" w:eastAsia="仿宋_GB2312" w:cs="仿宋_GB2312"/>
          <w:b/>
          <w:bCs/>
          <w:color w:val="auto"/>
          <w:kern w:val="0"/>
          <w:sz w:val="32"/>
          <w:szCs w:val="32"/>
          <w:lang w:val="en-US" w:eastAsia="zh-CN" w:bidi="ar-SA"/>
        </w:rPr>
        <w:t>。</w:t>
      </w:r>
      <w:r>
        <w:rPr>
          <w:rFonts w:hint="default" w:ascii="Times New Roman" w:hAnsi="Times New Roman" w:eastAsia="仿宋_GB2312" w:cs="Times New Roman"/>
          <w:b w:val="0"/>
          <w:bCs w:val="0"/>
          <w:kern w:val="0"/>
          <w:sz w:val="32"/>
          <w:szCs w:val="32"/>
        </w:rPr>
        <w:t>持续推动木雕红木和竹工艺产业环保整治</w:t>
      </w:r>
      <w:r>
        <w:rPr>
          <w:rFonts w:hint="default" w:ascii="Times New Roman" w:hAnsi="Times New Roman" w:eastAsia="仿宋_GB2312" w:cs="Times New Roman"/>
          <w:b w:val="0"/>
          <w:bCs w:val="0"/>
          <w:kern w:val="0"/>
          <w:sz w:val="32"/>
          <w:szCs w:val="32"/>
          <w:lang w:eastAsia="zh-CN"/>
        </w:rPr>
        <w:t>、安全生产整治</w:t>
      </w:r>
      <w:r>
        <w:rPr>
          <w:rFonts w:hint="default" w:ascii="Times New Roman" w:hAnsi="Times New Roman" w:eastAsia="仿宋_GB2312" w:cs="Times New Roman"/>
          <w:b w:val="0"/>
          <w:bCs w:val="0"/>
          <w:kern w:val="0"/>
          <w:sz w:val="32"/>
          <w:szCs w:val="32"/>
        </w:rPr>
        <w:t>工作，</w:t>
      </w:r>
      <w:r>
        <w:rPr>
          <w:rFonts w:hint="eastAsia" w:ascii="Times New Roman" w:hAnsi="Times New Roman" w:eastAsia="仿宋_GB2312" w:cs="Times New Roman"/>
          <w:b w:val="0"/>
          <w:bCs w:val="0"/>
          <w:kern w:val="0"/>
          <w:sz w:val="32"/>
          <w:szCs w:val="32"/>
          <w:lang w:eastAsia="zh-CN"/>
        </w:rPr>
        <w:t>鼓励企业实施“</w:t>
      </w:r>
      <w:r>
        <w:rPr>
          <w:rFonts w:hint="default" w:ascii="Times New Roman" w:hAnsi="Times New Roman" w:eastAsia="仿宋_GB2312" w:cs="Times New Roman"/>
          <w:b w:val="0"/>
          <w:bCs w:val="0"/>
          <w:kern w:val="0"/>
          <w:sz w:val="32"/>
          <w:szCs w:val="32"/>
        </w:rPr>
        <w:t>油改水</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源头替代、废气治理设施改造提升、环保智慧监管设备安装</w:t>
      </w:r>
      <w:r>
        <w:rPr>
          <w:rFonts w:hint="default" w:ascii="Times New Roman" w:hAnsi="Times New Roman" w:eastAsia="仿宋_GB2312" w:cs="Times New Roman"/>
          <w:b w:val="0"/>
          <w:bCs w:val="0"/>
          <w:kern w:val="0"/>
          <w:sz w:val="32"/>
          <w:szCs w:val="32"/>
          <w:lang w:eastAsia="zh-CN"/>
        </w:rPr>
        <w:t>运行</w:t>
      </w:r>
      <w:r>
        <w:rPr>
          <w:rFonts w:hint="default" w:ascii="Times New Roman" w:hAnsi="Times New Roman" w:eastAsia="仿宋_GB2312" w:cs="Times New Roman"/>
          <w:b w:val="0"/>
          <w:bCs w:val="0"/>
          <w:kern w:val="0"/>
          <w:sz w:val="32"/>
          <w:szCs w:val="32"/>
        </w:rPr>
        <w:t>等</w:t>
      </w:r>
      <w:r>
        <w:rPr>
          <w:rFonts w:hint="default" w:ascii="Times New Roman" w:hAnsi="Times New Roman" w:eastAsia="仿宋_GB2312" w:cs="Times New Roman"/>
          <w:b w:val="0"/>
          <w:bCs w:val="0"/>
          <w:kern w:val="0"/>
          <w:sz w:val="32"/>
          <w:szCs w:val="32"/>
          <w:lang w:eastAsia="zh-CN"/>
        </w:rPr>
        <w:t>绿色发展</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kern w:val="0"/>
          <w:sz w:val="32"/>
          <w:szCs w:val="32"/>
        </w:rPr>
        <w:t>引导企业牢固树立“质量、环保、安全、健康”的发展理念，确保</w:t>
      </w:r>
      <w:r>
        <w:rPr>
          <w:rFonts w:hint="default" w:ascii="Times New Roman" w:hAnsi="Times New Roman" w:eastAsia="仿宋_GB2312" w:cs="Times New Roman"/>
          <w:b w:val="0"/>
          <w:bCs/>
          <w:kern w:val="0"/>
          <w:sz w:val="32"/>
          <w:szCs w:val="32"/>
          <w:lang w:eastAsia="zh-CN"/>
        </w:rPr>
        <w:t>产业</w:t>
      </w:r>
      <w:r>
        <w:rPr>
          <w:rFonts w:hint="default" w:ascii="Times New Roman" w:hAnsi="Times New Roman" w:eastAsia="仿宋_GB2312" w:cs="Times New Roman"/>
          <w:b w:val="0"/>
          <w:bCs/>
          <w:kern w:val="0"/>
          <w:sz w:val="32"/>
          <w:szCs w:val="32"/>
        </w:rPr>
        <w:t>发展更加健康有序，形成绿色可持续发展的“东阳模式”。</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Times New Roman" w:hAnsi="Times New Roman" w:eastAsia="仿宋_GB2312" w:cs="Times New Roman"/>
          <w:b w:val="0"/>
          <w:bCs w:val="0"/>
          <w:kern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22.</w:t>
      </w:r>
      <w:r>
        <w:rPr>
          <w:rFonts w:hint="eastAsia" w:ascii="仿宋_GB2312" w:hAnsi="仿宋_GB2312" w:eastAsia="仿宋_GB2312" w:cs="仿宋_GB2312"/>
          <w:b/>
          <w:bCs/>
          <w:color w:val="auto"/>
          <w:sz w:val="32"/>
          <w:szCs w:val="32"/>
          <w:lang w:val="en-US" w:eastAsia="zh-CN"/>
        </w:rPr>
        <w:t>加强行业诚信建设。</w:t>
      </w:r>
      <w:r>
        <w:rPr>
          <w:rFonts w:hint="eastAsia" w:ascii="仿宋_GB2312" w:hAnsi="仿宋_GB2312" w:eastAsia="仿宋_GB2312" w:cs="仿宋_GB2312"/>
          <w:b w:val="0"/>
          <w:bCs w:val="0"/>
          <w:color w:val="auto"/>
          <w:sz w:val="32"/>
          <w:szCs w:val="32"/>
          <w:lang w:val="en-US" w:eastAsia="zh-CN"/>
        </w:rPr>
        <w:t>加强行业质量监管和诚信建设，督促</w:t>
      </w:r>
      <w:r>
        <w:rPr>
          <w:rFonts w:hint="eastAsia" w:ascii="Times New Roman" w:hAnsi="Times New Roman" w:eastAsia="仿宋_GB2312" w:cs="Times New Roman"/>
          <w:b w:val="0"/>
          <w:bCs w:val="0"/>
          <w:kern w:val="0"/>
          <w:sz w:val="32"/>
          <w:szCs w:val="32"/>
          <w:lang w:val="en-US" w:eastAsia="zh-CN"/>
        </w:rPr>
        <w:t>家具市场、企业展厅销售的家具规范使用“一证一书一卡”（产品合格证、产品使用说明书、红木家具产品质量明示卡）和销售标签，确保产品标识标注和明码标价内容符合法律、法规及质量标准规定，营造放心舒心的消费环境。</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黑体" w:hAnsi="黑体" w:eastAsia="黑体" w:cs="黑体"/>
          <w:b w:val="0"/>
          <w:bCs w:val="0"/>
          <w:sz w:val="32"/>
          <w:szCs w:val="32"/>
          <w:lang w:val="en-US" w:eastAsia="zh-CN"/>
        </w:rPr>
      </w:pPr>
      <w:r>
        <w:rPr>
          <w:rFonts w:hint="eastAsia" w:ascii="Times New Roman" w:hAnsi="Times New Roman" w:eastAsia="仿宋_GB2312" w:cs="Times New Roman"/>
          <w:b/>
          <w:bCs/>
          <w:kern w:val="0"/>
          <w:sz w:val="32"/>
          <w:szCs w:val="32"/>
          <w:lang w:val="en-US" w:eastAsia="zh-CN"/>
        </w:rPr>
        <w:t>23.进一步发挥行业协会作用。</w:t>
      </w:r>
      <w:r>
        <w:rPr>
          <w:rFonts w:hint="eastAsia" w:ascii="Times New Roman" w:hAnsi="Times New Roman" w:eastAsia="仿宋_GB2312" w:cs="Times New Roman"/>
          <w:b w:val="0"/>
          <w:bCs w:val="0"/>
          <w:kern w:val="0"/>
          <w:sz w:val="32"/>
          <w:szCs w:val="32"/>
          <w:lang w:val="en-US" w:eastAsia="zh-CN"/>
        </w:rPr>
        <w:t>市工艺美术行业协会、红木家具行业协会要在加强党建引领、激发协会活力，培育会员成长、推进政企交流，参与标准宣贯与制定、打造行业品牌，融入政府活动、提升行业影响等方面进一步发挥作用。加强木材贸易企业、家具制造企业、周边文创产品企业、销售市场等全产业链各环节企业间的交流，推动全产业链全面协同发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eastAsia="仿宋_GB2312"/>
          <w:snapToGrid w:val="0"/>
          <w:kern w:val="0"/>
          <w:sz w:val="32"/>
          <w:szCs w:val="32"/>
        </w:rPr>
      </w:pPr>
      <w:r>
        <w:rPr>
          <w:rFonts w:hint="eastAsia" w:ascii="黑体" w:hAnsi="黑体" w:eastAsia="黑体" w:cs="黑体"/>
          <w:b w:val="0"/>
          <w:bCs w:val="0"/>
          <w:sz w:val="32"/>
          <w:szCs w:val="32"/>
          <w:lang w:val="en-US" w:eastAsia="zh-CN"/>
        </w:rPr>
        <w:t>三、</w:t>
      </w:r>
      <w:r>
        <w:rPr>
          <w:rFonts w:hint="eastAsia" w:eastAsia="黑体"/>
          <w:snapToGrid w:val="0"/>
          <w:kern w:val="0"/>
          <w:sz w:val="32"/>
          <w:szCs w:val="32"/>
        </w:rPr>
        <w:t>附则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eastAsia="仿宋_GB2312"/>
          <w:b w:val="0"/>
          <w:bCs/>
          <w:snapToGrid w:val="0"/>
          <w:kern w:val="0"/>
          <w:sz w:val="32"/>
          <w:szCs w:val="32"/>
        </w:rPr>
      </w:pPr>
      <w:r>
        <w:rPr>
          <w:rFonts w:hint="eastAsia" w:eastAsia="仿宋_GB2312"/>
          <w:b w:val="0"/>
          <w:bCs/>
          <w:snapToGrid w:val="0"/>
          <w:kern w:val="0"/>
          <w:sz w:val="32"/>
          <w:szCs w:val="32"/>
        </w:rPr>
        <w:t>（一）本意见中对企业的各项奖励补助，资金来源为财</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eastAsia="仿宋_GB2312"/>
          <w:b w:val="0"/>
          <w:bCs/>
          <w:snapToGrid w:val="0"/>
          <w:color w:val="C00000"/>
          <w:kern w:val="0"/>
          <w:sz w:val="32"/>
          <w:szCs w:val="32"/>
          <w:lang w:val="en-US" w:eastAsia="zh-CN"/>
        </w:rPr>
      </w:pPr>
      <w:r>
        <w:rPr>
          <w:rFonts w:hint="eastAsia" w:eastAsia="仿宋_GB2312"/>
          <w:b w:val="0"/>
          <w:bCs/>
          <w:snapToGrid w:val="0"/>
          <w:kern w:val="0"/>
          <w:sz w:val="32"/>
          <w:szCs w:val="32"/>
        </w:rPr>
        <w:t>政安排的年度政府预算资金</w:t>
      </w:r>
      <w:r>
        <w:rPr>
          <w:rFonts w:hint="eastAsia" w:eastAsia="仿宋_GB2312"/>
          <w:b w:val="0"/>
          <w:bCs/>
          <w:snapToGrid w:val="0"/>
          <w:kern w:val="0"/>
          <w:sz w:val="32"/>
          <w:szCs w:val="32"/>
          <w:lang w:eastAsia="zh-CN"/>
        </w:rPr>
        <w:t>。对列入失信黑名单、发生重大安全生产、重大环境责任事故和重大</w:t>
      </w:r>
      <w:r>
        <w:rPr>
          <w:rFonts w:hint="eastAsia" w:eastAsia="仿宋_GB2312"/>
          <w:b w:val="0"/>
          <w:bCs/>
          <w:snapToGrid w:val="0"/>
          <w:kern w:val="0"/>
          <w:sz w:val="32"/>
          <w:szCs w:val="32"/>
          <w:lang w:val="en-US" w:eastAsia="zh-CN"/>
        </w:rPr>
        <w:t>群体性劳资纠纷事件、涉及偷税侵权行为的，能否享受该政策，按照《浙江省公共信用信息管理条例》的规定执行。本政策奖励按照企业的自然年数据作为奖励依据。</w:t>
      </w:r>
      <w:r>
        <w:rPr>
          <w:rFonts w:hint="eastAsia" w:eastAsia="仿宋_GB2312"/>
          <w:b w:val="0"/>
          <w:bCs/>
          <w:snapToGrid w:val="0"/>
          <w:color w:val="C00000"/>
          <w:kern w:val="0"/>
          <w:sz w:val="32"/>
          <w:szCs w:val="32"/>
          <w:lang w:val="en-US" w:eastAsia="zh-CN"/>
        </w:rPr>
        <w:t>本意见适用于我市木雕、竹编、木制品等企业。</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eastAsia="仿宋_GB2312"/>
          <w:b w:val="0"/>
          <w:bCs/>
          <w:snapToGrid w:val="0"/>
          <w:kern w:val="0"/>
          <w:sz w:val="32"/>
          <w:szCs w:val="32"/>
          <w:lang w:eastAsia="zh-CN"/>
        </w:rPr>
      </w:pPr>
      <w:r>
        <w:rPr>
          <w:rFonts w:hint="eastAsia" w:eastAsia="仿宋_GB2312"/>
          <w:b w:val="0"/>
          <w:bCs/>
          <w:snapToGrid w:val="0"/>
          <w:kern w:val="0"/>
          <w:sz w:val="32"/>
          <w:szCs w:val="32"/>
          <w:lang w:val="en-US" w:eastAsia="zh-CN"/>
        </w:rPr>
        <w:t>（二）本</w:t>
      </w:r>
      <w:r>
        <w:rPr>
          <w:rFonts w:hint="eastAsia" w:eastAsia="仿宋_GB2312"/>
          <w:snapToGrid w:val="0"/>
          <w:kern w:val="0"/>
          <w:sz w:val="32"/>
          <w:szCs w:val="32"/>
        </w:rPr>
        <w:t>意见中与市委、市政府其它</w:t>
      </w:r>
      <w:r>
        <w:rPr>
          <w:rFonts w:hint="eastAsia" w:eastAsia="仿宋_GB2312"/>
          <w:snapToGrid w:val="0"/>
          <w:kern w:val="0"/>
          <w:sz w:val="32"/>
          <w:szCs w:val="32"/>
          <w:lang w:eastAsia="zh-CN"/>
        </w:rPr>
        <w:t>相关</w:t>
      </w:r>
      <w:r>
        <w:rPr>
          <w:rFonts w:hint="eastAsia" w:eastAsia="仿宋_GB2312"/>
          <w:snapToGrid w:val="0"/>
          <w:kern w:val="0"/>
          <w:sz w:val="32"/>
          <w:szCs w:val="32"/>
        </w:rPr>
        <w:t>政策有</w:t>
      </w:r>
      <w:r>
        <w:rPr>
          <w:rFonts w:hint="eastAsia" w:eastAsia="仿宋_GB2312"/>
          <w:snapToGrid w:val="0"/>
          <w:kern w:val="0"/>
          <w:sz w:val="32"/>
          <w:szCs w:val="32"/>
          <w:lang w:eastAsia="zh-CN"/>
        </w:rPr>
        <w:t>不一致的，以本意见为准，国家和省市另有规定的，遵照上级政策执行；</w:t>
      </w:r>
      <w:r>
        <w:rPr>
          <w:rFonts w:hint="eastAsia" w:eastAsia="仿宋_GB2312"/>
          <w:snapToGrid w:val="0"/>
          <w:kern w:val="0"/>
          <w:sz w:val="32"/>
          <w:szCs w:val="32"/>
        </w:rPr>
        <w:t>本意见中与市委、市政府其它政策</w:t>
      </w:r>
      <w:r>
        <w:rPr>
          <w:rFonts w:hint="eastAsia" w:eastAsia="仿宋_GB2312"/>
          <w:snapToGrid w:val="0"/>
          <w:kern w:val="0"/>
          <w:sz w:val="32"/>
          <w:szCs w:val="32"/>
          <w:lang w:eastAsia="zh-CN"/>
        </w:rPr>
        <w:t>有</w:t>
      </w:r>
      <w:r>
        <w:rPr>
          <w:rFonts w:hint="eastAsia" w:eastAsia="仿宋_GB2312"/>
          <w:snapToGrid w:val="0"/>
          <w:kern w:val="0"/>
          <w:sz w:val="32"/>
          <w:szCs w:val="32"/>
        </w:rPr>
        <w:t>类同的奖项、补</w:t>
      </w:r>
      <w:r>
        <w:rPr>
          <w:rFonts w:hint="eastAsia" w:eastAsia="仿宋_GB2312"/>
          <w:b w:val="0"/>
          <w:bCs/>
          <w:snapToGrid w:val="0"/>
          <w:kern w:val="0"/>
          <w:sz w:val="32"/>
          <w:szCs w:val="32"/>
        </w:rPr>
        <w:t>助按就高不就低原则确定，不重复享受</w:t>
      </w:r>
      <w:r>
        <w:rPr>
          <w:rFonts w:hint="eastAsia" w:eastAsia="仿宋_GB2312"/>
          <w:snapToGrid w:val="0"/>
          <w:kern w:val="0"/>
          <w:sz w:val="32"/>
          <w:szCs w:val="32"/>
          <w:lang w:eastAsia="zh-CN"/>
        </w:rPr>
        <w:t>。除本办法规定的奖励政策之外，</w:t>
      </w:r>
      <w:r>
        <w:rPr>
          <w:rFonts w:hint="eastAsia" w:eastAsia="仿宋_GB2312"/>
          <w:b w:val="0"/>
          <w:bCs/>
          <w:snapToGrid w:val="0"/>
          <w:kern w:val="0"/>
          <w:sz w:val="32"/>
          <w:szCs w:val="32"/>
          <w:lang w:eastAsia="zh-CN"/>
        </w:rPr>
        <w:t>木雕红木企业同时可择优享受工业企业的其它奖励政策。</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eastAsia="仿宋_GB2312"/>
          <w:b w:val="0"/>
          <w:bCs/>
          <w:snapToGrid w:val="0"/>
          <w:kern w:val="0"/>
          <w:sz w:val="32"/>
          <w:szCs w:val="32"/>
        </w:rPr>
        <w:t>（</w:t>
      </w:r>
      <w:r>
        <w:rPr>
          <w:rFonts w:hint="eastAsia" w:eastAsia="仿宋_GB2312"/>
          <w:b w:val="0"/>
          <w:bCs/>
          <w:snapToGrid w:val="0"/>
          <w:kern w:val="0"/>
          <w:sz w:val="32"/>
          <w:szCs w:val="32"/>
          <w:lang w:eastAsia="zh-CN"/>
        </w:rPr>
        <w:t>三</w:t>
      </w:r>
      <w:r>
        <w:rPr>
          <w:rFonts w:hint="eastAsia" w:eastAsia="仿宋_GB2312"/>
          <w:b w:val="0"/>
          <w:bCs/>
          <w:snapToGrid w:val="0"/>
          <w:kern w:val="0"/>
          <w:sz w:val="32"/>
          <w:szCs w:val="32"/>
        </w:rPr>
        <w:t>）</w:t>
      </w:r>
      <w:r>
        <w:rPr>
          <w:rFonts w:hint="eastAsia" w:ascii="仿宋_GB2312" w:hAnsi="仿宋_GB2312" w:eastAsia="仿宋_GB2312" w:cs="仿宋_GB2312"/>
          <w:b w:val="0"/>
          <w:bCs/>
          <w:snapToGrid w:val="0"/>
          <w:kern w:val="0"/>
          <w:sz w:val="32"/>
          <w:szCs w:val="32"/>
        </w:rPr>
        <w:t>本意见自20</w:t>
      </w:r>
      <w:r>
        <w:rPr>
          <w:rFonts w:hint="eastAsia" w:ascii="仿宋_GB2312" w:hAnsi="仿宋_GB2312" w:eastAsia="仿宋_GB2312" w:cs="仿宋_GB2312"/>
          <w:b w:val="0"/>
          <w:bCs/>
          <w:snapToGrid w:val="0"/>
          <w:kern w:val="0"/>
          <w:sz w:val="32"/>
          <w:szCs w:val="32"/>
          <w:lang w:val="en-US" w:eastAsia="zh-CN"/>
        </w:rPr>
        <w:t>25</w:t>
      </w:r>
      <w:r>
        <w:rPr>
          <w:rFonts w:hint="eastAsia" w:ascii="仿宋_GB2312" w:hAnsi="仿宋_GB2312" w:eastAsia="仿宋_GB2312" w:cs="仿宋_GB2312"/>
          <w:b w:val="0"/>
          <w:bCs/>
          <w:snapToGrid w:val="0"/>
          <w:kern w:val="0"/>
          <w:sz w:val="32"/>
          <w:szCs w:val="32"/>
        </w:rPr>
        <w:t xml:space="preserve"> 年</w:t>
      </w:r>
      <w:r>
        <w:rPr>
          <w:rFonts w:hint="eastAsia" w:ascii="仿宋_GB2312" w:hAnsi="仿宋_GB2312" w:eastAsia="仿宋_GB2312" w:cs="仿宋_GB2312"/>
          <w:b w:val="0"/>
          <w:bCs/>
          <w:snapToGrid w:val="0"/>
          <w:kern w:val="0"/>
          <w:sz w:val="32"/>
          <w:szCs w:val="32"/>
          <w:lang w:val="en-US" w:eastAsia="zh-CN"/>
        </w:rPr>
        <w:t xml:space="preserve">  </w:t>
      </w:r>
      <w:r>
        <w:rPr>
          <w:rFonts w:hint="eastAsia" w:ascii="仿宋_GB2312" w:hAnsi="仿宋_GB2312" w:eastAsia="仿宋_GB2312" w:cs="仿宋_GB2312"/>
          <w:b w:val="0"/>
          <w:bCs/>
          <w:snapToGrid w:val="0"/>
          <w:kern w:val="0"/>
          <w:sz w:val="32"/>
          <w:szCs w:val="32"/>
        </w:rPr>
        <w:t>月</w:t>
      </w:r>
      <w:r>
        <w:rPr>
          <w:rFonts w:hint="eastAsia" w:ascii="仿宋_GB2312" w:hAnsi="仿宋_GB2312" w:eastAsia="仿宋_GB2312" w:cs="仿宋_GB2312"/>
          <w:b w:val="0"/>
          <w:bCs/>
          <w:snapToGrid w:val="0"/>
          <w:kern w:val="0"/>
          <w:sz w:val="32"/>
          <w:szCs w:val="32"/>
          <w:lang w:val="en-US" w:eastAsia="zh-CN"/>
        </w:rPr>
        <w:t xml:space="preserve">  </w:t>
      </w:r>
      <w:r>
        <w:rPr>
          <w:rFonts w:hint="eastAsia" w:ascii="仿宋_GB2312" w:hAnsi="仿宋_GB2312" w:eastAsia="仿宋_GB2312" w:cs="仿宋_GB2312"/>
          <w:b w:val="0"/>
          <w:bCs/>
          <w:snapToGrid w:val="0"/>
          <w:kern w:val="0"/>
          <w:sz w:val="32"/>
          <w:szCs w:val="32"/>
        </w:rPr>
        <w:t>日起试行，</w:t>
      </w:r>
      <w:r>
        <w:rPr>
          <w:rFonts w:hint="eastAsia" w:ascii="仿宋_GB2312" w:hAnsi="仿宋_GB2312" w:eastAsia="仿宋_GB2312" w:cs="仿宋_GB2312"/>
          <w:b w:val="0"/>
          <w:bCs/>
          <w:snapToGrid w:val="0"/>
          <w:kern w:val="0"/>
          <w:sz w:val="32"/>
          <w:szCs w:val="32"/>
          <w:lang w:eastAsia="zh-CN"/>
        </w:rPr>
        <w:t>有效</w:t>
      </w:r>
      <w:r>
        <w:rPr>
          <w:rFonts w:hint="eastAsia" w:ascii="仿宋_GB2312" w:hAnsi="仿宋_GB2312" w:eastAsia="仿宋_GB2312" w:cs="仿宋_GB2312"/>
          <w:b w:val="0"/>
          <w:bCs/>
          <w:snapToGrid w:val="0"/>
          <w:kern w:val="0"/>
          <w:sz w:val="32"/>
          <w:szCs w:val="32"/>
        </w:rPr>
        <w:t>期至20</w:t>
      </w:r>
      <w:r>
        <w:rPr>
          <w:rFonts w:hint="eastAsia" w:ascii="仿宋_GB2312" w:hAnsi="仿宋_GB2312" w:eastAsia="仿宋_GB2312" w:cs="仿宋_GB2312"/>
          <w:b w:val="0"/>
          <w:bCs/>
          <w:snapToGrid w:val="0"/>
          <w:kern w:val="0"/>
          <w:sz w:val="32"/>
          <w:szCs w:val="32"/>
          <w:lang w:val="en-US" w:eastAsia="zh-CN"/>
        </w:rPr>
        <w:t>27</w:t>
      </w:r>
      <w:r>
        <w:rPr>
          <w:rFonts w:hint="eastAsia" w:ascii="仿宋_GB2312" w:hAnsi="仿宋_GB2312" w:eastAsia="仿宋_GB2312" w:cs="仿宋_GB2312"/>
          <w:b w:val="0"/>
          <w:bCs/>
          <w:snapToGrid w:val="0"/>
          <w:kern w:val="0"/>
          <w:sz w:val="32"/>
          <w:szCs w:val="32"/>
        </w:rPr>
        <w:t>年12月31日</w:t>
      </w:r>
      <w:r>
        <w:rPr>
          <w:rFonts w:hint="eastAsia" w:ascii="仿宋_GB2312" w:hAnsi="仿宋_GB2312" w:eastAsia="仿宋_GB2312" w:cs="仿宋_GB2312"/>
          <w:b w:val="0"/>
          <w:bCs/>
          <w:snapToGrid w:val="0"/>
          <w:kern w:val="0"/>
          <w:sz w:val="32"/>
          <w:szCs w:val="32"/>
          <w:lang w:eastAsia="zh-CN"/>
        </w:rPr>
        <w:t>止</w:t>
      </w:r>
      <w:r>
        <w:rPr>
          <w:rFonts w:hint="eastAsia" w:ascii="仿宋_GB2312" w:hAnsi="仿宋_GB2312" w:eastAsia="仿宋_GB2312" w:cs="仿宋_GB2312"/>
          <w:b w:val="0"/>
          <w:bCs/>
          <w:snapToGrid w:val="0"/>
          <w:kern w:val="0"/>
          <w:sz w:val="32"/>
          <w:szCs w:val="32"/>
        </w:rPr>
        <w:t>。</w:t>
      </w:r>
      <w:r>
        <w:rPr>
          <w:rFonts w:hint="eastAsia" w:eastAsia="仿宋_GB2312"/>
          <w:b w:val="0"/>
          <w:bCs/>
          <w:snapToGrid w:val="0"/>
          <w:kern w:val="0"/>
          <w:sz w:val="32"/>
          <w:szCs w:val="32"/>
          <w:lang w:val="en-US" w:eastAsia="zh-CN"/>
        </w:rPr>
        <w:t>相关奖励资金由市市场监督管理局会同市财政局核准后拔付。本意见</w:t>
      </w:r>
      <w:r>
        <w:rPr>
          <w:rFonts w:hint="eastAsia" w:ascii="仿宋_GB2312" w:hAnsi="仿宋_GB2312" w:eastAsia="仿宋_GB2312" w:cs="仿宋_GB2312"/>
          <w:b w:val="0"/>
          <w:bCs/>
          <w:snapToGrid w:val="0"/>
          <w:kern w:val="0"/>
          <w:sz w:val="32"/>
          <w:szCs w:val="32"/>
        </w:rPr>
        <w:t>由市</w:t>
      </w:r>
      <w:r>
        <w:rPr>
          <w:rFonts w:hint="eastAsia" w:ascii="仿宋_GB2312" w:hAnsi="仿宋_GB2312" w:eastAsia="仿宋_GB2312" w:cs="仿宋_GB2312"/>
          <w:b w:val="0"/>
          <w:bCs/>
          <w:snapToGrid w:val="0"/>
          <w:kern w:val="0"/>
          <w:sz w:val="32"/>
          <w:szCs w:val="32"/>
          <w:lang w:eastAsia="zh-CN"/>
        </w:rPr>
        <w:t>市场监督管理</w:t>
      </w:r>
      <w:r>
        <w:rPr>
          <w:rFonts w:hint="eastAsia" w:ascii="仿宋_GB2312" w:hAnsi="仿宋_GB2312" w:eastAsia="仿宋_GB2312" w:cs="仿宋_GB2312"/>
          <w:b w:val="0"/>
          <w:bCs/>
          <w:snapToGrid w:val="0"/>
          <w:kern w:val="0"/>
          <w:sz w:val="32"/>
          <w:szCs w:val="32"/>
        </w:rPr>
        <w:t>局</w:t>
      </w:r>
      <w:r>
        <w:rPr>
          <w:rFonts w:hint="eastAsia" w:ascii="仿宋_GB2312" w:hAnsi="仿宋_GB2312" w:eastAsia="仿宋_GB2312" w:cs="仿宋_GB2312"/>
          <w:b w:val="0"/>
          <w:bCs/>
          <w:snapToGrid w:val="0"/>
          <w:kern w:val="0"/>
          <w:sz w:val="32"/>
          <w:szCs w:val="32"/>
          <w:lang w:val="en-US" w:eastAsia="zh-CN"/>
        </w:rPr>
        <w:t>和市财政局负责解释。</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NjJiNWJhZGRkZTFkM2IyZjBiMzBhMmFiYzg0NDAifQ=="/>
  </w:docVars>
  <w:rsids>
    <w:rsidRoot w:val="00172A27"/>
    <w:rsid w:val="001A128C"/>
    <w:rsid w:val="00B3574A"/>
    <w:rsid w:val="00DF00E7"/>
    <w:rsid w:val="00EC7872"/>
    <w:rsid w:val="01883711"/>
    <w:rsid w:val="019F48E1"/>
    <w:rsid w:val="01A532E0"/>
    <w:rsid w:val="01B977C6"/>
    <w:rsid w:val="01DD7C9C"/>
    <w:rsid w:val="01F679B1"/>
    <w:rsid w:val="01FE3350"/>
    <w:rsid w:val="02371360"/>
    <w:rsid w:val="025E7EF2"/>
    <w:rsid w:val="02666DB3"/>
    <w:rsid w:val="02780A9B"/>
    <w:rsid w:val="02AA4AEE"/>
    <w:rsid w:val="02B353FD"/>
    <w:rsid w:val="02CB6715"/>
    <w:rsid w:val="02D45932"/>
    <w:rsid w:val="02EA1AAE"/>
    <w:rsid w:val="03163E1D"/>
    <w:rsid w:val="03324D9A"/>
    <w:rsid w:val="03377BD5"/>
    <w:rsid w:val="03432010"/>
    <w:rsid w:val="03580109"/>
    <w:rsid w:val="03592BB5"/>
    <w:rsid w:val="03843F8C"/>
    <w:rsid w:val="03876FD3"/>
    <w:rsid w:val="03D8775E"/>
    <w:rsid w:val="03D951E0"/>
    <w:rsid w:val="03E9547A"/>
    <w:rsid w:val="03EE6F93"/>
    <w:rsid w:val="041462BE"/>
    <w:rsid w:val="041E2451"/>
    <w:rsid w:val="04C44DDD"/>
    <w:rsid w:val="04E86476"/>
    <w:rsid w:val="04F12429"/>
    <w:rsid w:val="04F879DB"/>
    <w:rsid w:val="05112188"/>
    <w:rsid w:val="052054F7"/>
    <w:rsid w:val="052A0005"/>
    <w:rsid w:val="05603D62"/>
    <w:rsid w:val="05810A13"/>
    <w:rsid w:val="05883C21"/>
    <w:rsid w:val="05A76562"/>
    <w:rsid w:val="05C86C09"/>
    <w:rsid w:val="05CE0B13"/>
    <w:rsid w:val="05D94925"/>
    <w:rsid w:val="06087865"/>
    <w:rsid w:val="061B7F14"/>
    <w:rsid w:val="062C21B1"/>
    <w:rsid w:val="065F13E0"/>
    <w:rsid w:val="06713B9F"/>
    <w:rsid w:val="0687527D"/>
    <w:rsid w:val="06B3627B"/>
    <w:rsid w:val="070E0953"/>
    <w:rsid w:val="071C1AB9"/>
    <w:rsid w:val="07541C13"/>
    <w:rsid w:val="077E62DB"/>
    <w:rsid w:val="0795047E"/>
    <w:rsid w:val="07A8169D"/>
    <w:rsid w:val="0828546F"/>
    <w:rsid w:val="08377C87"/>
    <w:rsid w:val="086D441D"/>
    <w:rsid w:val="08D34DB5"/>
    <w:rsid w:val="08DB569C"/>
    <w:rsid w:val="08EE77B6"/>
    <w:rsid w:val="091B02DB"/>
    <w:rsid w:val="091C7001"/>
    <w:rsid w:val="096B2603"/>
    <w:rsid w:val="098D483B"/>
    <w:rsid w:val="09BD6B8A"/>
    <w:rsid w:val="09C11916"/>
    <w:rsid w:val="09E83DBB"/>
    <w:rsid w:val="0A2C6E3E"/>
    <w:rsid w:val="0A367F2A"/>
    <w:rsid w:val="0A5E46F7"/>
    <w:rsid w:val="0A6A3168"/>
    <w:rsid w:val="0AAD0691"/>
    <w:rsid w:val="0AC40D27"/>
    <w:rsid w:val="0AC843F7"/>
    <w:rsid w:val="0AF92D0E"/>
    <w:rsid w:val="0B4E3A9D"/>
    <w:rsid w:val="0B5F5997"/>
    <w:rsid w:val="0B706468"/>
    <w:rsid w:val="0B7E2F67"/>
    <w:rsid w:val="0B8D03D2"/>
    <w:rsid w:val="0B9C0419"/>
    <w:rsid w:val="0BB0283D"/>
    <w:rsid w:val="0BD33CF6"/>
    <w:rsid w:val="0BDC6B84"/>
    <w:rsid w:val="0BF306E7"/>
    <w:rsid w:val="0C0B3E50"/>
    <w:rsid w:val="0C180F68"/>
    <w:rsid w:val="0C493935"/>
    <w:rsid w:val="0C522046"/>
    <w:rsid w:val="0C655ADA"/>
    <w:rsid w:val="0C686768"/>
    <w:rsid w:val="0C7634FF"/>
    <w:rsid w:val="0CE75DE2"/>
    <w:rsid w:val="0CFA5DF9"/>
    <w:rsid w:val="0D0F23F9"/>
    <w:rsid w:val="0D185287"/>
    <w:rsid w:val="0D3C7A45"/>
    <w:rsid w:val="0D58062B"/>
    <w:rsid w:val="0D887163"/>
    <w:rsid w:val="0D893403"/>
    <w:rsid w:val="0E066951"/>
    <w:rsid w:val="0E0B56A6"/>
    <w:rsid w:val="0E2C1767"/>
    <w:rsid w:val="0E452476"/>
    <w:rsid w:val="0E575C13"/>
    <w:rsid w:val="0E7B0752"/>
    <w:rsid w:val="0E944985"/>
    <w:rsid w:val="0EAD0264"/>
    <w:rsid w:val="0ED308B1"/>
    <w:rsid w:val="0F0550C9"/>
    <w:rsid w:val="0F542633"/>
    <w:rsid w:val="0FAD6545"/>
    <w:rsid w:val="0FE02217"/>
    <w:rsid w:val="0FE77623"/>
    <w:rsid w:val="100106CE"/>
    <w:rsid w:val="10285E8F"/>
    <w:rsid w:val="10774D14"/>
    <w:rsid w:val="10786F12"/>
    <w:rsid w:val="109A425F"/>
    <w:rsid w:val="10B412F6"/>
    <w:rsid w:val="10B81BEC"/>
    <w:rsid w:val="10DF343F"/>
    <w:rsid w:val="10EC6ED1"/>
    <w:rsid w:val="10F47023"/>
    <w:rsid w:val="11063C09"/>
    <w:rsid w:val="11337646"/>
    <w:rsid w:val="1147261D"/>
    <w:rsid w:val="117E09BE"/>
    <w:rsid w:val="118A2253"/>
    <w:rsid w:val="11993E35"/>
    <w:rsid w:val="11B200E4"/>
    <w:rsid w:val="11C314B3"/>
    <w:rsid w:val="11CB4341"/>
    <w:rsid w:val="11DE5560"/>
    <w:rsid w:val="122935A0"/>
    <w:rsid w:val="123A5095"/>
    <w:rsid w:val="125F44E8"/>
    <w:rsid w:val="126D60C9"/>
    <w:rsid w:val="12AA012C"/>
    <w:rsid w:val="12B93245"/>
    <w:rsid w:val="12BA2945"/>
    <w:rsid w:val="12BC0E95"/>
    <w:rsid w:val="12C75A17"/>
    <w:rsid w:val="12D44A81"/>
    <w:rsid w:val="12E23B09"/>
    <w:rsid w:val="136A056A"/>
    <w:rsid w:val="13C90583"/>
    <w:rsid w:val="13E855B5"/>
    <w:rsid w:val="14391521"/>
    <w:rsid w:val="143C110F"/>
    <w:rsid w:val="143F2A51"/>
    <w:rsid w:val="144611D2"/>
    <w:rsid w:val="145651C5"/>
    <w:rsid w:val="14705293"/>
    <w:rsid w:val="149A11E9"/>
    <w:rsid w:val="149A3C7A"/>
    <w:rsid w:val="149D1BE1"/>
    <w:rsid w:val="14D342B9"/>
    <w:rsid w:val="14E013D0"/>
    <w:rsid w:val="154E5444"/>
    <w:rsid w:val="15624E21"/>
    <w:rsid w:val="15907EEF"/>
    <w:rsid w:val="159A53A0"/>
    <w:rsid w:val="15A10189"/>
    <w:rsid w:val="15A1421B"/>
    <w:rsid w:val="15A37511"/>
    <w:rsid w:val="15CB7EF1"/>
    <w:rsid w:val="15D31C5D"/>
    <w:rsid w:val="15F26C8F"/>
    <w:rsid w:val="1613235E"/>
    <w:rsid w:val="16275089"/>
    <w:rsid w:val="165738F2"/>
    <w:rsid w:val="16876C81"/>
    <w:rsid w:val="16F861BD"/>
    <w:rsid w:val="173B7F2B"/>
    <w:rsid w:val="178F0B69"/>
    <w:rsid w:val="17A20BD4"/>
    <w:rsid w:val="17DD1CB2"/>
    <w:rsid w:val="17DE7734"/>
    <w:rsid w:val="17F7669C"/>
    <w:rsid w:val="181B571E"/>
    <w:rsid w:val="181F3A21"/>
    <w:rsid w:val="182633AB"/>
    <w:rsid w:val="183D1419"/>
    <w:rsid w:val="18610174"/>
    <w:rsid w:val="18767CB3"/>
    <w:rsid w:val="187D763D"/>
    <w:rsid w:val="18A62C23"/>
    <w:rsid w:val="18EB1E70"/>
    <w:rsid w:val="18F338FE"/>
    <w:rsid w:val="18FF308F"/>
    <w:rsid w:val="195B37A8"/>
    <w:rsid w:val="19B418B8"/>
    <w:rsid w:val="19FB0CBC"/>
    <w:rsid w:val="19FE5AEF"/>
    <w:rsid w:val="1A49562F"/>
    <w:rsid w:val="1A524C3A"/>
    <w:rsid w:val="1A7878DA"/>
    <w:rsid w:val="1A826A8E"/>
    <w:rsid w:val="1AB84DFF"/>
    <w:rsid w:val="1ACE5888"/>
    <w:rsid w:val="1ACF6C75"/>
    <w:rsid w:val="1AD93C19"/>
    <w:rsid w:val="1ADC6DE3"/>
    <w:rsid w:val="1AE01026"/>
    <w:rsid w:val="1B0921EA"/>
    <w:rsid w:val="1B152C21"/>
    <w:rsid w:val="1B3E77C2"/>
    <w:rsid w:val="1B4E7CA2"/>
    <w:rsid w:val="1B683DEB"/>
    <w:rsid w:val="1B76720E"/>
    <w:rsid w:val="1B9804C3"/>
    <w:rsid w:val="1B9C4323"/>
    <w:rsid w:val="1BB44881"/>
    <w:rsid w:val="1BBB45CD"/>
    <w:rsid w:val="1BC8170B"/>
    <w:rsid w:val="1BCE322D"/>
    <w:rsid w:val="1BD60EF4"/>
    <w:rsid w:val="1C072D9B"/>
    <w:rsid w:val="1C3041CB"/>
    <w:rsid w:val="1C353ED6"/>
    <w:rsid w:val="1C5F4D1A"/>
    <w:rsid w:val="1C7A3345"/>
    <w:rsid w:val="1C9E33AA"/>
    <w:rsid w:val="1D012325"/>
    <w:rsid w:val="1D056A73"/>
    <w:rsid w:val="1D64247C"/>
    <w:rsid w:val="1D6D46FD"/>
    <w:rsid w:val="1DA84C8A"/>
    <w:rsid w:val="1DAD023F"/>
    <w:rsid w:val="1DDF3F11"/>
    <w:rsid w:val="1E2460A7"/>
    <w:rsid w:val="1E40742E"/>
    <w:rsid w:val="1E4B2312"/>
    <w:rsid w:val="1E7159FF"/>
    <w:rsid w:val="1E873344"/>
    <w:rsid w:val="1E956EB2"/>
    <w:rsid w:val="1EB52C70"/>
    <w:rsid w:val="1ED81F2B"/>
    <w:rsid w:val="1EE537BF"/>
    <w:rsid w:val="1F0D01E4"/>
    <w:rsid w:val="1F163AE9"/>
    <w:rsid w:val="1F3745AA"/>
    <w:rsid w:val="1FBE56A1"/>
    <w:rsid w:val="1FD70E75"/>
    <w:rsid w:val="1FE11D60"/>
    <w:rsid w:val="20173B75"/>
    <w:rsid w:val="20182CF8"/>
    <w:rsid w:val="201E69BF"/>
    <w:rsid w:val="20290C6C"/>
    <w:rsid w:val="203A2A6C"/>
    <w:rsid w:val="203D7274"/>
    <w:rsid w:val="203F6EF4"/>
    <w:rsid w:val="20572D2E"/>
    <w:rsid w:val="20582DCE"/>
    <w:rsid w:val="20695910"/>
    <w:rsid w:val="20786339"/>
    <w:rsid w:val="20B758B9"/>
    <w:rsid w:val="20C95E69"/>
    <w:rsid w:val="20E44F74"/>
    <w:rsid w:val="21035AC1"/>
    <w:rsid w:val="210B3AB7"/>
    <w:rsid w:val="210C6A10"/>
    <w:rsid w:val="21152978"/>
    <w:rsid w:val="21396212"/>
    <w:rsid w:val="21693F77"/>
    <w:rsid w:val="2181419D"/>
    <w:rsid w:val="218F339D"/>
    <w:rsid w:val="223615AD"/>
    <w:rsid w:val="224E7929"/>
    <w:rsid w:val="2297796E"/>
    <w:rsid w:val="22B67E76"/>
    <w:rsid w:val="22FF6A77"/>
    <w:rsid w:val="23025517"/>
    <w:rsid w:val="2316669C"/>
    <w:rsid w:val="231B2B24"/>
    <w:rsid w:val="23665522"/>
    <w:rsid w:val="238C7853"/>
    <w:rsid w:val="23C32038"/>
    <w:rsid w:val="23E634F2"/>
    <w:rsid w:val="23F409E2"/>
    <w:rsid w:val="240750AB"/>
    <w:rsid w:val="24164041"/>
    <w:rsid w:val="24400708"/>
    <w:rsid w:val="24484BD4"/>
    <w:rsid w:val="24870E7D"/>
    <w:rsid w:val="24875A24"/>
    <w:rsid w:val="2494490F"/>
    <w:rsid w:val="24A37128"/>
    <w:rsid w:val="24EB5DB8"/>
    <w:rsid w:val="24F8025D"/>
    <w:rsid w:val="250B31A8"/>
    <w:rsid w:val="2518296A"/>
    <w:rsid w:val="25431230"/>
    <w:rsid w:val="25573542"/>
    <w:rsid w:val="255836C2"/>
    <w:rsid w:val="258F43AD"/>
    <w:rsid w:val="259E3EBC"/>
    <w:rsid w:val="25B96C70"/>
    <w:rsid w:val="25C61809"/>
    <w:rsid w:val="25C7728B"/>
    <w:rsid w:val="25FA354D"/>
    <w:rsid w:val="26093577"/>
    <w:rsid w:val="260B4207"/>
    <w:rsid w:val="261A5A10"/>
    <w:rsid w:val="262A62BB"/>
    <w:rsid w:val="263802E1"/>
    <w:rsid w:val="2645651A"/>
    <w:rsid w:val="267A4B30"/>
    <w:rsid w:val="26A3466F"/>
    <w:rsid w:val="26A73075"/>
    <w:rsid w:val="26CD0D37"/>
    <w:rsid w:val="26EF67A8"/>
    <w:rsid w:val="26F234F5"/>
    <w:rsid w:val="272D5FC2"/>
    <w:rsid w:val="2747180F"/>
    <w:rsid w:val="275668D2"/>
    <w:rsid w:val="27715FC1"/>
    <w:rsid w:val="2775024B"/>
    <w:rsid w:val="277E3DF7"/>
    <w:rsid w:val="27906876"/>
    <w:rsid w:val="279D5B8C"/>
    <w:rsid w:val="27B76736"/>
    <w:rsid w:val="27C2034A"/>
    <w:rsid w:val="27E6736D"/>
    <w:rsid w:val="27F77569"/>
    <w:rsid w:val="280D12CD"/>
    <w:rsid w:val="28443D9B"/>
    <w:rsid w:val="28503431"/>
    <w:rsid w:val="28A36AA9"/>
    <w:rsid w:val="28D02A86"/>
    <w:rsid w:val="28EB2B7A"/>
    <w:rsid w:val="290851A4"/>
    <w:rsid w:val="291021EA"/>
    <w:rsid w:val="29117C6C"/>
    <w:rsid w:val="29252190"/>
    <w:rsid w:val="29410738"/>
    <w:rsid w:val="29533F58"/>
    <w:rsid w:val="29BB2683"/>
    <w:rsid w:val="29BE6E8B"/>
    <w:rsid w:val="29BF6B0B"/>
    <w:rsid w:val="29D60CAE"/>
    <w:rsid w:val="2A074D01"/>
    <w:rsid w:val="2A3A138D"/>
    <w:rsid w:val="2A4B76D1"/>
    <w:rsid w:val="2A5D78EE"/>
    <w:rsid w:val="2A782799"/>
    <w:rsid w:val="2A8E045D"/>
    <w:rsid w:val="2AA52955"/>
    <w:rsid w:val="2B3365D0"/>
    <w:rsid w:val="2B8638D3"/>
    <w:rsid w:val="2B922289"/>
    <w:rsid w:val="2B971F94"/>
    <w:rsid w:val="2BB30FC0"/>
    <w:rsid w:val="2BBE65D0"/>
    <w:rsid w:val="2BC12DD8"/>
    <w:rsid w:val="2BC8298B"/>
    <w:rsid w:val="2BD6017C"/>
    <w:rsid w:val="2BFB12FB"/>
    <w:rsid w:val="2C364910"/>
    <w:rsid w:val="2C3A179D"/>
    <w:rsid w:val="2C7F0BF3"/>
    <w:rsid w:val="2C8208E0"/>
    <w:rsid w:val="2CA658C6"/>
    <w:rsid w:val="2CD10A17"/>
    <w:rsid w:val="2CDF1F2B"/>
    <w:rsid w:val="2D0546A4"/>
    <w:rsid w:val="2D1139FF"/>
    <w:rsid w:val="2D3D22C5"/>
    <w:rsid w:val="2D4B705C"/>
    <w:rsid w:val="2D7F4033"/>
    <w:rsid w:val="2D851A46"/>
    <w:rsid w:val="2DA11FE9"/>
    <w:rsid w:val="2DC11D42"/>
    <w:rsid w:val="2DE262D6"/>
    <w:rsid w:val="2DF674F5"/>
    <w:rsid w:val="2E020D89"/>
    <w:rsid w:val="2E215DBB"/>
    <w:rsid w:val="2E4C5072"/>
    <w:rsid w:val="2E83291E"/>
    <w:rsid w:val="2EC60F6B"/>
    <w:rsid w:val="2ED72066"/>
    <w:rsid w:val="2EF60706"/>
    <w:rsid w:val="2F0C1D0C"/>
    <w:rsid w:val="2F0F21C0"/>
    <w:rsid w:val="2F3607F0"/>
    <w:rsid w:val="2F3C308F"/>
    <w:rsid w:val="2F3C780C"/>
    <w:rsid w:val="2F3F674A"/>
    <w:rsid w:val="2F4A24DE"/>
    <w:rsid w:val="2F544828"/>
    <w:rsid w:val="2F58713C"/>
    <w:rsid w:val="2F9C692C"/>
    <w:rsid w:val="2FA923BE"/>
    <w:rsid w:val="2FF54A3C"/>
    <w:rsid w:val="301C445C"/>
    <w:rsid w:val="306F6785"/>
    <w:rsid w:val="3076628F"/>
    <w:rsid w:val="3091013E"/>
    <w:rsid w:val="31184882"/>
    <w:rsid w:val="311E188E"/>
    <w:rsid w:val="312F6D42"/>
    <w:rsid w:val="31331EC5"/>
    <w:rsid w:val="31AB0751"/>
    <w:rsid w:val="31AF3F03"/>
    <w:rsid w:val="31C74937"/>
    <w:rsid w:val="31FD7F2D"/>
    <w:rsid w:val="32156A62"/>
    <w:rsid w:val="325D3F31"/>
    <w:rsid w:val="326438BC"/>
    <w:rsid w:val="32761E80"/>
    <w:rsid w:val="328A2477"/>
    <w:rsid w:val="32927883"/>
    <w:rsid w:val="32E33E0A"/>
    <w:rsid w:val="32F47928"/>
    <w:rsid w:val="331B1CAB"/>
    <w:rsid w:val="335A65AC"/>
    <w:rsid w:val="342A190F"/>
    <w:rsid w:val="345C5BF5"/>
    <w:rsid w:val="3483712F"/>
    <w:rsid w:val="34866A39"/>
    <w:rsid w:val="349C1866"/>
    <w:rsid w:val="34B51B07"/>
    <w:rsid w:val="34C630A6"/>
    <w:rsid w:val="351A72AD"/>
    <w:rsid w:val="356C3834"/>
    <w:rsid w:val="359F2D89"/>
    <w:rsid w:val="35B00AA5"/>
    <w:rsid w:val="35B244B6"/>
    <w:rsid w:val="35B8262E"/>
    <w:rsid w:val="35CF2253"/>
    <w:rsid w:val="35CF5AD7"/>
    <w:rsid w:val="35D61F95"/>
    <w:rsid w:val="35F578B1"/>
    <w:rsid w:val="360B7245"/>
    <w:rsid w:val="36293BE7"/>
    <w:rsid w:val="362C50F3"/>
    <w:rsid w:val="363351B5"/>
    <w:rsid w:val="36375C2C"/>
    <w:rsid w:val="363D5C2F"/>
    <w:rsid w:val="367A2470"/>
    <w:rsid w:val="36931098"/>
    <w:rsid w:val="36AD7768"/>
    <w:rsid w:val="36D265FE"/>
    <w:rsid w:val="36E84D99"/>
    <w:rsid w:val="36F90A3C"/>
    <w:rsid w:val="371812F1"/>
    <w:rsid w:val="37306998"/>
    <w:rsid w:val="37404D66"/>
    <w:rsid w:val="37591A4F"/>
    <w:rsid w:val="37926A3C"/>
    <w:rsid w:val="37C02977"/>
    <w:rsid w:val="37F741E2"/>
    <w:rsid w:val="380516A2"/>
    <w:rsid w:val="384E39DC"/>
    <w:rsid w:val="38913255"/>
    <w:rsid w:val="38A523EA"/>
    <w:rsid w:val="38B10CD1"/>
    <w:rsid w:val="38C86AB9"/>
    <w:rsid w:val="38F20100"/>
    <w:rsid w:val="38FB244A"/>
    <w:rsid w:val="38FE145D"/>
    <w:rsid w:val="39250466"/>
    <w:rsid w:val="392A7A57"/>
    <w:rsid w:val="395D3729"/>
    <w:rsid w:val="397119C0"/>
    <w:rsid w:val="397432C1"/>
    <w:rsid w:val="3984360C"/>
    <w:rsid w:val="398D6A2B"/>
    <w:rsid w:val="39FE0370"/>
    <w:rsid w:val="3A4C7414"/>
    <w:rsid w:val="3A546240"/>
    <w:rsid w:val="3A651D5D"/>
    <w:rsid w:val="3A692962"/>
    <w:rsid w:val="3AC7657F"/>
    <w:rsid w:val="3AF6196E"/>
    <w:rsid w:val="3B585C68"/>
    <w:rsid w:val="3B643E7F"/>
    <w:rsid w:val="3B877A8A"/>
    <w:rsid w:val="3B956134"/>
    <w:rsid w:val="3B977B51"/>
    <w:rsid w:val="3BBE3294"/>
    <w:rsid w:val="3BCC03B3"/>
    <w:rsid w:val="3BE47C50"/>
    <w:rsid w:val="3C1A79C4"/>
    <w:rsid w:val="3C227C10"/>
    <w:rsid w:val="3C7E399F"/>
    <w:rsid w:val="3C973D7A"/>
    <w:rsid w:val="3CBF4A0D"/>
    <w:rsid w:val="3CC44D40"/>
    <w:rsid w:val="3CCB0CB7"/>
    <w:rsid w:val="3CD27A81"/>
    <w:rsid w:val="3CD31AD7"/>
    <w:rsid w:val="3D034824"/>
    <w:rsid w:val="3D42560E"/>
    <w:rsid w:val="3D5973E3"/>
    <w:rsid w:val="3D5F713C"/>
    <w:rsid w:val="3D600441"/>
    <w:rsid w:val="3D8C6D8B"/>
    <w:rsid w:val="3D97091B"/>
    <w:rsid w:val="3DA825AF"/>
    <w:rsid w:val="3DA94408"/>
    <w:rsid w:val="3DAE273F"/>
    <w:rsid w:val="3DC21BFB"/>
    <w:rsid w:val="3DFA733B"/>
    <w:rsid w:val="3E027FCA"/>
    <w:rsid w:val="3E06143E"/>
    <w:rsid w:val="3E5F4AE1"/>
    <w:rsid w:val="3E774929"/>
    <w:rsid w:val="3E79269E"/>
    <w:rsid w:val="3EA846BF"/>
    <w:rsid w:val="3EAA0553"/>
    <w:rsid w:val="3EB91CF7"/>
    <w:rsid w:val="3ED1739E"/>
    <w:rsid w:val="3EF63D5B"/>
    <w:rsid w:val="3EFC23E1"/>
    <w:rsid w:val="3F7A5ED9"/>
    <w:rsid w:val="3FC80830"/>
    <w:rsid w:val="3FCE3319"/>
    <w:rsid w:val="3FDA7850"/>
    <w:rsid w:val="3FE0175A"/>
    <w:rsid w:val="3FE913C3"/>
    <w:rsid w:val="4014384C"/>
    <w:rsid w:val="40620A2E"/>
    <w:rsid w:val="408711BE"/>
    <w:rsid w:val="40A6021E"/>
    <w:rsid w:val="40AF7B2A"/>
    <w:rsid w:val="40C377CE"/>
    <w:rsid w:val="40D432EC"/>
    <w:rsid w:val="40F84A0D"/>
    <w:rsid w:val="411D49E5"/>
    <w:rsid w:val="41271A71"/>
    <w:rsid w:val="4133522F"/>
    <w:rsid w:val="41550306"/>
    <w:rsid w:val="41554B3E"/>
    <w:rsid w:val="415C66C8"/>
    <w:rsid w:val="4199652C"/>
    <w:rsid w:val="41B90FE0"/>
    <w:rsid w:val="41C52874"/>
    <w:rsid w:val="42471491"/>
    <w:rsid w:val="427026D3"/>
    <w:rsid w:val="427A361C"/>
    <w:rsid w:val="42A538CE"/>
    <w:rsid w:val="431B31A5"/>
    <w:rsid w:val="432D3BC8"/>
    <w:rsid w:val="433575D3"/>
    <w:rsid w:val="435566DC"/>
    <w:rsid w:val="43596DB1"/>
    <w:rsid w:val="43610097"/>
    <w:rsid w:val="43846065"/>
    <w:rsid w:val="43866DF2"/>
    <w:rsid w:val="43995487"/>
    <w:rsid w:val="43B655A2"/>
    <w:rsid w:val="43BC2D2F"/>
    <w:rsid w:val="4400471D"/>
    <w:rsid w:val="44027C20"/>
    <w:rsid w:val="442D1D69"/>
    <w:rsid w:val="445B73B5"/>
    <w:rsid w:val="447C536B"/>
    <w:rsid w:val="448F2D07"/>
    <w:rsid w:val="44D16FF4"/>
    <w:rsid w:val="44E74A1A"/>
    <w:rsid w:val="44F22DAC"/>
    <w:rsid w:val="44F92736"/>
    <w:rsid w:val="44FB36BB"/>
    <w:rsid w:val="454A367B"/>
    <w:rsid w:val="455A778D"/>
    <w:rsid w:val="45643FE4"/>
    <w:rsid w:val="458346C4"/>
    <w:rsid w:val="45872486"/>
    <w:rsid w:val="459D5443"/>
    <w:rsid w:val="45A677E6"/>
    <w:rsid w:val="45A75D52"/>
    <w:rsid w:val="45B11DD5"/>
    <w:rsid w:val="45E86539"/>
    <w:rsid w:val="45F238B9"/>
    <w:rsid w:val="46144188"/>
    <w:rsid w:val="464E3068"/>
    <w:rsid w:val="46614287"/>
    <w:rsid w:val="46721FA3"/>
    <w:rsid w:val="4677642B"/>
    <w:rsid w:val="46A2506E"/>
    <w:rsid w:val="46BF681F"/>
    <w:rsid w:val="46D25840"/>
    <w:rsid w:val="46F76979"/>
    <w:rsid w:val="46FD20E8"/>
    <w:rsid w:val="47245FC3"/>
    <w:rsid w:val="47430630"/>
    <w:rsid w:val="475E7622"/>
    <w:rsid w:val="478336C5"/>
    <w:rsid w:val="47970A81"/>
    <w:rsid w:val="47974304"/>
    <w:rsid w:val="47C076C6"/>
    <w:rsid w:val="47CA4753"/>
    <w:rsid w:val="4807564C"/>
    <w:rsid w:val="480E1067"/>
    <w:rsid w:val="48850709"/>
    <w:rsid w:val="488B5F55"/>
    <w:rsid w:val="48B87F01"/>
    <w:rsid w:val="48BC55BF"/>
    <w:rsid w:val="48EA0BDF"/>
    <w:rsid w:val="48F61CC2"/>
    <w:rsid w:val="49016556"/>
    <w:rsid w:val="49053A0D"/>
    <w:rsid w:val="490544DA"/>
    <w:rsid w:val="49190F7D"/>
    <w:rsid w:val="491E0E5F"/>
    <w:rsid w:val="49217FAF"/>
    <w:rsid w:val="4932296E"/>
    <w:rsid w:val="494728D7"/>
    <w:rsid w:val="49B26AE7"/>
    <w:rsid w:val="49B87801"/>
    <w:rsid w:val="49BA4625"/>
    <w:rsid w:val="49DF1C3F"/>
    <w:rsid w:val="4A105C92"/>
    <w:rsid w:val="4A1F4C27"/>
    <w:rsid w:val="4A2B0A3A"/>
    <w:rsid w:val="4A5B700A"/>
    <w:rsid w:val="4A5D18B5"/>
    <w:rsid w:val="4A8073FC"/>
    <w:rsid w:val="4A873352"/>
    <w:rsid w:val="4ACB7E5A"/>
    <w:rsid w:val="4AE14CE5"/>
    <w:rsid w:val="4AE62944"/>
    <w:rsid w:val="4AEA3AB4"/>
    <w:rsid w:val="4AF9238C"/>
    <w:rsid w:val="4B1774FC"/>
    <w:rsid w:val="4B496C93"/>
    <w:rsid w:val="4B680B45"/>
    <w:rsid w:val="4B9B1D15"/>
    <w:rsid w:val="4B9D6DFA"/>
    <w:rsid w:val="4BD66F20"/>
    <w:rsid w:val="4BE21410"/>
    <w:rsid w:val="4C0249A2"/>
    <w:rsid w:val="4C2E020A"/>
    <w:rsid w:val="4C847914"/>
    <w:rsid w:val="4C966935"/>
    <w:rsid w:val="4CD15C75"/>
    <w:rsid w:val="4CE35645"/>
    <w:rsid w:val="4CF40C3E"/>
    <w:rsid w:val="4D480714"/>
    <w:rsid w:val="4D72759D"/>
    <w:rsid w:val="4D892A45"/>
    <w:rsid w:val="4D9F1366"/>
    <w:rsid w:val="4DA87A77"/>
    <w:rsid w:val="4DAC647D"/>
    <w:rsid w:val="4DC6783B"/>
    <w:rsid w:val="4E065892"/>
    <w:rsid w:val="4E1E76B5"/>
    <w:rsid w:val="4E2F31D3"/>
    <w:rsid w:val="4E3450DC"/>
    <w:rsid w:val="4E5618F2"/>
    <w:rsid w:val="4E581E19"/>
    <w:rsid w:val="4E59789B"/>
    <w:rsid w:val="4E611424"/>
    <w:rsid w:val="4EAA242D"/>
    <w:rsid w:val="4EC97B4E"/>
    <w:rsid w:val="4ECC4356"/>
    <w:rsid w:val="4F0E6795"/>
    <w:rsid w:val="4F167C4E"/>
    <w:rsid w:val="4F6205B9"/>
    <w:rsid w:val="4F635BE7"/>
    <w:rsid w:val="4F917597"/>
    <w:rsid w:val="4FBC3C5F"/>
    <w:rsid w:val="4FCC1C25"/>
    <w:rsid w:val="4FE2609D"/>
    <w:rsid w:val="4FE928E5"/>
    <w:rsid w:val="500365D1"/>
    <w:rsid w:val="5061087A"/>
    <w:rsid w:val="507506C5"/>
    <w:rsid w:val="50812CFD"/>
    <w:rsid w:val="5082664C"/>
    <w:rsid w:val="508B5B6A"/>
    <w:rsid w:val="509341D0"/>
    <w:rsid w:val="50D475CD"/>
    <w:rsid w:val="512E02BD"/>
    <w:rsid w:val="51616710"/>
    <w:rsid w:val="51622DF4"/>
    <w:rsid w:val="51981EEB"/>
    <w:rsid w:val="51CD51E6"/>
    <w:rsid w:val="51DC6C38"/>
    <w:rsid w:val="51F85787"/>
    <w:rsid w:val="52006417"/>
    <w:rsid w:val="52141834"/>
    <w:rsid w:val="522762D7"/>
    <w:rsid w:val="52500A69"/>
    <w:rsid w:val="52635035"/>
    <w:rsid w:val="52784DDC"/>
    <w:rsid w:val="529952A3"/>
    <w:rsid w:val="52B23CBC"/>
    <w:rsid w:val="52E75090"/>
    <w:rsid w:val="52F404A4"/>
    <w:rsid w:val="52F61A46"/>
    <w:rsid w:val="53010D5C"/>
    <w:rsid w:val="5346672E"/>
    <w:rsid w:val="534A5134"/>
    <w:rsid w:val="535F6A8F"/>
    <w:rsid w:val="537B453F"/>
    <w:rsid w:val="537C761D"/>
    <w:rsid w:val="538E2466"/>
    <w:rsid w:val="539355C6"/>
    <w:rsid w:val="539677B2"/>
    <w:rsid w:val="53A77A4C"/>
    <w:rsid w:val="53DB1025"/>
    <w:rsid w:val="53EF4730"/>
    <w:rsid w:val="53FE5B75"/>
    <w:rsid w:val="54047DE6"/>
    <w:rsid w:val="54660D84"/>
    <w:rsid w:val="54745B1B"/>
    <w:rsid w:val="54B05D00"/>
    <w:rsid w:val="54B57C0A"/>
    <w:rsid w:val="54B92D8D"/>
    <w:rsid w:val="54BA080E"/>
    <w:rsid w:val="54DA6B45"/>
    <w:rsid w:val="54E5570C"/>
    <w:rsid w:val="54FF2800"/>
    <w:rsid w:val="55002EAF"/>
    <w:rsid w:val="551940AB"/>
    <w:rsid w:val="5529309F"/>
    <w:rsid w:val="55785749"/>
    <w:rsid w:val="557E7653"/>
    <w:rsid w:val="55B7742C"/>
    <w:rsid w:val="55DB79EC"/>
    <w:rsid w:val="56116360"/>
    <w:rsid w:val="56460CB2"/>
    <w:rsid w:val="565D343D"/>
    <w:rsid w:val="56CC14F3"/>
    <w:rsid w:val="56DE0514"/>
    <w:rsid w:val="56EF28FF"/>
    <w:rsid w:val="571D7FF8"/>
    <w:rsid w:val="5741555E"/>
    <w:rsid w:val="57540152"/>
    <w:rsid w:val="57593BDF"/>
    <w:rsid w:val="577C3D5D"/>
    <w:rsid w:val="579447BF"/>
    <w:rsid w:val="580524F4"/>
    <w:rsid w:val="583563C7"/>
    <w:rsid w:val="585070F0"/>
    <w:rsid w:val="58632745"/>
    <w:rsid w:val="58813143"/>
    <w:rsid w:val="588178BF"/>
    <w:rsid w:val="5889054F"/>
    <w:rsid w:val="58A15BF6"/>
    <w:rsid w:val="58A6207E"/>
    <w:rsid w:val="58AF078F"/>
    <w:rsid w:val="58C31BE2"/>
    <w:rsid w:val="58D03B68"/>
    <w:rsid w:val="58E81E30"/>
    <w:rsid w:val="590A50C2"/>
    <w:rsid w:val="591B3341"/>
    <w:rsid w:val="591B677F"/>
    <w:rsid w:val="598729A5"/>
    <w:rsid w:val="59A10938"/>
    <w:rsid w:val="59A6577E"/>
    <w:rsid w:val="59D63A74"/>
    <w:rsid w:val="59D659FD"/>
    <w:rsid w:val="5A12434D"/>
    <w:rsid w:val="5A157CD6"/>
    <w:rsid w:val="5A160EC8"/>
    <w:rsid w:val="5A1643C8"/>
    <w:rsid w:val="5A2F6EDF"/>
    <w:rsid w:val="5A3023B2"/>
    <w:rsid w:val="5A6048D2"/>
    <w:rsid w:val="5AC36B75"/>
    <w:rsid w:val="5AC90A7E"/>
    <w:rsid w:val="5AD44891"/>
    <w:rsid w:val="5AEB1E12"/>
    <w:rsid w:val="5AED250C"/>
    <w:rsid w:val="5AF726EC"/>
    <w:rsid w:val="5B4D46C6"/>
    <w:rsid w:val="5BA10859"/>
    <w:rsid w:val="5BD17E18"/>
    <w:rsid w:val="5BDB7642"/>
    <w:rsid w:val="5BDF50D7"/>
    <w:rsid w:val="5C0C1CA4"/>
    <w:rsid w:val="5C1E13B0"/>
    <w:rsid w:val="5C2C04F9"/>
    <w:rsid w:val="5C4D667C"/>
    <w:rsid w:val="5C4F34DF"/>
    <w:rsid w:val="5C8B3F62"/>
    <w:rsid w:val="5CAC1F18"/>
    <w:rsid w:val="5CC10BB9"/>
    <w:rsid w:val="5D375199"/>
    <w:rsid w:val="5DD36B5F"/>
    <w:rsid w:val="5E006CA0"/>
    <w:rsid w:val="5E070ED0"/>
    <w:rsid w:val="5E203FF8"/>
    <w:rsid w:val="5E5238CE"/>
    <w:rsid w:val="5E590D87"/>
    <w:rsid w:val="5E6A5D46"/>
    <w:rsid w:val="5E812D98"/>
    <w:rsid w:val="5ECD661E"/>
    <w:rsid w:val="5ED837A7"/>
    <w:rsid w:val="5EDD69C4"/>
    <w:rsid w:val="5EE5270A"/>
    <w:rsid w:val="5EF379C9"/>
    <w:rsid w:val="5F1D429B"/>
    <w:rsid w:val="5F24784E"/>
    <w:rsid w:val="5F5046EA"/>
    <w:rsid w:val="5F59087D"/>
    <w:rsid w:val="5F983777"/>
    <w:rsid w:val="5F991667"/>
    <w:rsid w:val="5FCF255E"/>
    <w:rsid w:val="5FDA222B"/>
    <w:rsid w:val="5FDF485F"/>
    <w:rsid w:val="5FEA0785"/>
    <w:rsid w:val="5FF35659"/>
    <w:rsid w:val="601E603C"/>
    <w:rsid w:val="602D6CC3"/>
    <w:rsid w:val="603600E9"/>
    <w:rsid w:val="605A518E"/>
    <w:rsid w:val="60850EA0"/>
    <w:rsid w:val="60967D57"/>
    <w:rsid w:val="60BF39AA"/>
    <w:rsid w:val="60D11363"/>
    <w:rsid w:val="60D93FAA"/>
    <w:rsid w:val="61115943"/>
    <w:rsid w:val="6136238C"/>
    <w:rsid w:val="61451322"/>
    <w:rsid w:val="61705442"/>
    <w:rsid w:val="619523A6"/>
    <w:rsid w:val="61AE32D0"/>
    <w:rsid w:val="61C548E4"/>
    <w:rsid w:val="61F41846"/>
    <w:rsid w:val="61FD68D2"/>
    <w:rsid w:val="6204131D"/>
    <w:rsid w:val="621B0081"/>
    <w:rsid w:val="62751D9E"/>
    <w:rsid w:val="62755297"/>
    <w:rsid w:val="628E327F"/>
    <w:rsid w:val="630B320C"/>
    <w:rsid w:val="63747452"/>
    <w:rsid w:val="63820382"/>
    <w:rsid w:val="639C50EE"/>
    <w:rsid w:val="63E022EB"/>
    <w:rsid w:val="63E17D6C"/>
    <w:rsid w:val="64074DD4"/>
    <w:rsid w:val="643D2685"/>
    <w:rsid w:val="644F5E22"/>
    <w:rsid w:val="64723407"/>
    <w:rsid w:val="64A10569"/>
    <w:rsid w:val="64AA2690"/>
    <w:rsid w:val="64B70CC9"/>
    <w:rsid w:val="65073BFF"/>
    <w:rsid w:val="650E4F5B"/>
    <w:rsid w:val="65235DFA"/>
    <w:rsid w:val="65813C15"/>
    <w:rsid w:val="659E5744"/>
    <w:rsid w:val="65B975F2"/>
    <w:rsid w:val="65E174B2"/>
    <w:rsid w:val="65EA5BC3"/>
    <w:rsid w:val="66016B02"/>
    <w:rsid w:val="66093E0E"/>
    <w:rsid w:val="660A22D3"/>
    <w:rsid w:val="66246CA2"/>
    <w:rsid w:val="66555272"/>
    <w:rsid w:val="66A93CA2"/>
    <w:rsid w:val="66D66AC5"/>
    <w:rsid w:val="66F74A7C"/>
    <w:rsid w:val="678132A2"/>
    <w:rsid w:val="67AC7A22"/>
    <w:rsid w:val="67D54DA4"/>
    <w:rsid w:val="67D740EA"/>
    <w:rsid w:val="67E268D8"/>
    <w:rsid w:val="680B583D"/>
    <w:rsid w:val="680E45FB"/>
    <w:rsid w:val="681E22E0"/>
    <w:rsid w:val="68460728"/>
    <w:rsid w:val="685E52C7"/>
    <w:rsid w:val="685F19E3"/>
    <w:rsid w:val="68C504EF"/>
    <w:rsid w:val="6903293F"/>
    <w:rsid w:val="69085BD7"/>
    <w:rsid w:val="692B3780"/>
    <w:rsid w:val="692D4EA0"/>
    <w:rsid w:val="693578A9"/>
    <w:rsid w:val="69561038"/>
    <w:rsid w:val="696F0988"/>
    <w:rsid w:val="698E4E85"/>
    <w:rsid w:val="69A049DA"/>
    <w:rsid w:val="69A201B3"/>
    <w:rsid w:val="69A8744B"/>
    <w:rsid w:val="69B745FF"/>
    <w:rsid w:val="69CB10A2"/>
    <w:rsid w:val="69E92850"/>
    <w:rsid w:val="69F04FE9"/>
    <w:rsid w:val="6A046C7D"/>
    <w:rsid w:val="6A106A18"/>
    <w:rsid w:val="6A2B1F1D"/>
    <w:rsid w:val="6A310A46"/>
    <w:rsid w:val="6A465168"/>
    <w:rsid w:val="6A5665C5"/>
    <w:rsid w:val="6AFC4C97"/>
    <w:rsid w:val="6B034621"/>
    <w:rsid w:val="6B146ABA"/>
    <w:rsid w:val="6B1A09C3"/>
    <w:rsid w:val="6B557B82"/>
    <w:rsid w:val="6B7E03D2"/>
    <w:rsid w:val="6B8C04FC"/>
    <w:rsid w:val="6BA87E70"/>
    <w:rsid w:val="6BC85664"/>
    <w:rsid w:val="6BD914DC"/>
    <w:rsid w:val="6BDC6503"/>
    <w:rsid w:val="6BDF2A4A"/>
    <w:rsid w:val="6BF60407"/>
    <w:rsid w:val="6C107420"/>
    <w:rsid w:val="6C1D4D6E"/>
    <w:rsid w:val="6C4C3AD0"/>
    <w:rsid w:val="6C5E35D9"/>
    <w:rsid w:val="6CAE685B"/>
    <w:rsid w:val="6D201119"/>
    <w:rsid w:val="6D282CA2"/>
    <w:rsid w:val="6D6C7F13"/>
    <w:rsid w:val="6D8555A7"/>
    <w:rsid w:val="6D98425A"/>
    <w:rsid w:val="6D9E6164"/>
    <w:rsid w:val="6DB326E3"/>
    <w:rsid w:val="6DCB085E"/>
    <w:rsid w:val="6DFB6152"/>
    <w:rsid w:val="6E266071"/>
    <w:rsid w:val="6E3808E1"/>
    <w:rsid w:val="6E455E09"/>
    <w:rsid w:val="6E622409"/>
    <w:rsid w:val="6EA5315B"/>
    <w:rsid w:val="6EB4152F"/>
    <w:rsid w:val="6EC47F9A"/>
    <w:rsid w:val="6EC872E3"/>
    <w:rsid w:val="6EDB13EF"/>
    <w:rsid w:val="6F27725D"/>
    <w:rsid w:val="6F5B773E"/>
    <w:rsid w:val="6F8D6D15"/>
    <w:rsid w:val="6FB2468C"/>
    <w:rsid w:val="6FB95285"/>
    <w:rsid w:val="6FBD3F60"/>
    <w:rsid w:val="6FD337A2"/>
    <w:rsid w:val="6FD55576"/>
    <w:rsid w:val="6FF3443A"/>
    <w:rsid w:val="6FF5793D"/>
    <w:rsid w:val="704B28CA"/>
    <w:rsid w:val="705431DA"/>
    <w:rsid w:val="70635DF3"/>
    <w:rsid w:val="7073020B"/>
    <w:rsid w:val="70D746AC"/>
    <w:rsid w:val="71116E10"/>
    <w:rsid w:val="711E5BB5"/>
    <w:rsid w:val="713E0C0B"/>
    <w:rsid w:val="71484DA0"/>
    <w:rsid w:val="71503B7E"/>
    <w:rsid w:val="71610ABB"/>
    <w:rsid w:val="71763199"/>
    <w:rsid w:val="71874850"/>
    <w:rsid w:val="71AC120D"/>
    <w:rsid w:val="71F22DC3"/>
    <w:rsid w:val="7204189B"/>
    <w:rsid w:val="72464B3F"/>
    <w:rsid w:val="72591EA0"/>
    <w:rsid w:val="72706B69"/>
    <w:rsid w:val="72725752"/>
    <w:rsid w:val="72B461BC"/>
    <w:rsid w:val="72CE5139"/>
    <w:rsid w:val="72DC7380"/>
    <w:rsid w:val="72F304DA"/>
    <w:rsid w:val="73312DA9"/>
    <w:rsid w:val="73586CCA"/>
    <w:rsid w:val="73761AFD"/>
    <w:rsid w:val="739C7F8F"/>
    <w:rsid w:val="73B1065D"/>
    <w:rsid w:val="73B75E12"/>
    <w:rsid w:val="73CC6C88"/>
    <w:rsid w:val="73DE0228"/>
    <w:rsid w:val="740432AC"/>
    <w:rsid w:val="746B7A8B"/>
    <w:rsid w:val="749C3ADE"/>
    <w:rsid w:val="749F4A62"/>
    <w:rsid w:val="74BC6591"/>
    <w:rsid w:val="74EE0065"/>
    <w:rsid w:val="74FF415D"/>
    <w:rsid w:val="750138F1"/>
    <w:rsid w:val="751637A7"/>
    <w:rsid w:val="75195B13"/>
    <w:rsid w:val="75680EE4"/>
    <w:rsid w:val="75845FDA"/>
    <w:rsid w:val="75EC2506"/>
    <w:rsid w:val="75EE01A7"/>
    <w:rsid w:val="75F75DC3"/>
    <w:rsid w:val="76145AD3"/>
    <w:rsid w:val="76255B63"/>
    <w:rsid w:val="76B05560"/>
    <w:rsid w:val="76DB44C2"/>
    <w:rsid w:val="770E38E2"/>
    <w:rsid w:val="779934C6"/>
    <w:rsid w:val="77A110AB"/>
    <w:rsid w:val="77B34070"/>
    <w:rsid w:val="77B425C1"/>
    <w:rsid w:val="77E97EE6"/>
    <w:rsid w:val="77ED700C"/>
    <w:rsid w:val="78197298"/>
    <w:rsid w:val="782640FE"/>
    <w:rsid w:val="782A46D7"/>
    <w:rsid w:val="78694A98"/>
    <w:rsid w:val="78BB101F"/>
    <w:rsid w:val="78C054A7"/>
    <w:rsid w:val="78ED6BDA"/>
    <w:rsid w:val="78FA56B4"/>
    <w:rsid w:val="79065C1B"/>
    <w:rsid w:val="792E5ADB"/>
    <w:rsid w:val="793E5D49"/>
    <w:rsid w:val="79474486"/>
    <w:rsid w:val="79BC3B48"/>
    <w:rsid w:val="79BF0E34"/>
    <w:rsid w:val="79D704F2"/>
    <w:rsid w:val="79F80A27"/>
    <w:rsid w:val="7A457705"/>
    <w:rsid w:val="7A822107"/>
    <w:rsid w:val="7AAB3D4E"/>
    <w:rsid w:val="7ABC64D9"/>
    <w:rsid w:val="7ACE0560"/>
    <w:rsid w:val="7B3E2055"/>
    <w:rsid w:val="7B456207"/>
    <w:rsid w:val="7B4619CE"/>
    <w:rsid w:val="7B7C4426"/>
    <w:rsid w:val="7B9B5CB4"/>
    <w:rsid w:val="7BFE117C"/>
    <w:rsid w:val="7C012C3A"/>
    <w:rsid w:val="7C15461A"/>
    <w:rsid w:val="7C160DA1"/>
    <w:rsid w:val="7C2D3E7B"/>
    <w:rsid w:val="7C4518C4"/>
    <w:rsid w:val="7C877A42"/>
    <w:rsid w:val="7CAC6D16"/>
    <w:rsid w:val="7CB30BB0"/>
    <w:rsid w:val="7CB34123"/>
    <w:rsid w:val="7CBE7070"/>
    <w:rsid w:val="7CDE45EC"/>
    <w:rsid w:val="7D084EB2"/>
    <w:rsid w:val="7D1A4DCC"/>
    <w:rsid w:val="7D1B284D"/>
    <w:rsid w:val="7D4E4321"/>
    <w:rsid w:val="7D512D27"/>
    <w:rsid w:val="7D6C1F01"/>
    <w:rsid w:val="7DE26D93"/>
    <w:rsid w:val="7DF65C1D"/>
    <w:rsid w:val="7E032932"/>
    <w:rsid w:val="7E1A04E3"/>
    <w:rsid w:val="7E350D9C"/>
    <w:rsid w:val="7EC04D87"/>
    <w:rsid w:val="7EC54E07"/>
    <w:rsid w:val="7F101A04"/>
    <w:rsid w:val="7F2D6DB5"/>
    <w:rsid w:val="7F7052A0"/>
    <w:rsid w:val="7F812FBC"/>
    <w:rsid w:val="7F8D48DC"/>
    <w:rsid w:val="7F9C5CB1"/>
    <w:rsid w:val="7FA80C7D"/>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1"/>
    </w:rPr>
  </w:style>
  <w:style w:type="paragraph" w:styleId="3">
    <w:name w:val="Body Text"/>
    <w:basedOn w:val="1"/>
    <w:next w:val="1"/>
    <w:qFormat/>
    <w:uiPriority w:val="0"/>
    <w:pPr>
      <w:spacing w:after="120"/>
    </w:pPr>
  </w:style>
  <w:style w:type="paragraph" w:styleId="5">
    <w:name w:val="Normal Indent"/>
    <w:basedOn w:val="1"/>
    <w:next w:val="6"/>
    <w:qFormat/>
    <w:uiPriority w:val="0"/>
    <w:pPr>
      <w:ind w:firstLine="420" w:firstLineChars="200"/>
    </w:pPr>
    <w:rPr>
      <w:rFonts w:ascii="Calibri" w:hAnsi="Calibri" w:eastAsia="仿宋" w:cs="Times New Roman"/>
      <w:sz w:val="32"/>
    </w:rPr>
  </w:style>
  <w:style w:type="paragraph" w:styleId="6">
    <w:name w:val="Body Text Indent"/>
    <w:basedOn w:val="1"/>
    <w:next w:val="5"/>
    <w:qFormat/>
    <w:uiPriority w:val="0"/>
    <w:pPr>
      <w:widowControl/>
      <w:spacing w:line="360" w:lineRule="auto"/>
      <w:ind w:firstLine="480" w:firstLineChars="200"/>
      <w:jc w:val="left"/>
    </w:pPr>
    <w:rPr>
      <w:rFonts w:ascii="宋体" w:hAnsi="宋体"/>
      <w:kern w:val="0"/>
      <w:sz w:val="24"/>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rFonts w:ascii="Calibri" w:hAnsi="Calibri" w:cs="Calibri"/>
      <w:kern w:val="0"/>
      <w:sz w:val="24"/>
    </w:rPr>
  </w:style>
  <w:style w:type="character" w:styleId="12">
    <w:name w:val="page number"/>
    <w:basedOn w:val="11"/>
    <w:qFormat/>
    <w:uiPriority w:val="0"/>
  </w:style>
  <w:style w:type="paragraph" w:customStyle="1" w:styleId="13">
    <w:name w:val="UserStyle_0"/>
    <w:basedOn w:val="1"/>
    <w:qFormat/>
    <w:uiPriority w:val="0"/>
    <w:pPr>
      <w:tabs>
        <w:tab w:val="left" w:pos="4320"/>
      </w:tabs>
      <w:ind w:firstLine="480"/>
    </w:pPr>
    <w:rPr>
      <w:kern w:val="0"/>
      <w:szCs w:val="20"/>
    </w:rPr>
  </w:style>
  <w:style w:type="character" w:customStyle="1" w:styleId="14">
    <w:name w:val="NormalCharacter"/>
    <w:link w:val="1"/>
    <w:qFormat/>
    <w:uiPriority w:val="99"/>
    <w:rPr>
      <w:rFonts w:asciiTheme="minorHAnsi" w:hAnsiTheme="minorHAnsi" w:eastAsiaTheme="minorEastAsia" w:cstheme="minorBidi"/>
      <w:kern w:val="2"/>
      <w:sz w:val="21"/>
      <w:szCs w:val="24"/>
      <w:lang w:val="en-US" w:eastAsia="zh-CN" w:bidi="ar-SA"/>
    </w:rPr>
  </w:style>
  <w:style w:type="paragraph" w:customStyle="1" w:styleId="15">
    <w:name w:val="正文首行缩进 21"/>
    <w:basedOn w:val="16"/>
    <w:qFormat/>
    <w:uiPriority w:val="0"/>
    <w:pPr>
      <w:widowControl w:val="0"/>
      <w:spacing w:after="120"/>
      <w:ind w:left="420" w:leftChars="200"/>
      <w:jc w:val="both"/>
    </w:pPr>
    <w:rPr>
      <w:rFonts w:ascii="Times New Roman" w:hAnsi="Times New Roman" w:eastAsia="宋体" w:cs="Times New Roman"/>
      <w:kern w:val="2"/>
      <w:sz w:val="32"/>
      <w:szCs w:val="22"/>
      <w:lang w:val="en-US" w:eastAsia="zh-CN" w:bidi="ar-SA"/>
    </w:rPr>
  </w:style>
  <w:style w:type="paragraph" w:customStyle="1" w:styleId="16">
    <w:name w:val="正文文本缩进1"/>
    <w:basedOn w:val="1"/>
    <w:qFormat/>
    <w:uiPriority w:val="0"/>
    <w:pPr>
      <w:spacing w:line="360" w:lineRule="auto"/>
      <w:ind w:left="601" w:leftChars="286" w:firstLine="960" w:firstLineChars="300"/>
    </w:pPr>
    <w:rPr>
      <w:rFonts w:ascii="仿宋_GB2312" w:eastAsia="仿宋_GB2312"/>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5064</Words>
  <Characters>5216</Characters>
  <Lines>0</Lines>
  <Paragraphs>0</Paragraphs>
  <TotalTime>24</TotalTime>
  <ScaleCrop>false</ScaleCrop>
  <LinksUpToDate>false</LinksUpToDate>
  <CharactersWithSpaces>5224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2023-11-27T08:29:00Z</dcterms:created>
  <dc:creator>Administrator</dc:creator>
  <cp:lastModifiedBy>Administrator</cp:lastModifiedBy>
  <cp:lastPrinted>2025-04-22T01:18:00Z</cp:lastPrinted>
  <dcterms:modified xsi:type="dcterms:W3CDTF">2025-04-22T01:29:13Z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C79844D994F64D2DB2AACAB7A5AAF5EC</vt:lpwstr>
  </property>
  <property fmtid="{D5CDD505-2E9C-101B-9397-08002B2CF9AE}" pid="4" name="KSOTemplateDocerSaveRecord">
    <vt:lpwstr>eyJoZGlkIjoiMDZhODljZGNmNTBlMzgxZTcxNmRhNDgwYWU1ZTMxNjYiLCJ1c2VySWQiOiIxNjU1MjgwODg3In0=</vt:lpwstr>
  </property>
</Properties>
</file>