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BA632">
      <w:pPr>
        <w:jc w:val="center"/>
        <w:rPr>
          <w:rFonts w:hint="eastAsia" w:ascii="仿宋_GB2312" w:eastAsia="仿宋_GB2312"/>
          <w:sz w:val="32"/>
          <w:szCs w:val="32"/>
          <w:lang w:val="en-US" w:eastAsia="zh-CN"/>
        </w:rPr>
      </w:pPr>
    </w:p>
    <w:p w14:paraId="36AB5CAD">
      <w:pPr>
        <w:jc w:val="center"/>
        <w:rPr>
          <w:rFonts w:hint="eastAsia" w:ascii="仿宋_GB2312" w:eastAsia="仿宋_GB2312"/>
          <w:sz w:val="32"/>
          <w:szCs w:val="32"/>
          <w:lang w:val="en-US" w:eastAsia="zh-CN"/>
        </w:rPr>
      </w:pPr>
    </w:p>
    <w:p w14:paraId="60A5DF92">
      <w:pPr>
        <w:jc w:val="center"/>
        <w:rPr>
          <w:rFonts w:hint="eastAsia" w:ascii="仿宋_GB2312" w:eastAsia="仿宋_GB2312"/>
          <w:sz w:val="32"/>
          <w:szCs w:val="32"/>
          <w:lang w:val="en-US" w:eastAsia="zh-CN"/>
        </w:rPr>
      </w:pPr>
    </w:p>
    <w:p w14:paraId="3BEA0A26">
      <w:pPr>
        <w:jc w:val="center"/>
        <w:rPr>
          <w:rFonts w:hint="eastAsia" w:ascii="仿宋_GB2312" w:eastAsia="仿宋_GB2312"/>
          <w:sz w:val="32"/>
          <w:szCs w:val="32"/>
          <w:lang w:val="en-US" w:eastAsia="zh-CN"/>
        </w:rPr>
      </w:pPr>
    </w:p>
    <w:p w14:paraId="0E8D8153">
      <w:pPr>
        <w:spacing w:line="540" w:lineRule="exact"/>
        <w:jc w:val="center"/>
        <w:rPr>
          <w:rFonts w:hint="eastAsia" w:ascii="仿宋_GB2312" w:eastAsia="仿宋_GB2312"/>
          <w:sz w:val="32"/>
          <w:szCs w:val="32"/>
        </w:rPr>
      </w:pPr>
      <w:r>
        <w:rPr>
          <w:rFonts w:hint="eastAsia" w:ascii="仿宋_GB2312" w:eastAsia="仿宋_GB2312"/>
          <w:sz w:val="32"/>
          <w:szCs w:val="32"/>
          <w:lang w:val="en-US" w:eastAsia="zh-CN"/>
        </w:rPr>
        <w:t>岭</w:t>
      </w:r>
      <w:r>
        <w:rPr>
          <w:rFonts w:hint="eastAsia" w:ascii="仿宋_GB2312" w:eastAsia="仿宋_GB2312"/>
          <w:sz w:val="32"/>
          <w:szCs w:val="32"/>
        </w:rPr>
        <w:t>政</w:t>
      </w:r>
      <w:r>
        <w:rPr>
          <w:rFonts w:hint="eastAsia" w:ascii="仿宋_GB2312" w:eastAsia="仿宋_GB2312"/>
          <w:sz w:val="32"/>
          <w:szCs w:val="32"/>
          <w:lang w:eastAsia="zh-CN"/>
        </w:rPr>
        <w:t>发</w:t>
      </w:r>
      <w:r>
        <w:rPr>
          <w:rFonts w:hint="eastAsia" w:ascii="仿宋_GB2312" w:eastAsia="仿宋_GB2312"/>
          <w:sz w:val="32"/>
          <w:szCs w:val="32"/>
        </w:rPr>
        <w:t>〔20</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号</w:t>
      </w:r>
    </w:p>
    <w:p w14:paraId="406B9DC8">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sz w:val="44"/>
          <w:szCs w:val="44"/>
        </w:rPr>
      </w:pPr>
    </w:p>
    <w:p w14:paraId="5AEF03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pacing w:val="-34"/>
          <w:sz w:val="44"/>
          <w:szCs w:val="44"/>
          <w:lang w:eastAsia="zh-CN"/>
        </w:rPr>
      </w:pPr>
      <w:r>
        <w:rPr>
          <w:rFonts w:hint="eastAsia" w:ascii="方正小标宋_GBK" w:hAnsi="方正小标宋_GBK" w:eastAsia="方正小标宋_GBK" w:cs="方正小标宋_GBK"/>
          <w:b w:val="0"/>
          <w:bCs/>
          <w:spacing w:val="-34"/>
          <w:sz w:val="44"/>
          <w:szCs w:val="44"/>
          <w:lang w:eastAsia="zh-CN"/>
        </w:rPr>
        <w:t>关于公布</w:t>
      </w:r>
      <w:r>
        <w:rPr>
          <w:rFonts w:hint="eastAsia" w:ascii="方正小标宋_GBK" w:hAnsi="方正小标宋_GBK" w:eastAsia="方正小标宋_GBK" w:cs="方正小标宋_GBK"/>
          <w:b w:val="0"/>
          <w:bCs/>
          <w:spacing w:val="-34"/>
          <w:sz w:val="44"/>
          <w:szCs w:val="44"/>
          <w:lang w:val="en-US" w:eastAsia="zh-CN"/>
        </w:rPr>
        <w:t>2025年度</w:t>
      </w:r>
      <w:r>
        <w:rPr>
          <w:rFonts w:hint="eastAsia" w:ascii="方正小标宋_GBK" w:hAnsi="方正小标宋_GBK" w:eastAsia="方正小标宋_GBK" w:cs="方正小标宋_GBK"/>
          <w:b w:val="0"/>
          <w:bCs/>
          <w:spacing w:val="-34"/>
          <w:sz w:val="44"/>
          <w:szCs w:val="44"/>
          <w:lang w:eastAsia="zh-CN"/>
        </w:rPr>
        <w:t>岭南乡人民政府行政规范性文件清理结果的通知</w:t>
      </w:r>
    </w:p>
    <w:p w14:paraId="5274F4E7">
      <w:pPr>
        <w:rPr>
          <w:rFonts w:hint="eastAsia" w:ascii="仿宋_GB2312" w:eastAsia="仿宋_GB2312"/>
          <w:b/>
          <w:sz w:val="28"/>
          <w:szCs w:val="28"/>
        </w:rPr>
      </w:pPr>
    </w:p>
    <w:p w14:paraId="66AC1C56">
      <w:pPr>
        <w:spacing w:line="560" w:lineRule="exact"/>
        <w:rPr>
          <w:rFonts w:hint="eastAsia"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行政</w:t>
      </w:r>
      <w:r>
        <w:rPr>
          <w:rFonts w:hint="eastAsia" w:ascii="仿宋_GB2312" w:eastAsia="仿宋_GB2312"/>
          <w:sz w:val="32"/>
          <w:szCs w:val="32"/>
        </w:rPr>
        <w:t>村、</w:t>
      </w:r>
      <w:r>
        <w:rPr>
          <w:rFonts w:hint="eastAsia" w:ascii="仿宋_GB2312" w:eastAsia="仿宋_GB2312"/>
          <w:sz w:val="32"/>
          <w:szCs w:val="32"/>
          <w:lang w:val="en-US" w:eastAsia="zh-CN"/>
        </w:rPr>
        <w:t>办线（站所）</w:t>
      </w:r>
      <w:r>
        <w:rPr>
          <w:rFonts w:hint="eastAsia" w:ascii="仿宋_GB2312" w:eastAsia="仿宋_GB2312"/>
          <w:sz w:val="32"/>
          <w:szCs w:val="32"/>
        </w:rPr>
        <w:t>：</w:t>
      </w:r>
    </w:p>
    <w:p w14:paraId="7C5085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eastAsia="仿宋_GB2312"/>
          <w:sz w:val="32"/>
          <w:szCs w:val="32"/>
          <w:lang w:eastAsia="zh-CN"/>
        </w:rPr>
        <w:t>根据《浙江省行政规范性文件管理办法》（省政府令第</w:t>
      </w:r>
      <w:r>
        <w:rPr>
          <w:rFonts w:hint="eastAsia" w:ascii="Times New Roman" w:hAnsi="Times New Roman" w:eastAsia="仿宋_GB2312" w:cs="Times New Roman"/>
          <w:sz w:val="32"/>
          <w:szCs w:val="32"/>
          <w:lang w:val="en-US" w:eastAsia="zh-CN"/>
        </w:rPr>
        <w:t>372</w:t>
      </w:r>
      <w:r>
        <w:rPr>
          <w:rFonts w:hint="eastAsia" w:ascii="仿宋_GB2312" w:eastAsia="仿宋_GB2312"/>
          <w:sz w:val="32"/>
          <w:szCs w:val="32"/>
          <w:lang w:val="en-US" w:eastAsia="zh-CN"/>
        </w:rPr>
        <w:t>号</w:t>
      </w:r>
      <w:r>
        <w:rPr>
          <w:rFonts w:hint="eastAsia" w:ascii="仿宋_GB2312" w:eastAsia="仿宋_GB2312"/>
          <w:sz w:val="32"/>
          <w:szCs w:val="32"/>
          <w:lang w:eastAsia="zh-CN"/>
        </w:rPr>
        <w:t>）</w:t>
      </w:r>
      <w:r>
        <w:rPr>
          <w:rFonts w:hint="eastAsia" w:ascii="仿宋_GB2312" w:eastAsia="仿宋_GB2312"/>
          <w:sz w:val="32"/>
          <w:szCs w:val="32"/>
          <w:lang w:val="en-US" w:eastAsia="zh-CN"/>
        </w:rPr>
        <w:t>和《绍兴市上虞区人民政府办公室关于切实做好全区第五次行政规范性文件清理工作的通知》</w:t>
      </w:r>
      <w:r>
        <w:rPr>
          <w:rFonts w:hint="eastAsia" w:ascii="仿宋_GB2312" w:eastAsia="仿宋_GB2312"/>
          <w:sz w:val="32"/>
          <w:szCs w:val="32"/>
          <w:lang w:eastAsia="zh-CN"/>
        </w:rPr>
        <w:t>要求，岭南乡人民政</w:t>
      </w:r>
      <w:r>
        <w:rPr>
          <w:rFonts w:hint="default" w:ascii="Times New Roman" w:hAnsi="Times New Roman" w:eastAsia="仿宋_GB2312" w:cs="Times New Roman"/>
          <w:sz w:val="32"/>
          <w:szCs w:val="32"/>
          <w:lang w:eastAsia="zh-CN"/>
        </w:rPr>
        <w:t>府对</w:t>
      </w:r>
      <w:r>
        <w:rPr>
          <w:rFonts w:hint="default" w:ascii="Times New Roman" w:hAnsi="Times New Roman" w:eastAsia="仿宋_GB2312" w:cs="Times New Roman"/>
          <w:sz w:val="32"/>
          <w:szCs w:val="32"/>
          <w:lang w:val="en-US" w:eastAsia="zh-CN"/>
        </w:rPr>
        <w:t>2020年-2025年4月制定的3件规范性文件进行了全面清理。经司法所审查，继续有效的行政规范性文件2件，停止执行的规范性文件1件。</w:t>
      </w:r>
    </w:p>
    <w:p w14:paraId="6A221885">
      <w:pPr>
        <w:pStyle w:val="3"/>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本通知自公布之日起施行。本通知由岭南乡人民政府负责解释。</w:t>
      </w:r>
    </w:p>
    <w:p w14:paraId="6BBEE122">
      <w:pPr>
        <w:pStyle w:val="3"/>
        <w:rPr>
          <w:rFonts w:hint="default" w:ascii="Times New Roman" w:hAnsi="Times New Roman" w:eastAsia="仿宋_GB2312" w:cs="Times New Roman"/>
          <w:kern w:val="0"/>
          <w:sz w:val="32"/>
          <w:szCs w:val="32"/>
          <w:lang w:eastAsia="zh-CN"/>
        </w:rPr>
      </w:pPr>
      <w:r>
        <w:rPr>
          <w:rFonts w:hint="default" w:ascii="Times New Roman" w:hAnsi="Times New Roman" w:cs="Times New Roman"/>
          <w:sz w:val="32"/>
          <w:szCs w:val="32"/>
          <w:lang w:val="en-US" w:eastAsia="zh-CN"/>
        </w:rPr>
        <w:t>附件：岭南乡人民政府继续有效的行政规范性文件目录（2件）</w:t>
      </w:r>
    </w:p>
    <w:p w14:paraId="40A6ECFB">
      <w:pPr>
        <w:keepNext w:val="0"/>
        <w:keepLines w:val="0"/>
        <w:pageBreakBefore w:val="0"/>
        <w:widowControl/>
        <w:kinsoku/>
        <w:wordWrap/>
        <w:overflowPunct/>
        <w:topLinePunct w:val="0"/>
        <w:autoSpaceDE/>
        <w:autoSpaceDN/>
        <w:bidi w:val="0"/>
        <w:adjustRightInd/>
        <w:snapToGrid/>
        <w:spacing w:line="580" w:lineRule="exact"/>
        <w:ind w:right="0" w:rightChars="0"/>
        <w:jc w:val="right"/>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上虞区岭南乡</w:t>
      </w:r>
      <w:r>
        <w:rPr>
          <w:rFonts w:hint="default" w:ascii="Times New Roman" w:hAnsi="Times New Roman" w:eastAsia="仿宋_GB2312" w:cs="Times New Roman"/>
          <w:kern w:val="0"/>
          <w:sz w:val="32"/>
          <w:szCs w:val="32"/>
        </w:rPr>
        <w:t>人民政府</w:t>
      </w:r>
    </w:p>
    <w:p w14:paraId="53D8958E">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27" w:firstLineChars="196"/>
        <w:jc w:val="right"/>
        <w:textAlignment w:val="auto"/>
        <w:outlineLvl w:val="9"/>
        <w:rPr>
          <w:rFonts w:hint="default" w:ascii="Times New Roman" w:hAnsi="Times New Roman" w:eastAsia="仿宋_GB2312" w:cs="Times New Roman"/>
          <w:b/>
          <w:bCs/>
          <w:sz w:val="30"/>
          <w:szCs w:val="30"/>
          <w:lang w:eastAsia="zh-CN"/>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日</w:t>
      </w:r>
    </w:p>
    <w:tbl>
      <w:tblPr>
        <w:tblStyle w:val="6"/>
        <w:tblpPr w:leftFromText="180" w:rightFromText="180" w:vertAnchor="text" w:horzAnchor="page" w:tblpX="1842" w:tblpY="886"/>
        <w:tblOverlap w:val="never"/>
        <w:tblW w:w="878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14:paraId="46CF0D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780" w:type="dxa"/>
            <w:noWrap w:val="0"/>
            <w:vAlign w:val="center"/>
          </w:tcPr>
          <w:p w14:paraId="591C2987">
            <w:pPr>
              <w:keepNext w:val="0"/>
              <w:keepLines w:val="0"/>
              <w:pageBreakBefore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0"/>
                <w:szCs w:val="30"/>
              </w:rPr>
            </w:pPr>
            <w:r>
              <w:rPr>
                <w:rFonts w:hint="default" w:ascii="Times New Roman" w:hAnsi="Times New Roman" w:eastAsia="仿宋_GB2312" w:cs="Times New Roman"/>
                <w:sz w:val="28"/>
                <w:szCs w:val="28"/>
                <w:lang w:val="en-US" w:eastAsia="zh-CN"/>
              </w:rPr>
              <w:t>上虞区</w:t>
            </w:r>
            <w:r>
              <w:rPr>
                <w:rFonts w:hint="default" w:ascii="Times New Roman" w:hAnsi="Times New Roman" w:eastAsia="仿宋_GB2312" w:cs="Times New Roman"/>
                <w:sz w:val="28"/>
                <w:szCs w:val="28"/>
              </w:rPr>
              <w:t>岭南乡</w:t>
            </w:r>
            <w:r>
              <w:rPr>
                <w:rFonts w:hint="default" w:ascii="Times New Roman" w:hAnsi="Times New Roman" w:eastAsia="仿宋_GB2312" w:cs="Times New Roman"/>
                <w:sz w:val="28"/>
                <w:szCs w:val="28"/>
                <w:lang w:val="en-US" w:eastAsia="zh-CN"/>
              </w:rPr>
              <w:t>人民政府</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w:t>
            </w:r>
            <w:r>
              <w:rPr>
                <w:rFonts w:hint="default" w:ascii="Times New Roman" w:hAnsi="Times New Roman" w:eastAsia="仿宋_GB2312" w:cs="Times New Roman"/>
                <w:sz w:val="28"/>
                <w:szCs w:val="28"/>
              </w:rPr>
              <w:t>日印发</w:t>
            </w:r>
          </w:p>
        </w:tc>
      </w:tr>
    </w:tbl>
    <w:p w14:paraId="25E4C58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val="0"/>
          <w:bCs/>
          <w:sz w:val="44"/>
          <w:szCs w:val="44"/>
        </w:rPr>
        <w:sectPr>
          <w:headerReference r:id="rId3" w:type="first"/>
          <w:footerReference r:id="rId6" w:type="first"/>
          <w:footerReference r:id="rId4" w:type="default"/>
          <w:footerReference r:id="rId5" w:type="even"/>
          <w:pgSz w:w="11907" w:h="16840"/>
          <w:pgMar w:top="1440" w:right="1800" w:bottom="1440" w:left="1800" w:header="851" w:footer="992" w:gutter="0"/>
          <w:pgNumType w:fmt="decimal"/>
          <w:cols w:space="720" w:num="1"/>
          <w:docGrid w:type="lines" w:linePitch="312" w:charSpace="0"/>
        </w:sectPr>
      </w:pPr>
    </w:p>
    <w:p w14:paraId="0099963D">
      <w:pPr>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p>
    <w:p w14:paraId="4E4731BD">
      <w:pPr>
        <w:pStyle w:val="3"/>
        <w:rPr>
          <w:rFonts w:hint="eastAsia" w:ascii="仿宋_GB2312" w:hAnsi="仿宋_GB2312" w:eastAsia="仿宋_GB2312" w:cs="仿宋_GB2312"/>
          <w:b w:val="0"/>
          <w:bCs w:val="0"/>
          <w:sz w:val="32"/>
          <w:szCs w:val="32"/>
          <w:lang w:eastAsia="zh-CN"/>
        </w:rPr>
      </w:pPr>
    </w:p>
    <w:p w14:paraId="39C664FF">
      <w:pPr>
        <w:pStyle w:val="3"/>
        <w:ind w:left="0" w:leftChars="0" w:firstLine="0" w:firstLineChars="0"/>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岭南乡人民政府继续有效的行政规范性文件目录</w:t>
      </w:r>
    </w:p>
    <w:p w14:paraId="578999DF">
      <w:pPr>
        <w:pStyle w:val="3"/>
        <w:ind w:left="0" w:leftChars="0" w:firstLine="0" w:firstLineChars="0"/>
        <w:jc w:val="center"/>
        <w:rPr>
          <w:rFonts w:hint="eastAsia"/>
          <w:sz w:val="32"/>
          <w:szCs w:val="32"/>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3667"/>
        <w:gridCol w:w="2391"/>
        <w:gridCol w:w="1439"/>
      </w:tblGrid>
      <w:tr w14:paraId="0D12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 w:type="dxa"/>
            <w:noWrap w:val="0"/>
            <w:vAlign w:val="center"/>
          </w:tcPr>
          <w:p w14:paraId="349BDDD2">
            <w:pPr>
              <w:pStyle w:val="3"/>
              <w:ind w:left="0" w:leftChars="0" w:firstLine="0" w:firstLineChars="0"/>
              <w:jc w:val="center"/>
              <w:rPr>
                <w:rFonts w:hint="eastAsia"/>
                <w:b/>
                <w:bCs/>
                <w:sz w:val="28"/>
                <w:szCs w:val="28"/>
                <w:vertAlign w:val="baseline"/>
                <w:lang w:val="en-US" w:eastAsia="zh-CN"/>
              </w:rPr>
            </w:pPr>
            <w:r>
              <w:rPr>
                <w:rFonts w:hint="eastAsia"/>
                <w:b/>
                <w:bCs/>
                <w:sz w:val="28"/>
                <w:szCs w:val="28"/>
                <w:vertAlign w:val="baseline"/>
                <w:lang w:val="en-US" w:eastAsia="zh-CN"/>
              </w:rPr>
              <w:t>序号</w:t>
            </w:r>
          </w:p>
        </w:tc>
        <w:tc>
          <w:tcPr>
            <w:tcW w:w="3667" w:type="dxa"/>
            <w:noWrap w:val="0"/>
            <w:vAlign w:val="top"/>
          </w:tcPr>
          <w:p w14:paraId="01938F93">
            <w:pPr>
              <w:pStyle w:val="3"/>
              <w:ind w:left="0" w:leftChars="0" w:firstLine="0" w:firstLineChars="0"/>
              <w:jc w:val="center"/>
              <w:rPr>
                <w:rFonts w:hint="eastAsia"/>
                <w:b/>
                <w:bCs/>
                <w:sz w:val="28"/>
                <w:szCs w:val="28"/>
                <w:vertAlign w:val="baseline"/>
                <w:lang w:val="en-US" w:eastAsia="zh-CN"/>
              </w:rPr>
            </w:pPr>
            <w:r>
              <w:rPr>
                <w:rFonts w:hint="eastAsia"/>
                <w:b/>
                <w:bCs/>
                <w:sz w:val="28"/>
                <w:szCs w:val="28"/>
                <w:vertAlign w:val="baseline"/>
                <w:lang w:val="en-US" w:eastAsia="zh-CN"/>
              </w:rPr>
              <w:t>规范性文件名称</w:t>
            </w:r>
          </w:p>
        </w:tc>
        <w:tc>
          <w:tcPr>
            <w:tcW w:w="2391" w:type="dxa"/>
            <w:noWrap w:val="0"/>
            <w:vAlign w:val="top"/>
          </w:tcPr>
          <w:p w14:paraId="4FF868A2">
            <w:pPr>
              <w:pStyle w:val="3"/>
              <w:ind w:left="0" w:leftChars="0" w:firstLine="0" w:firstLineChars="0"/>
              <w:jc w:val="center"/>
              <w:rPr>
                <w:rFonts w:hint="eastAsia"/>
                <w:b/>
                <w:bCs/>
                <w:sz w:val="28"/>
                <w:szCs w:val="28"/>
                <w:vertAlign w:val="baseline"/>
                <w:lang w:val="en-US" w:eastAsia="zh-CN"/>
              </w:rPr>
            </w:pPr>
            <w:r>
              <w:rPr>
                <w:rFonts w:hint="eastAsia"/>
                <w:b/>
                <w:bCs/>
                <w:sz w:val="28"/>
                <w:szCs w:val="28"/>
                <w:vertAlign w:val="baseline"/>
                <w:lang w:val="en-US" w:eastAsia="zh-CN"/>
              </w:rPr>
              <w:t>文号</w:t>
            </w:r>
          </w:p>
        </w:tc>
        <w:tc>
          <w:tcPr>
            <w:tcW w:w="1439" w:type="dxa"/>
            <w:noWrap w:val="0"/>
            <w:vAlign w:val="top"/>
          </w:tcPr>
          <w:p w14:paraId="30B0DD96">
            <w:pPr>
              <w:pStyle w:val="3"/>
              <w:ind w:left="0" w:leftChars="0" w:firstLine="0" w:firstLineChars="0"/>
              <w:jc w:val="center"/>
              <w:rPr>
                <w:rFonts w:hint="eastAsia"/>
                <w:b/>
                <w:bCs/>
                <w:sz w:val="28"/>
                <w:szCs w:val="28"/>
                <w:vertAlign w:val="baseline"/>
                <w:lang w:val="en-US" w:eastAsia="zh-CN"/>
              </w:rPr>
            </w:pPr>
            <w:r>
              <w:rPr>
                <w:rFonts w:hint="eastAsia"/>
                <w:b/>
                <w:bCs/>
                <w:sz w:val="28"/>
                <w:szCs w:val="28"/>
                <w:vertAlign w:val="baseline"/>
                <w:lang w:val="en-US" w:eastAsia="zh-CN"/>
              </w:rPr>
              <w:t>发布日期</w:t>
            </w:r>
          </w:p>
        </w:tc>
      </w:tr>
      <w:tr w14:paraId="18F86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79889FD4">
            <w:pPr>
              <w:pStyle w:val="3"/>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1</w:t>
            </w:r>
          </w:p>
        </w:tc>
        <w:tc>
          <w:tcPr>
            <w:tcW w:w="3667" w:type="dxa"/>
            <w:noWrap w:val="0"/>
            <w:vAlign w:val="center"/>
          </w:tcPr>
          <w:p w14:paraId="41C37CC2">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Times New Roman" w:eastAsia="仿宋_GB2312" w:cs="Times New Roman"/>
                <w:color w:val="000000"/>
                <w:sz w:val="24"/>
                <w:szCs w:val="24"/>
                <w:vertAlign w:val="baseline"/>
                <w:lang w:val="en-US" w:eastAsia="zh-CN" w:bidi="ar-SA"/>
              </w:rPr>
            </w:pPr>
            <w:r>
              <w:rPr>
                <w:rFonts w:hint="eastAsia"/>
                <w:sz w:val="24"/>
                <w:szCs w:val="24"/>
                <w:vertAlign w:val="baseline"/>
                <w:lang w:val="en-US" w:eastAsia="zh-CN"/>
              </w:rPr>
              <w:t>关于公布岭南乡人民政府行政规范性文件清理结果的通知</w:t>
            </w:r>
          </w:p>
        </w:tc>
        <w:tc>
          <w:tcPr>
            <w:tcW w:w="2391" w:type="dxa"/>
            <w:noWrap w:val="0"/>
            <w:vAlign w:val="center"/>
          </w:tcPr>
          <w:p w14:paraId="46500136">
            <w:pPr>
              <w:pStyle w:val="3"/>
              <w:ind w:left="0" w:leftChars="0" w:firstLine="0" w:firstLineChars="0"/>
              <w:jc w:val="center"/>
              <w:rPr>
                <w:rFonts w:hint="eastAsia" w:ascii="仿宋_GB2312" w:hAnsi="Times New Roman" w:eastAsia="仿宋_GB2312" w:cs="Times New Roman"/>
                <w:color w:val="000000"/>
                <w:sz w:val="24"/>
                <w:szCs w:val="24"/>
                <w:vertAlign w:val="baseline"/>
                <w:lang w:val="en-US" w:eastAsia="zh-CN" w:bidi="ar-SA"/>
              </w:rPr>
            </w:pPr>
            <w:r>
              <w:rPr>
                <w:rFonts w:hint="eastAsia" w:ascii="仿宋_GB2312" w:eastAsia="仿宋_GB2312"/>
                <w:sz w:val="24"/>
                <w:szCs w:val="24"/>
              </w:rPr>
              <w:t>岭政发〔2023〕12号</w:t>
            </w:r>
          </w:p>
        </w:tc>
        <w:tc>
          <w:tcPr>
            <w:tcW w:w="1439" w:type="dxa"/>
            <w:noWrap w:val="0"/>
            <w:vAlign w:val="center"/>
          </w:tcPr>
          <w:p w14:paraId="725A4A63">
            <w:pPr>
              <w:pStyle w:val="3"/>
              <w:ind w:left="0" w:leftChars="0" w:firstLine="0" w:firstLineChars="0"/>
              <w:jc w:val="center"/>
              <w:rPr>
                <w:rFonts w:hint="eastAsia" w:ascii="仿宋_GB2312" w:hAnsi="Times New Roman" w:eastAsia="仿宋_GB2312" w:cs="Times New Roman"/>
                <w:color w:val="000000"/>
                <w:sz w:val="24"/>
                <w:szCs w:val="24"/>
                <w:vertAlign w:val="baseline"/>
                <w:lang w:val="en-US" w:eastAsia="zh-CN" w:bidi="ar-SA"/>
              </w:rPr>
            </w:pPr>
            <w:r>
              <w:rPr>
                <w:rFonts w:hint="eastAsia"/>
                <w:sz w:val="24"/>
                <w:szCs w:val="24"/>
                <w:vertAlign w:val="baseline"/>
                <w:lang w:val="en-US" w:eastAsia="zh-CN"/>
              </w:rPr>
              <w:t>2023/6/21</w:t>
            </w:r>
          </w:p>
        </w:tc>
      </w:tr>
      <w:tr w14:paraId="17B7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60C801FC">
            <w:pPr>
              <w:pStyle w:val="3"/>
              <w:ind w:left="0" w:leftChars="0" w:firstLine="0" w:firstLineChars="0"/>
              <w:jc w:val="center"/>
              <w:rPr>
                <w:rFonts w:hint="default"/>
                <w:sz w:val="24"/>
                <w:szCs w:val="24"/>
                <w:vertAlign w:val="baseline"/>
                <w:lang w:val="en-US" w:eastAsia="zh-CN"/>
              </w:rPr>
            </w:pPr>
            <w:r>
              <w:rPr>
                <w:rFonts w:hint="eastAsia"/>
                <w:sz w:val="24"/>
                <w:szCs w:val="24"/>
                <w:vertAlign w:val="baseline"/>
                <w:lang w:val="en-US" w:eastAsia="zh-CN"/>
              </w:rPr>
              <w:t>2</w:t>
            </w:r>
          </w:p>
        </w:tc>
        <w:tc>
          <w:tcPr>
            <w:tcW w:w="3667" w:type="dxa"/>
            <w:shd w:val="clear" w:color="auto" w:fill="auto"/>
            <w:noWrap w:val="0"/>
            <w:vAlign w:val="center"/>
          </w:tcPr>
          <w:p w14:paraId="26937975">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Times New Roman" w:eastAsia="仿宋_GB2312" w:cs="Times New Roman"/>
                <w:color w:val="000000"/>
                <w:sz w:val="24"/>
                <w:szCs w:val="24"/>
                <w:vertAlign w:val="baseline"/>
                <w:lang w:val="en-US" w:eastAsia="zh-CN" w:bidi="ar-SA"/>
              </w:rPr>
            </w:pPr>
            <w:r>
              <w:rPr>
                <w:rFonts w:hint="eastAsia"/>
                <w:sz w:val="24"/>
                <w:szCs w:val="24"/>
                <w:vertAlign w:val="baseline"/>
                <w:lang w:val="en-US" w:eastAsia="zh-CN"/>
              </w:rPr>
              <w:t>关于公布2024年度岭南乡人民政府行政规范性文件清理结果的通知</w:t>
            </w:r>
          </w:p>
        </w:tc>
        <w:tc>
          <w:tcPr>
            <w:tcW w:w="2391" w:type="dxa"/>
            <w:shd w:val="clear" w:color="auto" w:fill="auto"/>
            <w:noWrap w:val="0"/>
            <w:vAlign w:val="center"/>
          </w:tcPr>
          <w:p w14:paraId="78B07EE0">
            <w:pPr>
              <w:pStyle w:val="3"/>
              <w:ind w:left="0" w:leftChars="0" w:firstLine="0" w:firstLineChars="0"/>
              <w:jc w:val="center"/>
              <w:rPr>
                <w:rFonts w:hint="eastAsia" w:ascii="仿宋_GB2312" w:hAnsi="Times New Roman" w:eastAsia="仿宋_GB2312" w:cs="Times New Roman"/>
                <w:color w:val="000000"/>
                <w:sz w:val="24"/>
                <w:szCs w:val="24"/>
                <w:vertAlign w:val="baseline"/>
                <w:lang w:val="en-US" w:eastAsia="zh-CN" w:bidi="ar-SA"/>
              </w:rPr>
            </w:pPr>
            <w:r>
              <w:rPr>
                <w:rFonts w:hint="eastAsia" w:ascii="仿宋_GB2312" w:eastAsia="仿宋_GB2312"/>
                <w:sz w:val="24"/>
                <w:szCs w:val="24"/>
              </w:rPr>
              <w:t>岭政发〔202</w:t>
            </w:r>
            <w:r>
              <w:rPr>
                <w:rFonts w:hint="eastAsia"/>
                <w:sz w:val="24"/>
                <w:szCs w:val="24"/>
                <w:lang w:val="en-US" w:eastAsia="zh-CN"/>
              </w:rPr>
              <w:t>4</w:t>
            </w:r>
            <w:r>
              <w:rPr>
                <w:rFonts w:hint="eastAsia" w:ascii="仿宋_GB2312" w:eastAsia="仿宋_GB2312"/>
                <w:sz w:val="24"/>
                <w:szCs w:val="24"/>
              </w:rPr>
              <w:t>〕12号</w:t>
            </w:r>
          </w:p>
        </w:tc>
        <w:tc>
          <w:tcPr>
            <w:tcW w:w="1439" w:type="dxa"/>
            <w:shd w:val="clear" w:color="auto" w:fill="auto"/>
            <w:noWrap w:val="0"/>
            <w:vAlign w:val="center"/>
          </w:tcPr>
          <w:p w14:paraId="37DA6FB8">
            <w:pPr>
              <w:pStyle w:val="3"/>
              <w:ind w:left="0" w:leftChars="0" w:firstLine="0" w:firstLineChars="0"/>
              <w:jc w:val="center"/>
              <w:rPr>
                <w:rFonts w:hint="default" w:ascii="仿宋_GB2312" w:hAnsi="Times New Roman" w:eastAsia="仿宋_GB2312" w:cs="Times New Roman"/>
                <w:color w:val="000000"/>
                <w:sz w:val="24"/>
                <w:szCs w:val="24"/>
                <w:vertAlign w:val="baseline"/>
                <w:lang w:val="en-US" w:eastAsia="zh-CN" w:bidi="ar-SA"/>
              </w:rPr>
            </w:pPr>
            <w:r>
              <w:rPr>
                <w:rFonts w:hint="eastAsia"/>
                <w:sz w:val="24"/>
                <w:szCs w:val="24"/>
                <w:vertAlign w:val="baseline"/>
                <w:lang w:val="en-US" w:eastAsia="zh-CN"/>
              </w:rPr>
              <w:t>2024/12/16</w:t>
            </w:r>
          </w:p>
        </w:tc>
      </w:tr>
    </w:tbl>
    <w:p w14:paraId="4D2F40AF">
      <w:pPr>
        <w:tabs>
          <w:tab w:val="center" w:pos="3037"/>
        </w:tabs>
        <w:jc w:val="both"/>
        <w:rPr>
          <w:color w:val="FF0000"/>
          <w:sz w:val="16"/>
          <w:szCs w:val="18"/>
        </w:rPr>
      </w:pPr>
    </w:p>
    <w:p w14:paraId="3B59DE24">
      <w:bookmarkStart w:id="0" w:name="_GoBack"/>
      <w:bookmarkEnd w:id="0"/>
    </w:p>
    <w:sectPr>
      <w:footerReference r:id="rId7" w:type="default"/>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FB5C994-3B8F-4C47-8049-935973A599B8}"/>
  </w:font>
  <w:font w:name="仿宋_GB2312">
    <w:panose1 w:val="02010609030101010101"/>
    <w:charset w:val="86"/>
    <w:family w:val="auto"/>
    <w:pitch w:val="default"/>
    <w:sig w:usb0="00000001" w:usb1="080E0000" w:usb2="00000000" w:usb3="00000000" w:csb0="00040000" w:csb1="00000000"/>
    <w:embedRegular r:id="rId2" w:fontKey="{D6FF415A-E021-42C4-9CE4-A07D2B00BA4C}"/>
  </w:font>
  <w:font w:name="方正小标宋_GBK">
    <w:panose1 w:val="02000000000000000000"/>
    <w:charset w:val="86"/>
    <w:family w:val="auto"/>
    <w:pitch w:val="default"/>
    <w:sig w:usb0="A00002BF" w:usb1="38CF7CFA" w:usb2="00082016" w:usb3="00000000" w:csb0="00040001" w:csb1="00000000"/>
    <w:embedRegular r:id="rId3" w:fontKey="{A61F64C1-7A2C-4D81-BCA2-142DDE4281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CAC03">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10B576">
                          <w:pPr>
                            <w:pStyle w:val="4"/>
                            <w:rPr>
                              <w:rStyle w:val="9"/>
                            </w:rPr>
                          </w:pPr>
                          <w:r>
                            <w:fldChar w:fldCharType="begin"/>
                          </w:r>
                          <w:r>
                            <w:rPr>
                              <w:rStyle w:val="9"/>
                            </w:rPr>
                            <w:instrText xml:space="preserve">PAGE  </w:instrText>
                          </w:r>
                          <w:r>
                            <w:fldChar w:fldCharType="separate"/>
                          </w:r>
                          <w:r>
                            <w:rPr>
                              <w:rStyle w:val="9"/>
                            </w:rP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D10B576">
                    <w:pPr>
                      <w:pStyle w:val="4"/>
                      <w:rPr>
                        <w:rStyle w:val="9"/>
                      </w:rPr>
                    </w:pPr>
                    <w:r>
                      <w:fldChar w:fldCharType="begin"/>
                    </w:r>
                    <w:r>
                      <w:rPr>
                        <w:rStyle w:val="9"/>
                      </w:rPr>
                      <w:instrText xml:space="preserve">PAGE  </w:instrText>
                    </w:r>
                    <w:r>
                      <w:fldChar w:fldCharType="separate"/>
                    </w:r>
                    <w:r>
                      <w:rPr>
                        <w:rStyle w:val="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9946A">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0</w:t>
    </w:r>
    <w:r>
      <w:fldChar w:fldCharType="end"/>
    </w:r>
  </w:p>
  <w:p w14:paraId="034256DE">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5C6E">
    <w:pPr>
      <w:pStyle w:val="4"/>
      <w:jc w:val="center"/>
      <w:rPr>
        <w:rFonts w:hint="eastAsia" w:eastAsia="宋体"/>
        <w:lang w:eastAsia="zh-CN"/>
      </w:rPr>
    </w:pPr>
    <w:r>
      <w:rPr>
        <w:rFonts w:hint="eastAsia"/>
      </w:rPr>
      <w:t>1</w:t>
    </w:r>
    <w:r>
      <w:rPr>
        <w:rFonts w:hint="eastAsia"/>
        <w:lang w:val="en-US" w:eastAsia="zh-CN"/>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5F779">
    <w:pPr>
      <w:pStyle w:val="4"/>
      <w:tabs>
        <w:tab w:val="left" w:pos="4530"/>
      </w:tabs>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B9ECA5">
                          <w:pPr>
                            <w:pStyle w:val="4"/>
                            <w:rPr>
                              <w:rStyle w:val="9"/>
                            </w:rPr>
                          </w:pPr>
                          <w:r>
                            <w:fldChar w:fldCharType="begin"/>
                          </w:r>
                          <w:r>
                            <w:rPr>
                              <w:rStyle w:val="9"/>
                            </w:rPr>
                            <w:instrText xml:space="preserve">PAGE  </w:instrText>
                          </w:r>
                          <w:r>
                            <w:fldChar w:fldCharType="separate"/>
                          </w:r>
                          <w:r>
                            <w:rPr>
                              <w:rStyle w:val="9"/>
                            </w:rPr>
                            <w:t>15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1BB9ECA5">
                    <w:pPr>
                      <w:pStyle w:val="4"/>
                      <w:rPr>
                        <w:rStyle w:val="9"/>
                      </w:rPr>
                    </w:pPr>
                    <w:r>
                      <w:fldChar w:fldCharType="begin"/>
                    </w:r>
                    <w:r>
                      <w:rPr>
                        <w:rStyle w:val="9"/>
                      </w:rPr>
                      <w:instrText xml:space="preserve">PAGE  </w:instrText>
                    </w:r>
                    <w:r>
                      <w:fldChar w:fldCharType="separate"/>
                    </w:r>
                    <w:r>
                      <w:rPr>
                        <w:rStyle w:val="9"/>
                      </w:rP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EAC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85FD5"/>
    <w:rsid w:val="1FE85FD5"/>
    <w:rsid w:val="60BD0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kern w:val="1"/>
      <w:szCs w:val="21"/>
      <w:lang w:val="en-US" w:eastAsia="ar-SA"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28"/>
    </w:rPr>
  </w:style>
  <w:style w:type="paragraph" w:styleId="3">
    <w:name w:val="Normal Indent"/>
    <w:qFormat/>
    <w:uiPriority w:val="0"/>
    <w:pPr>
      <w:widowControl w:val="0"/>
      <w:ind w:firstLine="420" w:firstLineChars="200"/>
      <w:jc w:val="both"/>
    </w:pPr>
    <w:rPr>
      <w:rFonts w:ascii="仿宋_GB2312" w:hAnsi="Times New Roman" w:eastAsia="仿宋_GB2312" w:cs="Times New Roman"/>
      <w:color w:val="000000"/>
      <w:sz w:val="32"/>
      <w:szCs w:val="3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2025-04-17T08:13:00Z</dcterms:created>
  <dc:creator>CPF</dc:creator>
  <cp:lastModifiedBy>CPF</cp:lastModifiedBy>
  <dcterms:modified xsi:type="dcterms:W3CDTF">2025-04-17T08:13:47Z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5ECC84367C3645FC9A9FD38A4223C11E_11</vt:lpwstr>
  </property>
  <property fmtid="{D5CDD505-2E9C-101B-9397-08002B2CF9AE}" pid="4" name="KSOTemplateDocerSaveRecord">
    <vt:lpwstr>eyJoZGlkIjoiZjhmNDg0ZDYxYzAwMjA1YjVhYmNjNWMyZTlkYTM3NzEiLCJ1c2VySWQiOiIzOTIyMjAyMjUifQ==</vt:lpwstr>
  </property>
</Properties>
</file>