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highlight w:val="none"/>
          <w:lang w:eastAsia="zh-CN"/>
        </w:rPr>
      </w:pPr>
      <w:bookmarkStart w:id="0" w:name="_GoBack"/>
      <w:r>
        <w:rPr>
          <w:rFonts w:hint="eastAsia" w:ascii="Times New Roman" w:hAnsi="Times New Roman" w:eastAsia="方正小标宋简体" w:cs="Times New Roman"/>
          <w:spacing w:val="0"/>
          <w:sz w:val="44"/>
          <w:szCs w:val="44"/>
          <w:lang w:eastAsia="zh-CN"/>
        </w:rPr>
        <w:t>关于《关于&lt;关于进一步加强城市管理工作的指导意见&gt;的实施办法（征求意见稿）》</w:t>
      </w:r>
      <w:r>
        <w:rPr>
          <w:rFonts w:ascii="Times New Roman" w:hAnsi="Times New Roman" w:eastAsia="方正小标宋简体" w:cs="Times New Roman"/>
          <w:spacing w:val="0"/>
          <w:sz w:val="44"/>
          <w:szCs w:val="44"/>
          <w:lang w:eastAsia="zh-CN"/>
        </w:rPr>
        <w:t>的起草说明</w:t>
      </w:r>
    </w:p>
    <w:bookmarkEnd w:id="0"/>
    <w:p>
      <w:pPr>
        <w:pStyle w:val="5"/>
        <w:keepNext w:val="0"/>
        <w:keepLines w:val="0"/>
        <w:pageBreakBefore w:val="0"/>
        <w:widowControl w:val="0"/>
        <w:spacing w:line="560" w:lineRule="exact"/>
        <w:ind w:left="0" w:firstLine="640" w:firstLineChars="200"/>
        <w:rPr>
          <w:rFonts w:hint="eastAsia" w:ascii="黑体" w:hAnsi="黑体" w:eastAsia="黑体" w:cs="黑体"/>
          <w:sz w:val="32"/>
          <w:szCs w:val="32"/>
        </w:rPr>
      </w:pPr>
      <w:r>
        <w:rPr>
          <w:rFonts w:ascii="黑体" w:hAnsi="黑体" w:eastAsia="黑体" w:cs="黑体"/>
          <w:sz w:val="32"/>
          <w:szCs w:val="32"/>
        </w:rPr>
        <w:t>一、起草</w:t>
      </w:r>
      <w:r>
        <w:rPr>
          <w:rFonts w:hint="eastAsia" w:ascii="黑体" w:hAnsi="黑体" w:eastAsia="黑体" w:cs="黑体"/>
          <w:sz w:val="32"/>
          <w:szCs w:val="32"/>
        </w:rPr>
        <w:t>背景</w:t>
      </w:r>
    </w:p>
    <w:p>
      <w:pPr>
        <w:pStyle w:val="5"/>
        <w:keepNext w:val="0"/>
        <w:keepLines w:val="0"/>
        <w:pageBreakBefore w:val="0"/>
        <w:widowControl w:val="0"/>
        <w:spacing w:line="560" w:lineRule="exact"/>
        <w:ind w:left="0"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为进一步理顺城市管理体制，健全城市管理长效机制，践行新时代枫桥经验，提高城市治理能力，提升城市精细化管理水平，</w:t>
      </w:r>
      <w:r>
        <w:rPr>
          <w:rFonts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依据绍兴市政府《</w:t>
      </w:r>
      <w:r>
        <w:rPr>
          <w:rFonts w:hint="eastAsia" w:ascii="仿宋_GB2312" w:hAnsi="仿宋_GB2312" w:eastAsia="仿宋_GB2312" w:cs="仿宋_GB2312"/>
          <w:color w:val="000000"/>
          <w:sz w:val="32"/>
          <w:szCs w:val="32"/>
          <w:shd w:val="clear" w:color="auto" w:fill="FFFFFF"/>
        </w:rPr>
        <w:t>关于进一步加强城市管理工作的</w:t>
      </w:r>
      <w:r>
        <w:rPr>
          <w:rFonts w:ascii="仿宋_GB2312" w:hAnsi="仿宋_GB2312" w:eastAsia="仿宋_GB2312" w:cs="仿宋_GB2312"/>
          <w:color w:val="000000"/>
          <w:sz w:val="32"/>
          <w:szCs w:val="32"/>
          <w:shd w:val="clear" w:color="auto" w:fill="FFFFFF"/>
        </w:rPr>
        <w:t>若干</w:t>
      </w:r>
      <w:r>
        <w:rPr>
          <w:rFonts w:hint="eastAsia" w:ascii="仿宋_GB2312" w:hAnsi="仿宋_GB2312" w:eastAsia="仿宋_GB2312" w:cs="仿宋_GB2312"/>
          <w:color w:val="000000"/>
          <w:sz w:val="32"/>
          <w:szCs w:val="32"/>
          <w:shd w:val="clear" w:color="auto" w:fill="FFFFFF"/>
        </w:rPr>
        <w:t>意见</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绍政发〔2024〕33号）</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绍兴市综合行政执法局</w:t>
      </w:r>
      <w:r>
        <w:rPr>
          <w:rFonts w:hint="eastAsia" w:ascii="仿宋_GB2312" w:hAnsi="仿宋_GB2312" w:eastAsia="仿宋_GB2312" w:cs="仿宋_GB2312"/>
          <w:color w:val="000000"/>
          <w:sz w:val="32"/>
          <w:szCs w:val="32"/>
          <w:shd w:val="clear" w:color="auto" w:fill="FFFFFF"/>
        </w:rPr>
        <w:t>《关于进一步加强城市管理工作的指导意见（征求意见稿）》</w:t>
      </w:r>
      <w:r>
        <w:rPr>
          <w:rFonts w:ascii="仿宋_GB2312" w:hAnsi="仿宋_GB2312" w:eastAsia="仿宋_GB2312" w:cs="仿宋_GB2312"/>
          <w:color w:val="000000"/>
          <w:sz w:val="32"/>
          <w:szCs w:val="32"/>
          <w:shd w:val="clear" w:color="auto" w:fill="FFFFFF"/>
        </w:rPr>
        <w:t>等相关文件精神，</w:t>
      </w:r>
      <w:r>
        <w:rPr>
          <w:rFonts w:hint="eastAsia"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县综合行政执法局起草制定了《关于&lt;关于进一步加强城市管理工作的指导意见&gt;的实施办法（征求意见稿）》</w:t>
      </w:r>
      <w:r>
        <w:rPr>
          <w:rFonts w:hint="eastAsia" w:ascii="仿宋_GB2312" w:hAnsi="仿宋_GB2312" w:eastAsia="仿宋_GB2312" w:cs="仿宋_GB2312"/>
          <w:color w:val="000000"/>
          <w:sz w:val="32"/>
          <w:szCs w:val="32"/>
          <w:shd w:val="clear" w:color="auto" w:fill="FFFFFF"/>
        </w:rPr>
        <w:t>（以下简称《实施办法》）</w:t>
      </w:r>
    </w:p>
    <w:p>
      <w:pPr>
        <w:ind w:firstLine="640" w:firstLineChars="200"/>
        <w:rPr>
          <w:rFonts w:ascii="黑体" w:hAnsi="黑体" w:eastAsia="黑体" w:cs="黑体"/>
          <w:bCs/>
          <w:sz w:val="32"/>
          <w:szCs w:val="32"/>
          <w:shd w:val="clear" w:color="auto" w:fill="auto"/>
          <w:lang w:eastAsia="zh-CN"/>
        </w:rPr>
      </w:pPr>
      <w:r>
        <w:rPr>
          <w:rFonts w:ascii="黑体" w:hAnsi="黑体" w:eastAsia="黑体" w:cs="黑体"/>
          <w:bCs/>
          <w:sz w:val="32"/>
          <w:szCs w:val="32"/>
          <w:shd w:val="clear" w:color="auto" w:fill="auto"/>
          <w:lang w:eastAsia="zh-CN"/>
        </w:rPr>
        <w:t>二、起草过程</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新昌县人民政府</w:t>
      </w:r>
      <w:r>
        <w:rPr>
          <w:rFonts w:hint="eastAsia" w:ascii="仿宋_GB2312" w:hAnsi="仿宋_GB2312" w:eastAsia="仿宋_GB2312" w:cs="仿宋_GB2312"/>
          <w:sz w:val="32"/>
          <w:szCs w:val="32"/>
        </w:rPr>
        <w:t>将《</w:t>
      </w:r>
      <w:r>
        <w:rPr>
          <w:rFonts w:hint="eastAsia" w:ascii="仿宋_GB2312" w:hAnsi="仿宋_GB2312" w:eastAsia="仿宋_GB2312" w:cs="仿宋_GB2312"/>
          <w:b w:val="0"/>
          <w:bCs w:val="0"/>
          <w:i w:val="0"/>
          <w:caps w:val="0"/>
          <w:smallCaps w:val="0"/>
          <w:color w:val="000000"/>
          <w:spacing w:val="0"/>
          <w:kern w:val="2"/>
          <w:sz w:val="32"/>
          <w:szCs w:val="32"/>
          <w:highlight w:val="none"/>
          <w:shd w:val="clear" w:color="auto" w:fill="FFFFFF"/>
          <w:lang w:val="en-US" w:eastAsia="zh-CN" w:bidi="ar-SA"/>
        </w:rPr>
        <w:t>关于&lt;关于进一步加强城市管理工作的指导意见&gt;的实施办法</w:t>
      </w:r>
      <w:r>
        <w:rPr>
          <w:rFonts w:hint="eastAsia" w:ascii="仿宋_GB2312" w:hAnsi="仿宋_GB2312" w:eastAsia="仿宋_GB2312" w:cs="仿宋_GB2312"/>
          <w:sz w:val="32"/>
          <w:szCs w:val="32"/>
        </w:rPr>
        <w:t>》列入</w:t>
      </w:r>
      <w:r>
        <w:rPr>
          <w:rFonts w:ascii="仿宋_GB2312" w:hAnsi="仿宋_GB2312" w:eastAsia="仿宋_GB2312" w:cs="仿宋_GB2312"/>
          <w:sz w:val="32"/>
          <w:szCs w:val="32"/>
        </w:rPr>
        <w:t>新昌县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度</w:t>
      </w:r>
      <w:r>
        <w:rPr>
          <w:rFonts w:hint="eastAsia" w:ascii="仿宋_GB2312" w:hAnsi="仿宋_GB2312" w:eastAsia="仿宋_GB2312" w:cs="仿宋_GB2312"/>
          <w:sz w:val="32"/>
          <w:szCs w:val="32"/>
          <w:lang w:eastAsia="zh-CN"/>
        </w:rPr>
        <w:t>县</w:t>
      </w:r>
      <w:r>
        <w:rPr>
          <w:rFonts w:ascii="仿宋_GB2312" w:hAnsi="仿宋_GB2312" w:eastAsia="仿宋_GB2312" w:cs="仿宋_GB2312"/>
          <w:sz w:val="32"/>
          <w:szCs w:val="32"/>
        </w:rPr>
        <w:t>政府重大行政决策事项</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《重大行政决策程序暂行条例》《浙江省重大行政决策程序规定》</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，新昌县综合行政执法局于</w:t>
      </w:r>
      <w:r>
        <w:rPr>
          <w:rFonts w:hint="eastAsia" w:ascii="仿宋_GB2312" w:hAnsi="仿宋_GB2312" w:eastAsia="仿宋_GB2312" w:cs="仿宋_GB2312"/>
          <w:sz w:val="32"/>
          <w:szCs w:val="32"/>
        </w:rPr>
        <w:t>2024年8月启动《实施办法》的起草工作，</w:t>
      </w:r>
      <w:r>
        <w:rPr>
          <w:rFonts w:hint="eastAsia" w:ascii="仿宋_GB2312" w:hAnsi="仿宋_GB2312" w:eastAsia="仿宋_GB2312" w:cs="仿宋_GB2312"/>
          <w:sz w:val="32"/>
          <w:szCs w:val="32"/>
          <w:highlight w:val="none"/>
        </w:rPr>
        <w:t>2024年10月形成征求意见稿并完成相关部门及乡镇（街道）意见征求工作。我局根据相关反馈意见，修改完善后，已于目前形成《实施</w:t>
      </w:r>
      <w:r>
        <w:rPr>
          <w:rFonts w:ascii="仿宋_GB2312" w:hAnsi="仿宋_GB2312" w:eastAsia="仿宋_GB2312" w:cs="仿宋_GB2312"/>
          <w:sz w:val="32"/>
          <w:szCs w:val="32"/>
          <w:highlight w:val="none"/>
        </w:rPr>
        <w:t>办法</w:t>
      </w:r>
      <w:r>
        <w:rPr>
          <w:rFonts w:hint="eastAsia" w:ascii="仿宋_GB2312" w:hAnsi="仿宋_GB2312" w:eastAsia="仿宋_GB2312" w:cs="仿宋_GB2312"/>
          <w:sz w:val="32"/>
          <w:szCs w:val="32"/>
          <w:highlight w:val="none"/>
        </w:rPr>
        <w:t>》。</w:t>
      </w:r>
    </w:p>
    <w:p>
      <w:pPr>
        <w:ind w:firstLine="640" w:firstLineChars="200"/>
        <w:rPr>
          <w:rFonts w:hint="eastAsia" w:ascii="黑体" w:hAnsi="黑体" w:eastAsia="黑体" w:cs="黑体"/>
          <w:bCs/>
          <w:sz w:val="32"/>
          <w:szCs w:val="32"/>
          <w:highlight w:val="none"/>
          <w:shd w:val="clear" w:color="auto" w:fill="auto"/>
        </w:rPr>
      </w:pPr>
      <w:r>
        <w:rPr>
          <w:rFonts w:ascii="黑体" w:hAnsi="黑体" w:eastAsia="黑体" w:cs="黑体"/>
          <w:bCs/>
          <w:sz w:val="32"/>
          <w:szCs w:val="32"/>
          <w:highlight w:val="none"/>
          <w:shd w:val="clear" w:color="auto" w:fill="auto"/>
        </w:rPr>
        <w:t>三、</w:t>
      </w:r>
      <w:r>
        <w:rPr>
          <w:rFonts w:hint="eastAsia" w:ascii="黑体" w:hAnsi="黑体" w:eastAsia="黑体" w:cs="黑体"/>
          <w:bCs/>
          <w:sz w:val="32"/>
          <w:szCs w:val="32"/>
          <w:highlight w:val="none"/>
          <w:shd w:val="clear" w:color="auto" w:fill="auto"/>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《实施意见》分为</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部分</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bCs/>
          <w:sz w:val="32"/>
          <w:szCs w:val="32"/>
          <w:highlight w:val="none"/>
        </w:rPr>
      </w:pPr>
      <w:r>
        <w:rPr>
          <w:rFonts w:hint="eastAsia" w:ascii="黑体" w:hAnsi="黑体" w:eastAsia="黑体" w:cs="黑体"/>
          <w:bCs/>
          <w:sz w:val="32"/>
          <w:szCs w:val="32"/>
          <w:highlight w:val="none"/>
          <w:shd w:val="clear" w:color="auto" w:fill="auto"/>
          <w:lang w:eastAsia="zh-CN"/>
        </w:rPr>
        <w:t>第一部分，指导思想</w:t>
      </w:r>
      <w:r>
        <w:rPr>
          <w:rFonts w:hint="eastAsia" w:ascii="黑体" w:hAnsi="黑体" w:eastAsia="黑体" w:cs="黑体"/>
          <w:bCs/>
          <w:sz w:val="32"/>
          <w:szCs w:val="32"/>
          <w:highlight w:val="none"/>
          <w:shd w:val="clear" w:color="auto" w:fill="auto"/>
        </w:rPr>
        <w:t>。</w:t>
      </w:r>
      <w:r>
        <w:rPr>
          <w:rFonts w:hint="eastAsia" w:ascii="仿宋_GB2312" w:hAnsi="仿宋_GB2312" w:eastAsia="仿宋_GB2312" w:cs="仿宋_GB2312"/>
          <w:bCs/>
          <w:sz w:val="32"/>
          <w:szCs w:val="32"/>
        </w:rPr>
        <w:t>以“打造宜居、韧性、智慧城市”为指引，深入学习贯彻习近平总书记考察浙江重要讲话精神和考察绍兴重要指示精神，坚持“人民城市人民建，人民城市为人民”的重要理念</w:t>
      </w:r>
      <w:r>
        <w:rPr>
          <w:rFonts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highlight w:val="none"/>
          <w:shd w:val="clear" w:color="auto" w:fill="auto"/>
        </w:rPr>
        <w:t>第二部分，工作目标。</w:t>
      </w:r>
      <w:r>
        <w:rPr>
          <w:rFonts w:hint="eastAsia" w:ascii="仿宋_GB2312" w:hAnsi="仿宋_GB2312" w:eastAsia="仿宋_GB2312" w:cs="仿宋_GB2312"/>
          <w:bCs/>
          <w:sz w:val="32"/>
          <w:szCs w:val="32"/>
        </w:rPr>
        <w:t>构建权责明晰、服务为先、管理优化、执法规范、安全有序的城市精细化管理体系，全面推进城市治理体系和治理能力现代化。</w:t>
      </w:r>
    </w:p>
    <w:p>
      <w:pPr>
        <w:keepNext w:val="0"/>
        <w:keepLines w:val="0"/>
        <w:pageBreakBefore w:val="0"/>
        <w:widowControl w:val="0"/>
        <w:kinsoku/>
        <w:wordWrap/>
        <w:overflowPunct/>
        <w:topLinePunct w:val="0"/>
        <w:autoSpaceDE/>
        <w:autoSpaceDN/>
        <w:spacing w:line="560" w:lineRule="exact"/>
        <w:ind w:left="0" w:firstLine="640" w:firstLineChars="200"/>
        <w:rPr>
          <w:rFonts w:hint="eastAsia" w:ascii="仿宋_GB2312" w:hAnsi="仿宋_GB2312" w:eastAsia="仿宋_GB2312" w:cs="仿宋_GB2312"/>
          <w:bCs/>
          <w:sz w:val="32"/>
          <w:szCs w:val="32"/>
          <w:highlight w:val="none"/>
          <w:lang w:eastAsia="zh-CN"/>
        </w:rPr>
      </w:pPr>
      <w:r>
        <w:rPr>
          <w:rFonts w:hint="eastAsia" w:ascii="黑体" w:hAnsi="黑体" w:eastAsia="黑体" w:cs="黑体"/>
          <w:bCs/>
          <w:sz w:val="32"/>
          <w:szCs w:val="32"/>
          <w:highlight w:val="none"/>
          <w:shd w:val="clear" w:color="auto" w:fill="auto"/>
        </w:rPr>
        <w:t>第三部分，工作机制。</w:t>
      </w:r>
      <w:r>
        <w:rPr>
          <w:rFonts w:hint="eastAsia" w:ascii="仿宋_GB2312" w:hAnsi="仿宋_GB2312" w:eastAsia="仿宋_GB2312" w:cs="仿宋_GB2312"/>
          <w:bCs/>
          <w:sz w:val="32"/>
          <w:szCs w:val="32"/>
          <w:highlight w:val="none"/>
        </w:rPr>
        <w:t>主要涉及</w:t>
      </w:r>
      <w:r>
        <w:rPr>
          <w:rFonts w:hint="eastAsia" w:ascii="仿宋_GB2312" w:hAnsi="仿宋_GB2312" w:eastAsia="仿宋_GB2312" w:cs="仿宋_GB2312"/>
          <w:bCs/>
          <w:sz w:val="32"/>
          <w:szCs w:val="32"/>
        </w:rPr>
        <w:t>强化政府主体责任、发挥城管委统筹作用、明确部门工作职责、夯实基层治理基础、厘清管理界限、构建全生命周期管理、优化监督考核</w:t>
      </w:r>
      <w:r>
        <w:rPr>
          <w:rFonts w:hint="eastAsia" w:ascii="仿宋_GB2312" w:hAnsi="仿宋_GB2312" w:eastAsia="仿宋_GB2312" w:cs="仿宋_GB2312"/>
          <w:bCs/>
          <w:sz w:val="32"/>
          <w:szCs w:val="32"/>
          <w:highlight w:val="none"/>
          <w:lang w:eastAsia="zh-CN"/>
        </w:rPr>
        <w:t>七个方面。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四</w:t>
      </w:r>
      <w:r>
        <w:rPr>
          <w:rFonts w:hint="eastAsia" w:ascii="黑体" w:hAnsi="黑体" w:eastAsia="黑体" w:cs="黑体"/>
          <w:bCs/>
          <w:szCs w:val="32"/>
          <w:highlight w:val="none"/>
          <w:shd w:val="clear" w:color="auto" w:fill="auto"/>
        </w:rPr>
        <w:t>部分，明确工作内容。</w:t>
      </w:r>
      <w:r>
        <w:rPr>
          <w:rFonts w:hint="eastAsia" w:ascii="仿宋_GB2312" w:hAnsi="仿宋_GB2312" w:cs="仿宋_GB2312"/>
          <w:szCs w:val="32"/>
          <w:highlight w:val="none"/>
        </w:rPr>
        <w:t>主要涉及</w:t>
      </w:r>
      <w:r>
        <w:rPr>
          <w:rFonts w:ascii="仿宋_GB2312" w:hAnsi="仿宋_GB2312" w:cs="仿宋_GB2312"/>
          <w:szCs w:val="32"/>
          <w:highlight w:val="none"/>
        </w:rPr>
        <w:t>八</w:t>
      </w:r>
      <w:r>
        <w:rPr>
          <w:rFonts w:hint="eastAsia" w:ascii="仿宋_GB2312" w:hAnsi="仿宋_GB2312" w:cs="仿宋_GB2312"/>
          <w:szCs w:val="32"/>
          <w:highlight w:val="none"/>
        </w:rPr>
        <w:t>类城市管理重点领域（环境卫生、市容管理、市政设施、公用事业、园林绿化、环境保护、违法建设、风险防范）共25个方面。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五</w:t>
      </w:r>
      <w:r>
        <w:rPr>
          <w:rFonts w:hint="eastAsia" w:ascii="黑体" w:hAnsi="黑体" w:eastAsia="黑体" w:cs="黑体"/>
          <w:bCs/>
          <w:szCs w:val="32"/>
          <w:highlight w:val="none"/>
          <w:shd w:val="clear" w:color="auto" w:fill="auto"/>
        </w:rPr>
        <w:t>部分，改进工作措施。</w:t>
      </w:r>
      <w:r>
        <w:rPr>
          <w:rFonts w:hint="eastAsia" w:ascii="仿宋_GB2312" w:hAnsi="仿宋_GB2312" w:cs="仿宋_GB2312"/>
          <w:bCs/>
          <w:szCs w:val="32"/>
          <w:highlight w:val="none"/>
        </w:rPr>
        <w:t>主要涉及网格化处置、法治化手段，智能化应用三个方面。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六</w:t>
      </w:r>
      <w:r>
        <w:rPr>
          <w:rFonts w:hint="eastAsia" w:ascii="黑体" w:hAnsi="黑体" w:eastAsia="黑体" w:cs="黑体"/>
          <w:bCs/>
          <w:szCs w:val="32"/>
          <w:highlight w:val="none"/>
          <w:shd w:val="clear" w:color="auto" w:fill="auto"/>
        </w:rPr>
        <w:t>部分，</w:t>
      </w:r>
      <w:r>
        <w:rPr>
          <w:rFonts w:hint="eastAsia" w:ascii="黑体" w:hAnsi="黑体" w:eastAsia="黑体" w:cs="黑体"/>
          <w:bCs/>
          <w:szCs w:val="32"/>
          <w:highlight w:val="none"/>
          <w:shd w:val="clear" w:color="auto" w:fill="auto"/>
          <w:lang w:eastAsia="zh-CN"/>
        </w:rPr>
        <w:t>工作保障</w:t>
      </w:r>
      <w:r>
        <w:rPr>
          <w:rFonts w:hint="eastAsia" w:ascii="黑体" w:hAnsi="黑体" w:eastAsia="黑体" w:cs="黑体"/>
          <w:bCs/>
          <w:szCs w:val="32"/>
          <w:highlight w:val="none"/>
          <w:shd w:val="clear" w:color="auto" w:fill="auto"/>
        </w:rPr>
        <w:t>。</w:t>
      </w:r>
      <w:r>
        <w:rPr>
          <w:rFonts w:hint="eastAsia" w:ascii="仿宋_GB2312" w:hAnsi="仿宋_GB2312" w:cs="仿宋_GB2312"/>
          <w:bCs/>
          <w:szCs w:val="32"/>
          <w:highlight w:val="none"/>
        </w:rPr>
        <w:t>主要涉及政策供给，经费投入、执法队伍建设及物资保障四个方面</w:t>
      </w:r>
    </w:p>
    <w:p>
      <w:pPr>
        <w:pStyle w:val="6"/>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仿宋_GB2312" w:hAnsi="仿宋_GB2312" w:cs="仿宋_GB2312"/>
          <w:bCs/>
          <w:szCs w:val="32"/>
          <w:highlight w:val="none"/>
        </w:rPr>
      </w:pPr>
      <w:r>
        <w:rPr>
          <w:rFonts w:hint="eastAsia" w:ascii="黑体" w:hAnsi="黑体" w:eastAsia="黑体" w:cs="黑体"/>
          <w:bCs/>
          <w:szCs w:val="32"/>
          <w:highlight w:val="none"/>
          <w:shd w:val="clear" w:color="auto" w:fill="auto"/>
        </w:rPr>
        <w:t>第</w:t>
      </w:r>
      <w:r>
        <w:rPr>
          <w:rFonts w:hint="eastAsia" w:ascii="黑体" w:hAnsi="黑体" w:eastAsia="黑体" w:cs="黑体"/>
          <w:bCs/>
          <w:szCs w:val="32"/>
          <w:highlight w:val="none"/>
          <w:shd w:val="clear" w:color="auto" w:fill="auto"/>
          <w:lang w:eastAsia="zh-CN"/>
        </w:rPr>
        <w:t>七</w:t>
      </w:r>
      <w:r>
        <w:rPr>
          <w:rFonts w:hint="eastAsia" w:ascii="黑体" w:hAnsi="黑体" w:eastAsia="黑体" w:cs="黑体"/>
          <w:bCs/>
          <w:szCs w:val="32"/>
          <w:highlight w:val="none"/>
          <w:shd w:val="clear" w:color="auto" w:fill="auto"/>
        </w:rPr>
        <w:t>部分，</w:t>
      </w:r>
      <w:r>
        <w:rPr>
          <w:rFonts w:hint="eastAsia" w:ascii="黑体" w:hAnsi="黑体" w:eastAsia="黑体" w:cs="黑体"/>
          <w:bCs/>
          <w:szCs w:val="32"/>
          <w:highlight w:val="none"/>
          <w:shd w:val="clear" w:color="auto" w:fill="auto"/>
          <w:lang w:eastAsia="zh-CN"/>
        </w:rPr>
        <w:t>工作氛围</w:t>
      </w:r>
      <w:r>
        <w:rPr>
          <w:rFonts w:hint="eastAsia" w:ascii="黑体" w:hAnsi="黑体" w:eastAsia="黑体" w:cs="黑体"/>
          <w:bCs/>
          <w:szCs w:val="32"/>
          <w:highlight w:val="none"/>
          <w:shd w:val="clear" w:color="auto" w:fill="auto"/>
        </w:rPr>
        <w:t>。</w:t>
      </w:r>
      <w:r>
        <w:rPr>
          <w:rFonts w:hint="eastAsia" w:ascii="仿宋_GB2312" w:hAnsi="仿宋_GB2312" w:cs="仿宋_GB2312"/>
          <w:bCs/>
          <w:szCs w:val="32"/>
          <w:highlight w:val="none"/>
        </w:rPr>
        <w:t>主要涉及舆论引导，宣传教育、社会参与三个方面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新昌县</w:t>
      </w:r>
      <w:r>
        <w:rPr>
          <w:rFonts w:ascii="仿宋" w:hAnsi="仿宋" w:eastAsia="仿宋" w:cs="仿宋"/>
          <w:sz w:val="32"/>
          <w:szCs w:val="32"/>
        </w:rPr>
        <w:t>综合行政执法</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spacing w:line="560" w:lineRule="exact"/>
        <w:ind w:left="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lang w:val="en-US" w:eastAsia="zh-CN"/>
        </w:rPr>
        <w:t>10</w:t>
      </w:r>
      <w:r>
        <w:rPr>
          <w:rFonts w:hint="eastAsia" w:ascii="仿宋" w:hAnsi="仿宋" w:eastAsia="仿宋" w:cs="仿宋"/>
          <w:sz w:val="32"/>
          <w:szCs w:val="32"/>
        </w:rPr>
        <w:t>月</w:t>
      </w:r>
      <w:r>
        <w:rPr>
          <w:rFonts w:ascii="仿宋" w:hAnsi="仿宋" w:eastAsia="仿宋" w:cs="仿宋"/>
          <w:sz w:val="32"/>
          <w:szCs w:val="32"/>
          <w:lang w:val="en-US" w:eastAsia="zh-CN"/>
        </w:rPr>
        <w:t>22</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rsids>
    <w:rsidRoot w:val="00000000"/>
    <w:rsid w:val="7B79C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spacing w:line="360" w:lineRule="auto"/>
      <w:ind w:firstLine="200" w:firstLineChars="200"/>
      <w:jc w:val="both"/>
    </w:pPr>
    <w:rPr>
      <w:rFonts w:ascii="等线" w:hAnsi="等线" w:eastAsia="仿宋" w:cs="Times New Roman"/>
      <w:kern w:val="2"/>
      <w:sz w:val="28"/>
      <w:szCs w:val="22"/>
      <w:lang w:val="en-US" w:eastAsia="zh-CN" w:bidi="ar-SA"/>
    </w:rPr>
  </w:style>
  <w:style w:type="paragraph" w:styleId="6">
    <w:name w:val="Body Text"/>
    <w:basedOn w:val="1"/>
    <w:next w:val="1"/>
    <w:qFormat/>
    <w:uiPriority w:val="0"/>
    <w:pPr>
      <w:widowControl w:val="0"/>
      <w:spacing w:before="0" w:after="140" w:line="276" w:lineRule="auto"/>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2</Pages>
  <Words>0</Words>
  <Characters>694</Characters>
  <Lines>0</Lines>
  <Paragraphs>20</Paragraphs>
  <TotalTime>6</TotalTime>
  <ScaleCrop>false</ScaleCrop>
  <LinksUpToDate>false</LinksUpToDate>
  <CharactersWithSpaces>926</CharactersWithSpaces>
  <Application>WPS Office_11.8.2.11763_F1E327BC-269C-435d-A152-05C5408002CA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2021-05-08T15:28:00Z</dcterms:created>
  <dc:creator>User274</dc:creator>
  <cp:lastModifiedBy>inspur</cp:lastModifiedBy>
  <dcterms:modified xsi:type="dcterms:W3CDTF">2024-10-23T11:40:27Z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C7FA63318F732AC12B7018678A606067</vt:lpwstr>
  </property>
</Properties>
</file>