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w w:val="100"/>
          <w:kern w:val="0"/>
          <w:sz w:val="44"/>
          <w:szCs w:val="44"/>
          <w:lang w:val="en-US" w:eastAsia="zh-CN" w:bidi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/>
          <w:w w:val="100"/>
          <w:kern w:val="0"/>
          <w:sz w:val="44"/>
          <w:szCs w:val="44"/>
          <w:lang w:val="en-US" w:eastAsia="zh-CN" w:bidi="zh-CN"/>
        </w:rPr>
        <w:t>《甬金</w:t>
      </w:r>
      <w:r>
        <w:rPr>
          <w:rFonts w:hint="default" w:ascii="Times New Roman" w:hAnsi="Times New Roman" w:eastAsia="方正小标宋简体" w:cs="Times New Roman"/>
          <w:b w:val="0"/>
          <w:bCs/>
          <w:w w:val="100"/>
          <w:kern w:val="0"/>
          <w:sz w:val="44"/>
          <w:szCs w:val="44"/>
          <w:lang w:val="en-US" w:eastAsia="zh-CN" w:bidi="zh-CN"/>
        </w:rPr>
        <w:t>铁路东阳北站站前区域管理</w:t>
      </w:r>
      <w:r>
        <w:rPr>
          <w:rFonts w:hint="eastAsia" w:ascii="Times New Roman" w:hAnsi="Times New Roman" w:eastAsia="方正小标宋简体" w:cs="Times New Roman"/>
          <w:b w:val="0"/>
          <w:bCs/>
          <w:w w:val="100"/>
          <w:kern w:val="0"/>
          <w:sz w:val="44"/>
          <w:szCs w:val="44"/>
          <w:lang w:val="en-US" w:eastAsia="zh-CN" w:bidi="zh-CN"/>
        </w:rPr>
        <w:t>办法</w:t>
      </w:r>
      <w:r>
        <w:rPr>
          <w:rFonts w:hint="default" w:ascii="Times New Roman" w:hAnsi="Times New Roman" w:eastAsia="方正小标宋简体" w:cs="Times New Roman"/>
          <w:b w:val="0"/>
          <w:bCs/>
          <w:w w:val="100"/>
          <w:kern w:val="0"/>
          <w:sz w:val="44"/>
          <w:szCs w:val="44"/>
          <w:lang w:val="en-US" w:eastAsia="zh-CN" w:bidi="zh-CN"/>
        </w:rPr>
        <w:t>（试行）</w:t>
      </w:r>
      <w:r>
        <w:rPr>
          <w:rFonts w:hint="eastAsia" w:ascii="Times New Roman" w:hAnsi="Times New Roman" w:eastAsia="方正小标宋简体" w:cs="Times New Roman"/>
          <w:b w:val="0"/>
          <w:bCs/>
          <w:w w:val="100"/>
          <w:kern w:val="0"/>
          <w:sz w:val="44"/>
          <w:szCs w:val="44"/>
          <w:lang w:val="en-US" w:eastAsia="zh-CN" w:bidi="zh-CN"/>
        </w:rPr>
        <w:t>》（征求意见稿）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为维护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甬金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铁路东阳北站站前区域的公共秩序和环境卫生，根据《中华人民共和国治安管理处罚法》《中华人民共和国道路交通安全法》《中华人民共和国噪声污染防治法》《中华人民共和国道路运输条例》《浙江省城市市容和环境卫生管理条例》《浙江省城市绿化管理办法》《金华火车站站前区域综合管理办法（试行）》等有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法律法规及上级政策规定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现就加强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甬金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铁路东阳北站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站前广场管理有关事项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管理办法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一、管理范围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东阳北站站前区域范围（本范围纳入东阳城市化管理区域）：东至站前广场用地红线边界，西至站前广场用地红线边界，南至北五路，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北至东阳北站站房用地，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后续根据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东阳北站站前区域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建设进行管理范围调整。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二、管理规范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（一）公共设施管理。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站前区域新建、改建、扩建项目，应当符合相关规划要求，并与周边景观和环境相协调。供电、供气、供水、排水、通讯、有线电视等建设和维护，应当符合站前区域规划和城市容貌标准，不符合站前区域规划和城市容貌标准的，应当及时整改。站前区域内管理用房、公共停车场、客运交通和铁路的附属设施以及其它设施的养护、运营和管理，由其资产所有人或管理人负责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并接受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东阳市综合交通枢纽建设管理中心站前管理部门的指导和监督。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（二）市容市貌管理。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站前区域举办临时活动或设置临时设施的，应当按照相关程序报有关部门许可，按照许可的内容、范围和期限开展活动，在使用期限届满后，应及时拆除、恢复原状。站前区域禁止下列违反城市市容和环境卫生管理规定的行为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1.随地吐痰、便溺，乱倒生活垃圾、污水、粪便，乱扔果皮、纸屑、烟蒂、饮料罐、口香糖、塑料袋等废弃物；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2.在露天场所和垃圾收集容器内焚烧树叶、垃圾或者其他废弃物；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3.擅自设摊经营、兜售物品；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4.沿街和广场周边的经营者擅自超出门、窗进行店外经营、作业或者展示商品；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5.在树木、地面、电杆、建筑物、构筑物或者其他设施上任意刻画、涂写、张贴；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6.擅自在街道两侧和公共场地堆放物料，搭建建筑物、构筑物或者其他设施，影响市容；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7.在公共设施上晾晒、吊挂衣物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eastAsia="zh-CN" w:bidi="ar-SA"/>
        </w:rPr>
        <w:t>，在公共区域赤膊、躺卧等不文明现象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8.在禁烟场所或有禁烟标识的区域吸烟；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9.未经同意擅自占用城市绿地，在绿地内放牧、堆物、倾倒废弃物；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10.破坏草坪、绿篱、花卉、树木、植被，损坏城市绿地和绿化设施；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11.非完全民事行为能力人携带犬只外出；携带犬只外出时未使用束犬链牵领或者未采取装入犬袋、犬笼等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eastAsia="zh-CN" w:bidi="ar-SA"/>
        </w:rPr>
        <w:t>行为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；携带宠物外出时，未即时清理动物粪便等排泄物；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12.法律、法规、规章规定的其他影响城市市容和环境卫生的行为。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（三）道路交通管理。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站前区域禁止下列违反道路交通管理规定的行为：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1.车辆和行人不按照通行标志通行；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2.机动车、非机动车不在规定地点停放；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3.电动自行车、残疾人机动轮椅车违法载人；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4.电动自行车、残疾人机动轮椅车等未经登记或者未悬挂号牌上路行驶；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5.擅自改变电动自行车、残疾人机动轮椅车结构、主要技术参数和性能；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6.故意损毁、移动、涂改交通设施，擅自设置、占用、撤除道路停车泊位；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7.占用、堵塞、封闭消防通道；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8.其他违反道路交通管理规定的行为。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（四）道路运输管理。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站前区域禁止下列违反道路运输规定的行为：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1.未取得道路运输经营许可，擅自从事道路运输经营；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2.出租车驾驶人员不按规定收费，不按规定排队、不服从调度，在非指定区域揽客，显示空车时拒载，未经乘客同意拼载；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未经许可从事旅游包车经营，班车客运经营者不按照核定的班车客运线路从事客运经营活动，站外揽客；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4.法律、法规、规章规定的其他违反道路运输管理的行为。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（五）商业经营秩序管理。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站前区域禁止下列违反商业经营秩序管理规定的行为：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1.无证无照经营；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强买强卖商品，强迫他人提供服务或者强迫他人接受服务；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3.不明码标价或者不执行政府定价、指导价；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在商业经营、广告宣传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eastAsia="zh-CN" w:bidi="ar-SA"/>
        </w:rPr>
        <w:t>活动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eastAsia="zh-CN" w:bidi="ar-SA"/>
        </w:rPr>
        <w:t>采用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高音广播喇叭或持续反复发出高噪声及其他产生的噪音污染；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5.法律、法规、规章规定的其他违反商业经营秩序管理规定的行为。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（六）公共秩序和安全管理。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站前区域禁止下列扰乱公共秩序、妨害公共安全的行为：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1.反复纠缠、强行讨要或者以其他滋扰他人的方式乞讨；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2.法律、法规、规章规定的其他扰乱公共秩序或妨害公共安全的行为。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（七）流浪乞讨人员管理。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民政、公安、行政执法部门和其他有关行政执法机关的工作人员，在执行职务时发现流浪乞讨人员的，应当告知并劝导其自行前往救助站接受救助；对流浪乞讨人员中的残疾人、未成年人、老年人和行动不便的人员，应当引导、护送到民政救助管理机构；对经反复劝导后拒绝前往救助站接受救助的流浪乞讨人员，劝离站前区域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三、其他事项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本</w:t>
      </w:r>
      <w:r>
        <w:rPr>
          <w:rFonts w:hint="eastAsia" w:ascii="Times New Roman" w:hAnsi="Times New Roman" w:eastAsia="仿宋_GB2312" w:cs="Times New Roman"/>
          <w:spacing w:val="-6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办法</w:t>
      </w: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自2025年X月XX日（印发之日起算30日）起施行。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331AD"/>
    <w:rsid w:val="58F3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2025-08-15T08:27:00Z</dcterms:created>
  <dc:creator>Administrator</dc:creator>
  <cp:lastModifiedBy>Administrator</cp:lastModifiedBy>
  <dcterms:modified xsi:type="dcterms:W3CDTF">2025-08-15T08:29:09Z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