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微软雅黑" w:hAnsi="微软雅黑" w:cs="微软雅黑" w:eastAsia="微软雅黑"/>
          <w:b/>
          <w:color w:val="auto"/>
          <w:spacing w:val="0"/>
          <w:position w:val="-1"/>
          <w:sz w:val="28"/>
          <w:shd w:fill="auto" w:val="clear"/>
        </w:rPr>
      </w:pPr>
    </w:p>
    <w:p>
      <w:pPr>
        <w:spacing w:before="0" w:after="0" w:line="240"/>
        <w:ind w:right="0" w:left="0" w:firstLine="0"/>
        <w:jc w:val="center"/>
        <w:rPr>
          <w:rFonts w:ascii="微软雅黑" w:hAnsi="微软雅黑" w:cs="微软雅黑" w:eastAsia="微软雅黑"/>
          <w:b/>
          <w:color w:val="auto"/>
          <w:spacing w:val="0"/>
          <w:position w:val="-1"/>
          <w:sz w:val="28"/>
          <w:shd w:fill="auto" w:val="clear"/>
        </w:rPr>
      </w:pPr>
    </w:p>
    <w:tbl>
      <w:tblPr/>
      <w:tblGrid>
        <w:gridCol w:w="806"/>
        <w:gridCol w:w="1219"/>
        <w:gridCol w:w="1134"/>
        <w:gridCol w:w="5670"/>
        <w:gridCol w:w="1559"/>
        <w:gridCol w:w="2126"/>
        <w:gridCol w:w="2026"/>
      </w:tblGrid>
      <w:tr>
        <w:trPr>
          <w:trHeight w:val="484" w:hRule="auto"/>
          <w:jc w:val="left"/>
          <w:cantSplit w:val="1"/>
        </w:trPr>
        <w:tc>
          <w:tcPr>
            <w:tcW w:w="80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序号</w:t>
            </w:r>
          </w:p>
        </w:tc>
        <w:tc>
          <w:tcPr>
            <w:tcW w:w="121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提出单位或个人</w:t>
            </w:r>
          </w:p>
        </w:tc>
        <w:tc>
          <w:tcPr>
            <w:tcW w:w="68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反馈意见</w:t>
            </w:r>
          </w:p>
        </w:tc>
        <w:tc>
          <w:tcPr>
            <w:tcW w:w="155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采纳情况(采纳/部分采纳/未采纳)</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修改后文本</w:t>
            </w:r>
          </w:p>
        </w:tc>
        <w:tc>
          <w:tcPr>
            <w:tcW w:w="20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未采纳理由</w:t>
            </w:r>
          </w:p>
        </w:tc>
      </w:tr>
      <w:tr>
        <w:trPr>
          <w:trHeight w:val="736" w:hRule="auto"/>
          <w:jc w:val="left"/>
        </w:trPr>
        <w:tc>
          <w:tcPr>
            <w:tcW w:w="80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1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微软雅黑" w:hAnsi="微软雅黑" w:cs="微软雅黑" w:eastAsia="微软雅黑"/>
                <w:color w:val="auto"/>
                <w:spacing w:val="0"/>
                <w:position w:val="0"/>
                <w:sz w:val="24"/>
                <w:shd w:fill="auto" w:val="clear"/>
              </w:rPr>
            </w:pPr>
            <w:r>
              <w:rPr>
                <w:rFonts w:ascii="微软雅黑" w:hAnsi="微软雅黑" w:cs="微软雅黑" w:eastAsia="微软雅黑"/>
                <w:color w:val="auto"/>
                <w:spacing w:val="0"/>
                <w:position w:val="0"/>
                <w:sz w:val="24"/>
                <w:shd w:fill="auto" w:val="clear"/>
              </w:rPr>
              <w:t xml:space="preserve">章条</w:t>
            </w:r>
          </w:p>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编号</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修改建议</w:t>
            </w:r>
          </w:p>
        </w:tc>
        <w:tc>
          <w:tcPr>
            <w:tcW w:w="155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c>
          <w:tcPr>
            <w:tcW w:w="20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color w:val="auto"/>
                <w:spacing w:val="0"/>
                <w:position w:val="0"/>
                <w:shd w:fill="auto" w:val="clear"/>
              </w:rPr>
            </w:pPr>
          </w:p>
        </w:tc>
      </w:tr>
      <w:tr>
        <w:trPr>
          <w:trHeight w:val="373"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1</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德清东软软件有限公司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3</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建议增加对“数据脱敏”和“数据加密”的定义，以确保术语的一致性和理解。建议增加的条款：</w:t>
            </w:r>
          </w:p>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3.6 数据脱敏</w:t>
            </w:r>
          </w:p>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Data Anonymization: 指将路侧原始数据中的个人身份信息通过技术手段进行处理，使其无法被识别或关联到特定个人的过程。</w:t>
            </w:r>
          </w:p>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3.7 数据加密</w:t>
            </w:r>
          </w:p>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Data Encryption: 指使用密码学方法对数据进行编码，以确保数据在存储和传输过程中的安全性。</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补充两个术语定义</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373"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2</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德清东软软件有限公司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5.1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建议在5.1节中增加对环境适应性的要求，确保采集设施能在不同环境条件下稳定工作。</w:t>
            </w:r>
          </w:p>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建议修改5.1为：路侧数据处理系统应支持处理从下述路侧数据采集设施采集的路侧原始数据，同时采集设施应支持在各种环境条件下（如高温、低温、湿度、震动等）稳定运行。</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在5.1节补充“路侧数据采集设施应支持在各种环境条件下（如高温、低温、湿度、震动等）稳定运行。”</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3</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德清东软软件有限公司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7-b</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建议增加对数据完整性的具体要求，包括数据备份和恢复机制：</w:t>
            </w:r>
          </w:p>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建议修改7-b为：</w:t>
            </w:r>
          </w:p>
          <w:p>
            <w:pPr>
              <w:spacing w:before="0" w:after="0" w:line="240"/>
              <w:ind w:right="0" w:left="0" w:firstLine="0"/>
              <w:jc w:val="both"/>
              <w:rPr>
                <w:spacing w:val="0"/>
                <w:position w:val="0"/>
                <w:sz w:val="22"/>
                <w:shd w:fill="auto" w:val="clear"/>
              </w:rPr>
            </w:pPr>
            <w:r>
              <w:rPr>
                <w:rFonts w:ascii="微软雅黑" w:hAnsi="微软雅黑" w:cs="微软雅黑" w:eastAsia="微软雅黑"/>
                <w:color w:val="000000"/>
                <w:spacing w:val="0"/>
                <w:position w:val="0"/>
                <w:sz w:val="22"/>
                <w:shd w:fill="auto" w:val="clear"/>
              </w:rPr>
              <w:t xml:space="preserve">路侧数据资源应包括车联网数据运营所需的数据项和足够多的记录条数，以及应包括完整的数据备份和恢复机制，以防止数据丢失和确保业务连续性。</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微软雅黑" w:hAnsi="微软雅黑" w:cs="微软雅黑" w:eastAsia="微软雅黑"/>
                <w:color w:val="auto"/>
                <w:spacing w:val="0"/>
                <w:position w:val="0"/>
                <w:sz w:val="22"/>
                <w:shd w:fill="auto" w:val="clear"/>
              </w:rPr>
              <w:t xml:space="preserve">在7-b补充“</w:t>
            </w:r>
            <w:r>
              <w:rPr>
                <w:rFonts w:ascii="微软雅黑" w:hAnsi="微软雅黑" w:cs="微软雅黑" w:eastAsia="微软雅黑"/>
                <w:color w:val="000000"/>
                <w:spacing w:val="0"/>
                <w:position w:val="0"/>
                <w:sz w:val="22"/>
                <w:shd w:fill="auto" w:val="clear"/>
              </w:rPr>
              <w:t xml:space="preserve">以及应包括完整的数据备份和恢复机制，以防止数据丢失和确保业务连续性。“</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4</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中信科</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前言</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右下角页码建议删除</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删除处理</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5</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中信科</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5.1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原文：a）车载终端模块，向云端发送车载终端数据；</w:t>
            </w:r>
          </w:p>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建议修改为车载终端模块，向云端/路侧RSU发送车载终端数据；使之与B呼应</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在a）中增加”或路侧RSU”</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6</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中信科</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5.1</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原文：f) 交通信号机；</w:t>
            </w:r>
          </w:p>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建议删除，交通信号机非信号采集设备</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删除处理</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7</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中信科</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附录A</w:t>
            </w:r>
          </w:p>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A.4 </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原文：c) 事件统计：根据不同业务来源统计事件数量、时间分布、位置分布等；</w:t>
            </w:r>
          </w:p>
          <w:p>
            <w:pPr>
              <w:widowControl w:val="false"/>
              <w:spacing w:before="0" w:after="0" w:line="240"/>
              <w:ind w:right="0" w:left="0" w:firstLine="0"/>
              <w:jc w:val="left"/>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d) 事件统计：根据不同业务来源统计事件数量、时间分布、位置分布等；建议讲重复部分删除</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删除处理</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8</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中信科</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6.1.1 </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内容序号d）、e）、f);建议改为a）、b）、c）</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改为a）、b）、c）</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9</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杭州海康</w:t>
            </w:r>
          </w:p>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威视科技</w:t>
            </w:r>
          </w:p>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有限公司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4</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总体要求中的流程图，第三部分路侧数据资源要求可以改成路侧数据质量分析更有可读性</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修改为“路侧数据资源质量要求”，相应修改第7章的名称</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10</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杭州海康</w:t>
            </w:r>
          </w:p>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威视科技</w:t>
            </w:r>
          </w:p>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有限公司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6.1-6.2</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在总体要求路侧数据处理框架图中，提到了原始数据包括交通视频数据、交通图像数据。而在，路侧数据处理方式的章节中，没有对于这类数据的处理要求和规则，指向了汇聚的结果数据。如果数据处理的方式和要求，是前端汇聚结果数据的汇聚，那么，在汇聚 5.3路侧原始数据格式章节中，应将图像对应格式做对应删减。若数据处理要求中，包含了异构格式的处理，那么需要明确规则。</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不采纳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21"/>
                <w:shd w:fill="auto" w:val="clear"/>
              </w:rPr>
              <w:t xml:space="preserve">在6.1.2处理要求a）中明确了“支持批量、离线、实时多源异构交通数据的同步或接入”</w:t>
            </w:r>
          </w:p>
        </w:tc>
      </w:tr>
      <w:tr>
        <w:trPr>
          <w:trHeight w:val="2397" w:hRule="auto"/>
          <w:jc w:val="left"/>
        </w:trPr>
        <w:tc>
          <w:tcPr>
            <w:tcW w:w="8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11</w:t>
            </w:r>
          </w:p>
        </w:tc>
        <w:tc>
          <w:tcPr>
            <w:tcW w:w="12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浙江大华技术股份有限公司</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5.3</w:t>
            </w:r>
          </w:p>
        </w:tc>
        <w:tc>
          <w:tcPr>
            <w:tcW w:w="56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b) 视频文件封装格式应支持PS\MP4\AVI；</w:t>
            </w:r>
          </w:p>
          <w:p>
            <w:pPr>
              <w:spacing w:before="0" w:after="0" w:line="240"/>
              <w:ind w:right="0" w:left="0" w:firstLine="0"/>
              <w:jc w:val="both"/>
              <w:rPr>
                <w:rFonts w:ascii="微软雅黑" w:hAnsi="微软雅黑" w:cs="微软雅黑" w:eastAsia="微软雅黑"/>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c) 视频编码格式应支持SVAC\H.264\MPEG-4，宜支持H.265；</w:t>
            </w:r>
          </w:p>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d) 图像编码格式应支持JPEG\JPEG2000\BMP\PNG；</w:t>
            </w: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微软雅黑" w:hAnsi="微软雅黑" w:cs="微软雅黑" w:eastAsia="微软雅黑"/>
                <w:color w:val="auto"/>
                <w:spacing w:val="0"/>
                <w:position w:val="0"/>
                <w:sz w:val="22"/>
                <w:shd w:fill="auto" w:val="clear"/>
              </w:rPr>
              <w:t xml:space="preserve">采纳</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微软雅黑" w:hAnsi="微软雅黑" w:cs="微软雅黑" w:eastAsia="微软雅黑"/>
                <w:color w:val="auto"/>
                <w:spacing w:val="0"/>
                <w:position w:val="0"/>
                <w:sz w:val="22"/>
                <w:shd w:fill="auto" w:val="clear"/>
              </w:rPr>
              <w:t xml:space="preserve">间隔符号改为“</w:t>
            </w:r>
            <w:r>
              <w:rPr>
                <w:rFonts w:ascii="Times New Roman" w:hAnsi="Times New Roman" w:cs="Times New Roman" w:eastAsia="Times New Roman"/>
                <w:color w:val="auto"/>
                <w:spacing w:val="0"/>
                <w:position w:val="0"/>
                <w:sz w:val="28"/>
                <w:shd w:fill="auto" w:val="clear"/>
              </w:rPr>
              <w:t xml:space="preserve">\</w:t>
            </w:r>
            <w:r>
              <w:rPr>
                <w:rFonts w:ascii="微软雅黑" w:hAnsi="微软雅黑" w:cs="微软雅黑" w:eastAsia="微软雅黑"/>
                <w:color w:val="auto"/>
                <w:spacing w:val="0"/>
                <w:position w:val="0"/>
                <w:sz w:val="22"/>
                <w:shd w:fill="auto" w:val="clear"/>
              </w:rPr>
              <w:t xml:space="preserve">”</w:t>
            </w:r>
          </w:p>
        </w:tc>
        <w:tc>
          <w:tcPr>
            <w:tcW w:w="20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宋体" w:hAnsi="宋体" w:cs="宋体" w:eastAsia="宋体"/>
                <w:color w:val="auto"/>
                <w:spacing w:val="0"/>
                <w:position w:val="0"/>
                <w:sz w:val="22"/>
                <w:shd w:fill="auto" w:val="clear"/>
              </w:rPr>
            </w:pPr>
          </w:p>
        </w:tc>
      </w:tr>
    </w:tbl>
    <w:p>
      <w:pPr>
        <w:tabs>
          <w:tab w:val="left" w:pos="2570" w:leader="none"/>
        </w:tabs>
        <w:spacing w:before="0" w:after="0" w:line="240"/>
        <w:ind w:right="0" w:left="0" w:firstLine="0"/>
        <w:jc w:val="both"/>
        <w:rPr>
          <w:rFonts w:ascii="微软雅黑" w:hAnsi="微软雅黑" w:cs="微软雅黑" w:eastAsia="微软雅黑"/>
          <w:color w:val="auto"/>
          <w:spacing w:val="0"/>
          <w:position w:val="0"/>
          <w:sz w:val="1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