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81717" w:themeColor="background2" w:themeShade="1A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《温州市金融办行政执法裁量权基准（征求意见稿）》起草说明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温州市金融办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加强民间融资领域行政裁量基准制度化、规范化、科学化建设，实现民间融资领域重点违法行为处罚裁量权基准的全覆盖，确保执法人员在具体行政执法过程中有细化量化的执法尺度，市金融办围绕《温州市民间融资管理条例》，结合《浙江省地方金融监督管理局关于印发&lt;浙江省地方金融领域行政处罚裁量基准适用规则（试行）&gt;的通知》（浙金管〔2022〕34号）及《关于印发&lt;市金融办行政处罚自由裁量权基准暂行办法&gt;的通知》，起草制定了《温州市金融办行政执法裁量权基准（征求意见稿）》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现将有关情况说明如下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《温州市民间融资管理条例》</w:t>
      </w:r>
      <w:r>
        <w:rPr>
          <w:rFonts w:hint="eastAsia" w:ascii="仿宋" w:hAnsi="仿宋" w:eastAsia="仿宋"/>
          <w:sz w:val="32"/>
          <w:szCs w:val="32"/>
        </w:rPr>
        <w:t>自公布实施以来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，尚未制定具体条款的裁量基准。</w:t>
      </w:r>
      <w:r>
        <w:rPr>
          <w:rFonts w:hint="eastAsia" w:ascii="仿宋" w:hAnsi="仿宋" w:eastAsia="仿宋"/>
          <w:sz w:val="32"/>
          <w:szCs w:val="32"/>
        </w:rPr>
        <w:t>明确行政处罚自由裁量</w:t>
      </w:r>
      <w:r>
        <w:rPr>
          <w:rFonts w:hint="eastAsia" w:ascii="仿宋" w:hAnsi="仿宋" w:eastAsia="仿宋"/>
          <w:sz w:val="32"/>
          <w:szCs w:val="32"/>
          <w:lang w:eastAsia="zh-CN"/>
        </w:rPr>
        <w:t>基准</w:t>
      </w:r>
      <w:r>
        <w:rPr>
          <w:rFonts w:hint="eastAsia" w:ascii="仿宋" w:hAnsi="仿宋" w:eastAsia="仿宋"/>
          <w:sz w:val="32"/>
          <w:szCs w:val="32"/>
        </w:rPr>
        <w:t>，合理限定行政处罚裁量幅度，避免处罚的畸轻畸重，既是规范行政执法行为的需要，也是保障行政相对人合法权益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制定行政处罚裁量基准十分必要。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《温州市金融办行政执法裁量权基准（征求意见稿）》依据《温州市民间融资管理条例》，结合《浙江省地方金融监督管理局关于印发&lt;浙江省地方金融领域行政处罚裁量基准适用规则（试行）&gt;的通知》（浙金管〔2022〕34号）有关规定</w:t>
      </w:r>
      <w:r>
        <w:rPr>
          <w:rFonts w:hint="eastAsia" w:ascii="仿宋" w:hAnsi="仿宋" w:eastAsia="仿宋"/>
          <w:sz w:val="32"/>
          <w:szCs w:val="32"/>
          <w:lang w:eastAsia="zh-CN"/>
        </w:rPr>
        <w:t>起草，温州市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金融办经深入调研，在充分听取各方意见、反复研究修改后，形成该征求意见稿。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1.本次制定裁量基准的数量情况。</w:t>
      </w:r>
      <w:r>
        <w:rPr>
          <w:rFonts w:hint="eastAsia" w:ascii="仿宋" w:hAnsi="仿宋" w:eastAsia="仿宋"/>
          <w:sz w:val="32"/>
          <w:szCs w:val="32"/>
        </w:rPr>
        <w:t>《温州市民间融资管理条例》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涉及需要裁量基准的</w:t>
      </w:r>
      <w:r>
        <w:rPr>
          <w:rFonts w:hint="eastAsia" w:ascii="仿宋" w:hAnsi="仿宋" w:eastAsia="仿宋"/>
          <w:sz w:val="32"/>
          <w:szCs w:val="32"/>
          <w:lang w:eastAsia="zh-CN"/>
        </w:rPr>
        <w:t>共有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5个行政处罚事项。</w:t>
      </w:r>
      <w:r>
        <w:rPr>
          <w:rFonts w:hint="eastAsia" w:ascii="仿宋" w:hAnsi="仿宋" w:eastAsia="仿宋"/>
          <w:sz w:val="32"/>
          <w:szCs w:val="32"/>
        </w:rPr>
        <w:t>结合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金融办系统</w:t>
      </w:r>
      <w:r>
        <w:rPr>
          <w:rFonts w:hint="eastAsia" w:ascii="仿宋" w:hAnsi="仿宋" w:eastAsia="仿宋"/>
          <w:sz w:val="32"/>
          <w:szCs w:val="32"/>
        </w:rPr>
        <w:t>执法实际，对</w:t>
      </w:r>
      <w:r>
        <w:rPr>
          <w:rFonts w:hint="eastAsia" w:ascii="仿宋" w:hAnsi="仿宋" w:eastAsia="仿宋"/>
          <w:sz w:val="32"/>
          <w:szCs w:val="32"/>
          <w:lang w:eastAsia="zh-CN"/>
        </w:rPr>
        <w:t>上述</w:t>
      </w:r>
      <w:r>
        <w:rPr>
          <w:rFonts w:hint="eastAsia" w:ascii="仿宋" w:hAnsi="仿宋" w:eastAsia="仿宋"/>
          <w:sz w:val="32"/>
          <w:szCs w:val="32"/>
        </w:rPr>
        <w:t>处罚</w:t>
      </w:r>
      <w:r>
        <w:rPr>
          <w:rFonts w:hint="eastAsia" w:ascii="仿宋" w:hAnsi="仿宋" w:eastAsia="仿宋"/>
          <w:sz w:val="32"/>
          <w:szCs w:val="32"/>
          <w:lang w:eastAsia="zh-CN"/>
        </w:rPr>
        <w:t>事项</w:t>
      </w:r>
      <w:r>
        <w:rPr>
          <w:rFonts w:hint="eastAsia" w:ascii="仿宋" w:hAnsi="仿宋" w:eastAsia="仿宋"/>
          <w:sz w:val="32"/>
          <w:szCs w:val="32"/>
        </w:rPr>
        <w:t>自由裁量权</w:t>
      </w:r>
      <w:r>
        <w:rPr>
          <w:rFonts w:hint="eastAsia" w:ascii="仿宋" w:hAnsi="仿宋" w:eastAsia="仿宋"/>
          <w:sz w:val="32"/>
          <w:szCs w:val="32"/>
          <w:lang w:eastAsia="zh-CN"/>
        </w:rPr>
        <w:t>进行科学</w:t>
      </w:r>
      <w:r>
        <w:rPr>
          <w:rFonts w:hint="eastAsia" w:ascii="仿宋" w:hAnsi="仿宋" w:eastAsia="仿宋"/>
          <w:sz w:val="32"/>
          <w:szCs w:val="32"/>
        </w:rPr>
        <w:t>细化和量化，制定</w:t>
      </w:r>
      <w:r>
        <w:rPr>
          <w:rFonts w:hint="eastAsia" w:ascii="仿宋" w:hAnsi="仿宋" w:eastAsia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对应</w:t>
      </w:r>
      <w:r>
        <w:rPr>
          <w:rFonts w:hint="eastAsia" w:ascii="仿宋" w:hAnsi="仿宋" w:eastAsia="仿宋"/>
          <w:sz w:val="32"/>
          <w:szCs w:val="32"/>
        </w:rPr>
        <w:t>特有事项行政处罚裁量基准。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2.格式说明。</w:t>
      </w:r>
      <w:r>
        <w:rPr>
          <w:rFonts w:hint="eastAsia" w:ascii="仿宋" w:hAnsi="仿宋" w:eastAsia="仿宋"/>
          <w:sz w:val="32"/>
          <w:szCs w:val="32"/>
          <w:lang w:eastAsia="zh-CN"/>
        </w:rPr>
        <w:t>根据市司法局相关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《裁量基准》的格式要求，采取了表格形式，方便群众查阅及办案民警适用。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3.对于</w:t>
      </w:r>
      <w:r>
        <w:rPr>
          <w:rFonts w:hint="eastAsia" w:ascii="仿宋" w:hAnsi="仿宋" w:eastAsia="仿宋"/>
          <w:sz w:val="32"/>
          <w:szCs w:val="32"/>
          <w:lang w:eastAsia="zh-CN"/>
        </w:rPr>
        <w:t>“以上”、“以下”的释义。</w:t>
      </w:r>
      <w:r>
        <w:rPr>
          <w:rFonts w:hint="eastAsia" w:ascii="仿宋" w:hAnsi="仿宋" w:eastAsia="仿宋"/>
          <w:sz w:val="32"/>
          <w:szCs w:val="32"/>
        </w:rPr>
        <w:t>裁量基准</w:t>
      </w:r>
      <w:r>
        <w:rPr>
          <w:rFonts w:hint="eastAsia" w:ascii="仿宋" w:hAnsi="仿宋" w:eastAsia="仿宋"/>
          <w:sz w:val="32"/>
          <w:szCs w:val="32"/>
          <w:lang w:eastAsia="zh-CN"/>
        </w:rPr>
        <w:t>对规定所称的“以上”、“以下”在行政处罚法中包括本数，为了便于适用，在</w:t>
      </w:r>
      <w:r>
        <w:rPr>
          <w:rFonts w:hint="eastAsia" w:ascii="仿宋" w:hAnsi="仿宋" w:eastAsia="仿宋"/>
          <w:sz w:val="32"/>
          <w:szCs w:val="32"/>
        </w:rPr>
        <w:t>《裁量基准</w:t>
      </w:r>
      <w:r>
        <w:rPr>
          <w:rFonts w:hint="eastAsia" w:ascii="仿宋" w:hAnsi="仿宋" w:eastAsia="仿宋"/>
          <w:sz w:val="32"/>
          <w:szCs w:val="32"/>
          <w:lang w:eastAsia="zh-CN"/>
        </w:rPr>
        <w:t>（征求意见稿）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中，将“以上”（包括本数），“以下”（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/>
          <w:sz w:val="32"/>
          <w:szCs w:val="32"/>
          <w:lang w:eastAsia="zh-CN"/>
        </w:rPr>
        <w:t>包括本数）情况作了特别注明，且与行政处罚法不存在冲突。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关于</w:t>
      </w:r>
      <w:r>
        <w:rPr>
          <w:rFonts w:hint="eastAsia" w:ascii="仿宋" w:hAnsi="仿宋" w:eastAsia="仿宋"/>
          <w:sz w:val="32"/>
          <w:szCs w:val="32"/>
        </w:rPr>
        <w:t>裁量阶次</w:t>
      </w:r>
      <w:r>
        <w:rPr>
          <w:rFonts w:hint="eastAsia" w:ascii="仿宋" w:hAnsi="仿宋" w:eastAsia="仿宋"/>
          <w:sz w:val="32"/>
          <w:szCs w:val="32"/>
          <w:lang w:eastAsia="zh-CN"/>
        </w:rPr>
        <w:t>的适用。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hint="eastAsia" w:ascii="仿宋" w:hAnsi="仿宋" w:eastAsia="仿宋"/>
          <w:sz w:val="32"/>
          <w:szCs w:val="32"/>
          <w:lang w:eastAsia="zh-CN"/>
        </w:rPr>
        <w:t>征求意见稿</w:t>
      </w:r>
      <w:r>
        <w:rPr>
          <w:rFonts w:hint="eastAsia" w:ascii="仿宋" w:hAnsi="仿宋" w:eastAsia="仿宋"/>
          <w:sz w:val="32"/>
          <w:szCs w:val="32"/>
        </w:rPr>
        <w:t>综合考虑法定依据、违法情形、性质情节、危害程度、处罚种类、处罚幅度等因素，按照幅度内均分处罚金额的标准，区分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轻微</w:t>
      </w:r>
      <w:r>
        <w:rPr>
          <w:rFonts w:hint="eastAsia" w:ascii="仿宋" w:hAnsi="仿宋" w:eastAsia="仿宋"/>
          <w:sz w:val="32"/>
          <w:szCs w:val="32"/>
        </w:rPr>
        <w:t>、一般、严重等违法程度，划分了多个裁量阶次，以增强行政处罚裁量的精准性和可操作性。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四、施行时间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《裁量基准》自正式公布之日起三十日后</w:t>
      </w:r>
      <w:r>
        <w:rPr>
          <w:rFonts w:hint="eastAsia" w:ascii="仿宋" w:hAnsi="仿宋" w:eastAsia="仿宋"/>
          <w:sz w:val="32"/>
          <w:szCs w:val="32"/>
        </w:rPr>
        <w:t>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五、政策咨询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温州市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金融办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杨彬</w:t>
      </w:r>
      <w:r>
        <w:rPr>
          <w:rFonts w:hint="eastAsia" w:ascii="仿宋" w:hAnsi="仿宋" w:eastAsia="仿宋"/>
          <w:sz w:val="32"/>
          <w:szCs w:val="32"/>
          <w:lang w:eastAsia="zh-CN"/>
        </w:rPr>
        <w:t>，联系电话：</w:t>
      </w:r>
      <w:r>
        <w:rPr>
          <w:rFonts w:hint="eastAsia" w:ascii="仿宋" w:hAnsi="仿宋" w:eastAsia="仿宋"/>
          <w:sz w:val="32"/>
          <w:szCs w:val="32"/>
        </w:rPr>
        <w:t>0577-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88960377。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MmNkYThiODdjMDE0OTY3YmNlZWE4N2FjOWI0MjYifQ=="/>
  </w:docVars>
  <w:rsids>
    <w:rsidRoot w:val="00000000"/>
    <w:rsid w:val="00F33076"/>
    <w:rsid w:val="06110F12"/>
    <w:rsid w:val="0B0F49DD"/>
    <w:rsid w:val="0C616495"/>
    <w:rsid w:val="0CDC7A16"/>
    <w:rsid w:val="0F23116E"/>
    <w:rsid w:val="0F7C652E"/>
    <w:rsid w:val="14900A6D"/>
    <w:rsid w:val="159145C9"/>
    <w:rsid w:val="16AB38E2"/>
    <w:rsid w:val="17017894"/>
    <w:rsid w:val="1CB43143"/>
    <w:rsid w:val="1ED165E0"/>
    <w:rsid w:val="1F6E2833"/>
    <w:rsid w:val="25F15B0B"/>
    <w:rsid w:val="2720487E"/>
    <w:rsid w:val="29E436CC"/>
    <w:rsid w:val="2AFA0BA5"/>
    <w:rsid w:val="2B870FB5"/>
    <w:rsid w:val="2F3D219F"/>
    <w:rsid w:val="30F80F1E"/>
    <w:rsid w:val="333275DD"/>
    <w:rsid w:val="338D5EC5"/>
    <w:rsid w:val="35415EBC"/>
    <w:rsid w:val="38412E2D"/>
    <w:rsid w:val="40624A94"/>
    <w:rsid w:val="48D679C5"/>
    <w:rsid w:val="49FE4C94"/>
    <w:rsid w:val="4BF7462C"/>
    <w:rsid w:val="4D032360"/>
    <w:rsid w:val="50222A35"/>
    <w:rsid w:val="531113CC"/>
    <w:rsid w:val="54090A6D"/>
    <w:rsid w:val="55202BA8"/>
    <w:rsid w:val="55380C58"/>
    <w:rsid w:val="59D401AA"/>
    <w:rsid w:val="5BCC0F96"/>
    <w:rsid w:val="60584EB4"/>
    <w:rsid w:val="61E965EE"/>
    <w:rsid w:val="63B441E1"/>
    <w:rsid w:val="668C7079"/>
    <w:rsid w:val="678964D7"/>
    <w:rsid w:val="6AAE77DA"/>
    <w:rsid w:val="6C31448E"/>
    <w:rsid w:val="6CA80411"/>
    <w:rsid w:val="70311EBF"/>
    <w:rsid w:val="70F71472"/>
    <w:rsid w:val="71C002CB"/>
    <w:rsid w:val="72B520C8"/>
    <w:rsid w:val="7502355E"/>
    <w:rsid w:val="78DA5B96"/>
    <w:rsid w:val="78E9028A"/>
    <w:rsid w:val="7A3F4437"/>
    <w:rsid w:val="7A80074F"/>
    <w:rsid w:val="7D1D5B14"/>
    <w:rsid w:val="7F0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870</Characters>
  <Lines>0</Lines>
  <Paragraphs>0</Paragraphs>
  <TotalTime>22</TotalTime>
  <ScaleCrop>false</ScaleCrop>
  <LinksUpToDate>false</LinksUpToDate>
  <CharactersWithSpaces>870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2023-08-11T11:58:00Z</dcterms:created>
  <dc:creator>86152</dc:creator>
  <cp:lastModifiedBy>WIN10</cp:lastModifiedBy>
  <cp:lastPrinted>2023-08-25T01:16:00Z</cp:lastPrinted>
  <dcterms:modified xsi:type="dcterms:W3CDTF">2023-09-15T08:33:42Z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E09240F90FD04A889F29B27B545DEE55_13</vt:lpwstr>
  </property>
</Properties>
</file>