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hd w:val="solid" w:color="FFFFFF" w:fill="auto"/>
        <w:autoSpaceDN w:val="0"/>
        <w:spacing w:line="360" w:lineRule="auto"/>
        <w:jc w:val="center"/>
        <w:rPr>
          <w:rFonts w:hint="eastAsia" w:ascii="华文中宋" w:hAnsi="华文中宋" w:eastAsia="华文中宋" w:cs="华文中宋"/>
          <w:b w:val="0"/>
          <w:bCs/>
          <w:color w:val="010000"/>
          <w:sz w:val="36"/>
          <w:szCs w:val="36"/>
          <w:shd w:val="clear" w:color="auto" w:fill="FFFFFF"/>
        </w:rPr>
      </w:pPr>
      <w:r>
        <w:rPr>
          <w:rFonts w:hint="eastAsia" w:ascii="华文中宋" w:hAnsi="华文中宋" w:eastAsia="华文中宋" w:cs="华文中宋"/>
          <w:b w:val="0"/>
          <w:bCs/>
          <w:color w:val="010000"/>
          <w:sz w:val="36"/>
          <w:szCs w:val="36"/>
          <w:shd w:val="clear" w:color="auto" w:fill="FFFFFF"/>
          <w:lang w:val="en-US" w:eastAsia="zh-CN"/>
        </w:rPr>
        <w:t>金华市</w:t>
      </w:r>
      <w:r>
        <w:rPr>
          <w:rFonts w:hint="eastAsia" w:ascii="华文中宋" w:hAnsi="华文中宋" w:eastAsia="华文中宋" w:cs="华文中宋"/>
          <w:b w:val="0"/>
          <w:bCs/>
          <w:color w:val="010000"/>
          <w:sz w:val="36"/>
          <w:szCs w:val="36"/>
          <w:shd w:val="clear" w:color="auto" w:fill="FFFFFF"/>
        </w:rPr>
        <w:t>物业承接查验协议书</w:t>
      </w: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华文宋体" w:hAnsi="宋体" w:eastAsia="华文宋体"/>
          <w:b/>
          <w:color w:val="010000"/>
          <w:sz w:val="24"/>
          <w:szCs w:val="24"/>
          <w:shd w:val="clear" w:color="auto" w:fill="FFFFFF"/>
          <w:lang w:eastAsia="zh-CN"/>
        </w:rPr>
      </w:pPr>
      <w:r>
        <w:rPr>
          <w:rFonts w:hint="eastAsia" w:ascii="华文宋体" w:hAnsi="宋体" w:eastAsia="华文宋体"/>
          <w:b/>
          <w:color w:val="01000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华文宋体" w:hAnsi="宋体" w:eastAsia="华文宋体"/>
          <w:b/>
          <w:color w:val="010000"/>
          <w:sz w:val="24"/>
          <w:szCs w:val="24"/>
          <w:shd w:val="clear" w:color="auto" w:fill="FFFFFF"/>
          <w:lang w:val="en-US" w:eastAsia="zh-CN"/>
        </w:rPr>
        <w:t>示范文本  2023</w:t>
      </w:r>
      <w:r>
        <w:rPr>
          <w:rFonts w:hint="eastAsia" w:ascii="华文宋体" w:hAnsi="宋体" w:eastAsia="华文宋体"/>
          <w:b/>
          <w:color w:val="010000"/>
          <w:sz w:val="24"/>
          <w:szCs w:val="24"/>
          <w:shd w:val="clear" w:color="auto" w:fill="FFFFFF"/>
          <w:lang w:eastAsia="zh-CN"/>
        </w:rPr>
        <w:t>）</w:t>
      </w:r>
    </w:p>
    <w:p>
      <w:pPr>
        <w:shd w:val="solid" w:color="FFFFFF" w:fill="auto"/>
        <w:autoSpaceDN w:val="0"/>
        <w:spacing w:line="600" w:lineRule="exact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甲方（物业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服务人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）：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</w:t>
      </w:r>
    </w:p>
    <w:p>
      <w:pPr>
        <w:shd w:val="solid" w:color="FFFFFF" w:fill="auto"/>
        <w:autoSpaceDN w:val="0"/>
        <w:spacing w:line="600" w:lineRule="exact"/>
        <w:rPr>
          <w:rFonts w:hint="default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乙方（建设单位）：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 xml:space="preserve"> 为维护业主的合法权益，明确甲乙双方责任，根据《中华人民共和国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民法典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》、《物业管理条例》、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《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浙江省物业管理条例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》、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《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金华市物业管理条例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》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等有关法律法规规章之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规定，甲乙双方对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（项目名称）的承接查验事宜，达成如下协议：</w:t>
      </w:r>
    </w:p>
    <w:p>
      <w:pPr>
        <w:snapToGrid w:val="0"/>
        <w:spacing w:line="360" w:lineRule="auto"/>
        <w:ind w:firstLine="600"/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</w:pPr>
    </w:p>
    <w:p>
      <w:pPr>
        <w:snapToGrid w:val="0"/>
        <w:spacing w:line="360" w:lineRule="auto"/>
        <w:ind w:firstLine="600"/>
        <w:rPr>
          <w:rFonts w:hint="eastAsia" w:ascii="华文宋体" w:hAnsi="仿宋_GB2312" w:eastAsia="华文宋体" w:cs="Times New Roman"/>
          <w:b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  <w:t xml:space="preserve">第一条  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 xml:space="preserve"> </w:t>
      </w:r>
      <w:r>
        <w:rPr>
          <w:rFonts w:hint="eastAsia" w:ascii="华文宋体" w:hAnsi="仿宋_GB2312" w:eastAsia="华文宋体" w:cs="Times New Roman"/>
          <w:b/>
          <w:color w:val="010000"/>
          <w:sz w:val="24"/>
          <w:szCs w:val="24"/>
          <w:shd w:val="clear" w:color="auto" w:fill="FFFFFF"/>
        </w:rPr>
        <w:t xml:space="preserve">物业基本情况 </w:t>
      </w:r>
    </w:p>
    <w:p>
      <w:pPr>
        <w:snapToGrid w:val="0"/>
        <w:spacing w:line="360" w:lineRule="auto"/>
        <w:ind w:firstLine="600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物业项目名称：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；</w:t>
      </w:r>
    </w:p>
    <w:p>
      <w:pPr>
        <w:widowControl/>
        <w:snapToGrid w:val="0"/>
        <w:spacing w:line="360" w:lineRule="auto"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物业类型：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（住宅、非住宅、综合）；</w:t>
      </w:r>
    </w:p>
    <w:p>
      <w:pPr>
        <w:widowControl/>
        <w:snapToGrid w:val="0"/>
        <w:spacing w:line="360" w:lineRule="auto"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座落位置：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区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县、市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街道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号；</w:t>
      </w:r>
    </w:p>
    <w:p>
      <w:pPr>
        <w:widowControl/>
        <w:snapToGrid w:val="0"/>
        <w:spacing w:line="360" w:lineRule="auto"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物业管理区域四至范围（规划平面图）：</w:t>
      </w:r>
    </w:p>
    <w:p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东至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；</w:t>
      </w:r>
    </w:p>
    <w:p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南至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；</w:t>
      </w:r>
    </w:p>
    <w:p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西至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；</w:t>
      </w:r>
    </w:p>
    <w:p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北至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；  </w:t>
      </w:r>
    </w:p>
    <w:p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占地面积：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平方米；</w:t>
      </w:r>
    </w:p>
    <w:p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总建筑面积：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平方米；其中住宅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平方米，非住宅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 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平方米。</w:t>
      </w:r>
    </w:p>
    <w:p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分期建设的项目，具体情况为：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</w:p>
    <w:p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（物业管理区域划分意见书或规划平面图见附件一，物业构成明细见附件二）</w:t>
      </w:r>
    </w:p>
    <w:p>
      <w:pPr>
        <w:shd w:val="solid" w:color="FFFFFF" w:fill="auto"/>
        <w:autoSpaceDN w:val="0"/>
        <w:spacing w:line="600" w:lineRule="exact"/>
        <w:ind w:firstLine="721" w:firstLineChars="3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  <w:lang w:val="en-US" w:eastAsia="zh-CN"/>
        </w:rPr>
        <w:t xml:space="preserve">第二条 </w:t>
      </w: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  <w:t>承接查验内容</w:t>
      </w:r>
    </w:p>
    <w:p>
      <w:pPr>
        <w:shd w:val="solid" w:color="FFFFFF" w:fill="auto"/>
        <w:autoSpaceDN w:val="0"/>
        <w:spacing w:line="600" w:lineRule="exact"/>
        <w:ind w:left="902" w:leftChars="399" w:hanging="64" w:hangingChars="27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一、 乙方已依法向甲方移交如下基础资料（与交档案馆资料相符）：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1、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2、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3、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4、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5、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6、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7、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8、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9、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10、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乙方尚未向甲方移交的资料：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1、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2、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3、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4、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5、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6、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其中1：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</w:t>
      </w:r>
    </w:p>
    <w:p>
      <w:pPr>
        <w:shd w:val="solid" w:color="FFFFFF" w:fill="auto"/>
        <w:autoSpaceDN w:val="0"/>
        <w:spacing w:line="600" w:lineRule="exact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于现场查验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日前向甲方移交；</w:t>
      </w:r>
    </w:p>
    <w:p>
      <w:pPr>
        <w:shd w:val="solid" w:color="FFFFFF" w:fill="auto"/>
        <w:autoSpaceDN w:val="0"/>
        <w:spacing w:line="600" w:lineRule="exact"/>
        <w:ind w:left="90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 xml:space="preserve">   2：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</w:t>
      </w:r>
    </w:p>
    <w:p>
      <w:pPr>
        <w:shd w:val="solid" w:color="FFFFFF" w:fill="auto"/>
        <w:autoSpaceDN w:val="0"/>
        <w:spacing w:line="600" w:lineRule="exact"/>
        <w:ind w:left="279" w:leftChars="133" w:firstLine="600" w:firstLineChars="25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于物业交付使用后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日内向甲方移交。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二、现场查验：查验范围为物业共用部位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、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共用设备设施、物业服务用房、设备设施用房等业主共有财产。</w:t>
      </w:r>
      <w:bookmarkStart w:id="0" w:name="_GoBack"/>
      <w:bookmarkEnd w:id="0"/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1、共用设备：包括电梯、消防设备、监控设备、水泵、水箱、避雷设施、楼道灯、电视天线、发电机、变配电设备、给排水管线、电线、供暖及空调设备等。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2、共用设施：包括消防设施、安防监控设施、人防设施、道路、绿地、人造景观、围墙、大门、信报箱、宣传栏、路灯、排水沟、渠、池、雨污水窨井及地下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总管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、化粪池、垃圾容器、污水处理设施、机动车（非机动车）停车设施、休闲娱乐设施、垃圾转运设施以及物业服务用房等。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3、共用部位：包括建筑物的基础、承重墙体、柱、梁、楼板、屋顶以及外墙、门厅、楼梯间、走廊、楼道、扶手、护栏、电梯井道、架空层及设备间等。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三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、物业共用部位、设施、设备的查验结论：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 xml:space="preserve">，详见单项验收报告 。  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经甲方查验，乙方确认，上述物业共用部位、设施、设备存在的问题如下：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1、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2、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3、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4、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5、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6、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经甲乙双方协商一致，就存在的问题确定解决方法如下：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1、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2、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3、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4、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5、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6、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；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  <w:t>第</w:t>
      </w: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  <w:lang w:val="en-US" w:eastAsia="zh-CN"/>
        </w:rPr>
        <w:t>三</w:t>
      </w: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  <w:t>条  承接查验及交接时间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一、现场查验时间：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年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月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日至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年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月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日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。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二、物业交接工作：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物业交接工作应当形成书面记录。交接记录应当包括移交资料明细、物业服务用房、物业共用部位、共用设施设备明细、交接时间、交接方式等内容，由甲乙双方共同签章确认。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乙方将物业服务用房、共用部位、共用设施设备交接给甲方，按</w:t>
      </w:r>
      <w:r>
        <w:rPr>
          <w:rFonts w:hint="eastAsia" w:ascii="华文宋体" w:hAnsi="仿宋_GB2312" w:eastAsia="华文宋体"/>
          <w:color w:val="010000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华文宋体" w:hAnsi="仿宋_GB2312" w:eastAsia="华文宋体"/>
          <w:color w:val="010000"/>
          <w:sz w:val="24"/>
          <w:szCs w:val="24"/>
          <w:u w:val="none"/>
          <w:shd w:val="clear" w:color="auto" w:fill="FFFFFF"/>
          <w:lang w:val="en-US" w:eastAsia="zh-CN"/>
        </w:rPr>
        <w:t>下列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方式：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选______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）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1、现场查验后即交接给甲方，不合格项目乙方另行整改；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2、现场查验合格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双方办理交接手续后交付甲方。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  <w:t>第</w:t>
      </w: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  <w:lang w:val="en-US" w:eastAsia="zh-CN"/>
        </w:rPr>
        <w:t>四</w:t>
      </w: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  <w:t>条  承接查验标准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b w:val="0"/>
          <w:bCs w:val="0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承接查验标准：</w:t>
      </w:r>
      <w:r>
        <w:rPr>
          <w:rFonts w:hint="eastAsia" w:ascii="华文宋体" w:hAnsi="仿宋_GB2312" w:eastAsia="华文宋体"/>
          <w:b w:val="0"/>
          <w:bCs w:val="0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应当符合</w:t>
      </w:r>
      <w:r>
        <w:rPr>
          <w:rFonts w:hint="eastAsia" w:ascii="华文宋体" w:hAnsi="仿宋_GB2312" w:eastAsia="华文宋体"/>
          <w:b w:val="0"/>
          <w:bCs w:val="0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经规划部门批准的规划设计方案和经设计部门批准的建设图纸资料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，及国家强制性法规和规范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性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文件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要求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；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若不符合的，需经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整改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；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整改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完毕后，甲方应重新组织承接查验。</w:t>
      </w:r>
    </w:p>
    <w:p>
      <w:pPr>
        <w:shd w:val="solid" w:color="FFFFFF" w:fill="auto"/>
        <w:autoSpaceDN w:val="0"/>
        <w:spacing w:line="600" w:lineRule="exact"/>
        <w:ind w:firstLine="476" w:firstLineChars="198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  <w:t>第</w:t>
      </w: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  <w:lang w:val="en-US" w:eastAsia="zh-CN"/>
        </w:rPr>
        <w:t>五</w:t>
      </w: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  <w:t>条  双方的权利义务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一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、甲方的权利义务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1、甲方应当对乙方移交的资料进行清点和核查，重点核查共用设施设备出厂、安装、试验和运行的合格证明文件。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2、甲方应当对物业共用部位、共用设施设备进行现场检查和验收。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3、甲方应当综合运用核对、观察、使用、检测和试验等方法现场查验，重点查验物业共用部位、共用设施设备的配置标准、外观质量和使用功能。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4、甲方应当将物业共用部位、共用设施设备的数量和质量不符合约定或者规定的情形，书面通知乙方。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5、甲方应当配合乙方及时解决查验不合格项目，并参加复验。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6、甲方应当配合乙方以所约定的方式办理物业交接手续，交接物业服务用房以及其他物业共用部位、共用设施设备。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7、甲方应当将承接查验有关的文件、资料和记录建立档案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并妥善保管。物业承接查验档案属于全体业主所有。前期物业服务合同终止，业主大会选聘新的物业服务企业的，甲方应当在前期物业服务合同终止之日起10日内，向业主委员会移交物业承接查验档案。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8、甲方擅自承接未经查验的物业，因物业共用部位、共用设施设备缺陷给业主造成损害的，甲方应当承担相应的赔偿责任。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9、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承接查验合格物业交接后30日内，甲方应向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当地住房和城乡建设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部门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等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报送符合验收要求的相关材料，办理备案手续。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default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10、甲方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应当将物业承接查验备案情况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在物业区域内显著位置公示。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二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、乙方的权利义务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1、乙方与物业买受人签订的物业买卖合同，应当约定所交付物业的共用部位、共用设施设备的配置和建设标准。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 xml:space="preserve">2、乙方制定的临时管理规约，应当对全体业主同意授权甲方代为查验物业共用部位、共用设施设备的事项作出约定。  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3、乙方应当按照国家有关规定和物业买卖合同的约定，移交权属明确、资料完整、质量合格、功能完备、配套齐全的物业。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4、乙方应当在物业交付使用30日前，与甲方完成物业共用部位、共用设施设备的承接查验工作。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 xml:space="preserve">5、现场查验20日前，乙方应当向甲方移交竣工验收资料、设备清单及技术资料、配套设施准许使用文件、物业质量保修文件和物业使用说明文件等。     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6、乙方应当委派专业人员参与现场查验，与甲方共同确认现场查验的结果。对查验不合格项目，乙方应当及时解决并组织甲方复验。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7、乙方应当与甲方约定办理物业交接手续方式，向甲方移交物业服务用房以及其他物业共用部位、共用设施设备。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8、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乙方不得以物业交付期限届满为由，要求甲方承接不符合交用条件或者未经查验的物业。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9、乙方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承担物业承接查验费用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eastAsia="zh-CN"/>
        </w:rPr>
        <w:t>。</w:t>
      </w:r>
    </w:p>
    <w:p>
      <w:pPr>
        <w:shd w:val="solid" w:color="FFFFFF" w:fill="auto"/>
        <w:autoSpaceDN w:val="0"/>
        <w:spacing w:line="600" w:lineRule="exact"/>
        <w:ind w:firstLine="42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  <w:t>第六条  违约责任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一、物业承接查验协议生效后，任何一方不履行协议约定的交接义务，导致前期物业服务合同无法履行的，应当承担违约责任。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二、物业交接后，乙方未能及时解决物业共用部位、共用设施设备存在的问题，导致业主人身、财产安全受到损害的，应当依法承担相应的法律责任。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三、物业交接后，发现隐蔽工程质量问题，影响房屋结构安全和正常使用的，乙方应当负责修复；给业主造成经济损失的，乙方应当依法承担赔偿责任。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四、自物业交接之日起，甲方应当全面履行前期物业服务合同约定的、法律法规规定的以及行业规范确定的维修、养护和管理义务，承担因管理服务不当致使物业共用部位、共用设施设备毁损或者灭失的责任。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</w:rPr>
        <w:t>第七条  保修条款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一、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乙方应当按照国家规定的保修期限和保修范围，承担物业共用部位、共用设施设备的保修责任。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二、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乙方委托甲方提供物业共用部位、共用设施设备的保修服务，服务内容和费用由双方另行约定。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  <w:lang w:val="en-US" w:eastAsia="zh-CN"/>
        </w:rPr>
        <w:t>第八条  争议解决方式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本协议执行中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如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发生争议，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则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双方协商解决；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如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协商不成，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任何一方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可以申请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当地住房和城乡建设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部门调解，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也可按照法律规定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向人民法院提起诉讼。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宋体" w:hAnsi="仿宋_GB2312" w:eastAsia="华文宋体"/>
          <w:b/>
          <w:color w:val="010000"/>
          <w:sz w:val="24"/>
          <w:szCs w:val="24"/>
          <w:shd w:val="clear" w:color="auto" w:fill="FFFFFF"/>
          <w:lang w:val="en-US" w:eastAsia="zh-CN"/>
        </w:rPr>
        <w:t>第九条  其他事项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一、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本协议作为前期物业服务合同的补充协议，与前期物业服务合同具有同等法律效力。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default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二、本协议甲乙双方盖章后生效。</w:t>
      </w:r>
    </w:p>
    <w:p>
      <w:pPr>
        <w:shd w:val="solid" w:color="FFFFFF" w:fill="auto"/>
        <w:autoSpaceDN w:val="0"/>
        <w:spacing w:line="600" w:lineRule="exact"/>
        <w:ind w:firstLine="480"/>
        <w:rPr>
          <w:rFonts w:hint="eastAsia" w:ascii="华文宋体" w:hAnsi="仿宋_GB2312" w:eastAsia="华文宋体"/>
          <w:color w:val="010000"/>
          <w:sz w:val="24"/>
          <w:szCs w:val="24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三、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本协议一式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三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份，甲乙双方各执一份，报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  <w:lang w:val="en-US" w:eastAsia="zh-CN"/>
        </w:rPr>
        <w:t>当地住房和城乡建设</w:t>
      </w:r>
      <w:r>
        <w:rPr>
          <w:rFonts w:hint="eastAsia" w:ascii="华文宋体" w:hAnsi="仿宋_GB2312" w:eastAsia="华文宋体"/>
          <w:color w:val="010000"/>
          <w:sz w:val="24"/>
          <w:szCs w:val="24"/>
          <w:shd w:val="clear" w:color="auto" w:fill="FFFFFF"/>
        </w:rPr>
        <w:t>部门备案一份。</w:t>
      </w:r>
    </w:p>
    <w:p>
      <w:pPr>
        <w:spacing w:line="600" w:lineRule="exact"/>
        <w:ind w:left="479" w:leftChars="228" w:firstLine="0" w:firstLineChars="0"/>
        <w:jc w:val="left"/>
        <w:rPr>
          <w:rFonts w:hint="eastAsia" w:ascii="华文宋体" w:hAnsi="仿宋_GB2312" w:eastAsia="华文宋体"/>
          <w:color w:val="010000"/>
          <w:sz w:val="24"/>
          <w:szCs w:val="24"/>
        </w:rPr>
      </w:pPr>
    </w:p>
    <w:p>
      <w:pPr>
        <w:spacing w:line="600" w:lineRule="exact"/>
        <w:ind w:left="479" w:leftChars="228" w:firstLine="0" w:firstLineChars="0"/>
        <w:jc w:val="left"/>
        <w:rPr>
          <w:rFonts w:hint="eastAsia" w:ascii="华文宋体" w:hAnsi="仿宋_GB2312" w:eastAsia="华文宋体"/>
          <w:color w:val="010000"/>
          <w:sz w:val="24"/>
          <w:szCs w:val="24"/>
          <w:lang w:val="en-US" w:eastAsia="zh-CN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</w:rPr>
        <w:t>甲方（物业</w:t>
      </w:r>
      <w:r>
        <w:rPr>
          <w:rFonts w:hint="eastAsia" w:ascii="华文宋体" w:hAnsi="仿宋_GB2312" w:eastAsia="华文宋体"/>
          <w:color w:val="010000"/>
          <w:sz w:val="24"/>
          <w:szCs w:val="24"/>
          <w:lang w:val="en-US" w:eastAsia="zh-CN"/>
        </w:rPr>
        <w:t>服务人</w:t>
      </w:r>
      <w:r>
        <w:rPr>
          <w:rFonts w:hint="eastAsia" w:ascii="华文宋体" w:hAnsi="仿宋_GB2312" w:eastAsia="华文宋体"/>
          <w:color w:val="010000"/>
          <w:sz w:val="24"/>
          <w:szCs w:val="24"/>
        </w:rPr>
        <w:t>）</w:t>
      </w:r>
      <w:r>
        <w:rPr>
          <w:rFonts w:hint="eastAsia" w:ascii="华文宋体" w:hAnsi="仿宋_GB2312" w:eastAsia="华文宋体"/>
          <w:color w:val="010000"/>
          <w:sz w:val="24"/>
          <w:szCs w:val="24"/>
          <w:lang w:eastAsia="zh-CN"/>
        </w:rPr>
        <w:t>：</w:t>
      </w:r>
      <w:r>
        <w:rPr>
          <w:rFonts w:hint="eastAsia" w:ascii="华文宋体" w:hAnsi="仿宋_GB2312" w:eastAsia="华文宋体"/>
          <w:color w:val="010000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华文宋体" w:hAnsi="仿宋_GB2312" w:eastAsia="华文宋体"/>
          <w:color w:val="010000"/>
          <w:sz w:val="24"/>
          <w:szCs w:val="24"/>
        </w:rPr>
        <w:t>乙方（建设单位）</w:t>
      </w:r>
      <w:r>
        <w:rPr>
          <w:rFonts w:hint="eastAsia" w:ascii="华文宋体" w:hAnsi="仿宋_GB2312" w:eastAsia="华文宋体"/>
          <w:color w:val="010000"/>
          <w:sz w:val="24"/>
          <w:szCs w:val="24"/>
          <w:lang w:eastAsia="zh-CN"/>
        </w:rPr>
        <w:t>：</w:t>
      </w:r>
      <w:r>
        <w:rPr>
          <w:rFonts w:hint="eastAsia" w:ascii="华文宋体" w:hAnsi="仿宋_GB2312" w:eastAsia="华文宋体"/>
          <w:color w:val="010000"/>
          <w:sz w:val="24"/>
          <w:szCs w:val="24"/>
          <w:lang w:val="en-US" w:eastAsia="zh-CN"/>
        </w:rPr>
        <w:t xml:space="preserve">                               </w:t>
      </w:r>
    </w:p>
    <w:p>
      <w:pPr>
        <w:spacing w:line="600" w:lineRule="exact"/>
        <w:ind w:left="479" w:leftChars="228" w:firstLine="0" w:firstLineChars="0"/>
        <w:jc w:val="left"/>
        <w:rPr>
          <w:rFonts w:hint="eastAsia" w:ascii="华文宋体" w:hAnsi="仿宋_GB2312" w:eastAsia="华文宋体"/>
          <w:color w:val="010000"/>
          <w:sz w:val="24"/>
          <w:szCs w:val="24"/>
          <w:lang w:val="en-US" w:eastAsia="zh-CN"/>
        </w:rPr>
      </w:pPr>
    </w:p>
    <w:p>
      <w:pPr>
        <w:spacing w:line="600" w:lineRule="exact"/>
        <w:ind w:left="479" w:leftChars="228" w:firstLine="0" w:firstLineChars="0"/>
        <w:jc w:val="left"/>
        <w:rPr>
          <w:rFonts w:hint="default" w:ascii="华文宋体" w:hAnsi="仿宋_GB2312" w:eastAsia="华文宋体"/>
          <w:color w:val="010000"/>
          <w:sz w:val="24"/>
          <w:szCs w:val="24"/>
          <w:lang w:val="en-US" w:eastAsia="zh-CN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lang w:val="en-US" w:eastAsia="zh-CN"/>
        </w:rPr>
        <w:t>法定代表人</w:t>
      </w:r>
      <w:r>
        <w:rPr>
          <w:rFonts w:hint="eastAsia" w:ascii="华文宋体" w:hAnsi="仿宋_GB2312" w:eastAsia="华文宋体"/>
          <w:color w:val="010000"/>
          <w:sz w:val="24"/>
          <w:szCs w:val="24"/>
        </w:rPr>
        <w:t>：</w:t>
      </w:r>
      <w:r>
        <w:rPr>
          <w:rFonts w:hint="eastAsia" w:ascii="华文宋体" w:hAnsi="仿宋_GB2312" w:eastAsia="华文宋体"/>
          <w:color w:val="010000"/>
          <w:sz w:val="24"/>
          <w:szCs w:val="24"/>
          <w:lang w:val="en-US" w:eastAsia="zh-CN"/>
        </w:rPr>
        <w:t xml:space="preserve">                          法定代表人</w:t>
      </w:r>
      <w:r>
        <w:rPr>
          <w:rFonts w:hint="eastAsia" w:ascii="华文宋体" w:hAnsi="仿宋_GB2312" w:eastAsia="华文宋体"/>
          <w:color w:val="010000"/>
          <w:sz w:val="24"/>
          <w:szCs w:val="24"/>
        </w:rPr>
        <w:t>：</w:t>
      </w:r>
    </w:p>
    <w:p>
      <w:pPr>
        <w:spacing w:line="600" w:lineRule="exact"/>
        <w:ind w:firstLine="480" w:firstLineChars="200"/>
        <w:rPr>
          <w:rFonts w:hint="eastAsia" w:ascii="华文宋体" w:hAnsi="仿宋_GB2312" w:eastAsia="华文宋体"/>
          <w:color w:val="010000"/>
          <w:sz w:val="24"/>
          <w:szCs w:val="24"/>
          <w:lang w:val="en-US" w:eastAsia="zh-CN"/>
        </w:rPr>
      </w:pPr>
    </w:p>
    <w:p>
      <w:pPr>
        <w:spacing w:line="600" w:lineRule="exact"/>
        <w:ind w:firstLine="480" w:firstLineChars="200"/>
        <w:rPr>
          <w:rFonts w:hint="eastAsia" w:ascii="华文宋体" w:hAnsi="仿宋_GB2312" w:eastAsia="华文宋体"/>
          <w:color w:val="010000"/>
          <w:sz w:val="24"/>
          <w:szCs w:val="24"/>
          <w:lang w:val="en-US" w:eastAsia="zh-CN"/>
        </w:rPr>
      </w:pPr>
      <w:r>
        <w:rPr>
          <w:rFonts w:hint="eastAsia" w:ascii="华文宋体" w:hAnsi="仿宋_GB2312" w:eastAsia="华文宋体"/>
          <w:color w:val="010000"/>
          <w:sz w:val="24"/>
          <w:szCs w:val="24"/>
          <w:lang w:val="en-US" w:eastAsia="zh-CN"/>
        </w:rPr>
        <w:t>授权代表：                            授权代表：</w:t>
      </w:r>
    </w:p>
    <w:p>
      <w:pPr>
        <w:spacing w:line="600" w:lineRule="exact"/>
        <w:rPr>
          <w:rFonts w:hint="eastAsia" w:ascii="华文宋体" w:hAnsi="宋体" w:eastAsia="华文宋体"/>
          <w:color w:val="01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宋体" w:hAnsi="宋体" w:eastAsia="华文宋体"/>
          <w:color w:val="010000"/>
          <w:sz w:val="24"/>
          <w:szCs w:val="24"/>
          <w:shd w:val="clear" w:color="auto" w:fill="FFFFFF"/>
        </w:rPr>
        <w:t xml:space="preserve"> </w:t>
      </w:r>
      <w:r>
        <w:rPr>
          <w:rFonts w:hint="eastAsia" w:ascii="华文宋体" w:hAnsi="宋体" w:eastAsia="华文宋体"/>
          <w:color w:val="010000"/>
          <w:sz w:val="24"/>
          <w:szCs w:val="24"/>
          <w:shd w:val="clear" w:color="auto" w:fill="FFFFFF"/>
          <w:lang w:val="en-US" w:eastAsia="zh-CN"/>
        </w:rPr>
        <w:t xml:space="preserve">           </w:t>
      </w:r>
    </w:p>
    <w:p>
      <w:pPr>
        <w:spacing w:line="600" w:lineRule="exact"/>
        <w:ind w:firstLine="1680" w:firstLineChars="700"/>
        <w:rPr>
          <w:rFonts w:hint="eastAsia" w:ascii="华文宋体" w:hAnsi="仿宋_GB2312" w:eastAsia="华文宋体"/>
          <w:color w:val="010000"/>
          <w:sz w:val="24"/>
          <w:szCs w:val="24"/>
        </w:rPr>
      </w:pPr>
      <w:r>
        <w:rPr>
          <w:rFonts w:hint="eastAsia" w:ascii="华文宋体" w:hAnsi="宋体" w:eastAsia="华文宋体"/>
          <w:color w:val="01000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华文宋体" w:hAnsi="宋体" w:eastAsia="华文宋体"/>
          <w:color w:val="010000"/>
          <w:sz w:val="24"/>
          <w:szCs w:val="24"/>
          <w:shd w:val="clear" w:color="auto" w:fill="FFFFFF"/>
        </w:rPr>
        <w:t>年    月    日</w:t>
      </w:r>
      <w:r>
        <w:rPr>
          <w:rFonts w:hint="eastAsia" w:ascii="华文宋体" w:hAnsi="宋体" w:eastAsia="华文宋体"/>
          <w:color w:val="010000"/>
          <w:sz w:val="24"/>
          <w:szCs w:val="24"/>
          <w:shd w:val="clear" w:color="auto" w:fill="FFFFFF"/>
          <w:lang w:val="en-US" w:eastAsia="zh-CN"/>
        </w:rPr>
        <w:t xml:space="preserve">                          </w:t>
      </w:r>
      <w:r>
        <w:rPr>
          <w:rFonts w:hint="eastAsia" w:ascii="华文宋体" w:hAnsi="宋体" w:eastAsia="华文宋体"/>
          <w:color w:val="010000"/>
          <w:sz w:val="24"/>
          <w:szCs w:val="24"/>
          <w:shd w:val="clear" w:color="auto" w:fill="FFFFFF"/>
        </w:rPr>
        <w:t>年    月    日</w:t>
      </w:r>
    </w:p>
    <w:p>
      <w:pPr>
        <w:shd w:val="solid" w:color="FFFFFF" w:fill="auto"/>
        <w:autoSpaceDN w:val="0"/>
        <w:spacing w:line="384" w:lineRule="auto"/>
        <w:jc w:val="center"/>
        <w:rPr>
          <w:rFonts w:ascii="华文宋体" w:hAnsi="黑体" w:eastAsia="华文宋体"/>
          <w:b/>
          <w:color w:val="010000"/>
          <w:sz w:val="24"/>
          <w:szCs w:val="24"/>
          <w:shd w:val="clear" w:color="auto" w:fill="FFFFFF"/>
        </w:rPr>
      </w:pPr>
    </w:p>
    <w:p>
      <w:pPr>
        <w:shd w:val="solid" w:color="FFFFFF" w:fill="auto"/>
        <w:autoSpaceDN w:val="0"/>
        <w:spacing w:line="384" w:lineRule="auto"/>
        <w:jc w:val="center"/>
        <w:rPr>
          <w:rFonts w:ascii="华文宋体" w:hAnsi="黑体" w:eastAsia="华文宋体"/>
          <w:b/>
          <w:color w:val="010000"/>
          <w:sz w:val="24"/>
          <w:szCs w:val="24"/>
          <w:shd w:val="clear" w:color="auto" w:fill="FFFFFF"/>
        </w:rPr>
      </w:pPr>
    </w:p>
    <w:p>
      <w:pPr>
        <w:shd w:val="solid" w:color="FFFFFF" w:fill="auto"/>
        <w:autoSpaceDN w:val="0"/>
        <w:spacing w:line="384" w:lineRule="auto"/>
        <w:jc w:val="center"/>
        <w:rPr>
          <w:rFonts w:ascii="华文宋体" w:hAnsi="黑体" w:eastAsia="华文宋体"/>
          <w:b/>
          <w:color w:val="010000"/>
          <w:sz w:val="24"/>
          <w:szCs w:val="24"/>
          <w:shd w:val="clear" w:color="auto" w:fill="FFFFFF"/>
        </w:rPr>
      </w:pPr>
    </w:p>
    <w:p>
      <w:pPr>
        <w:shd w:val="solid" w:color="FFFFFF" w:fill="auto"/>
        <w:autoSpaceDN w:val="0"/>
        <w:spacing w:line="384" w:lineRule="auto"/>
        <w:jc w:val="center"/>
        <w:rPr>
          <w:rFonts w:ascii="华文宋体" w:hAnsi="黑体" w:eastAsia="华文宋体"/>
          <w:b/>
          <w:color w:val="010000"/>
          <w:sz w:val="24"/>
          <w:szCs w:val="24"/>
          <w:shd w:val="clear" w:color="auto" w:fill="FFFFFF"/>
        </w:rPr>
      </w:pPr>
    </w:p>
    <w:p>
      <w:pPr>
        <w:shd w:val="solid" w:color="FFFFFF" w:fill="auto"/>
        <w:autoSpaceDN w:val="0"/>
        <w:spacing w:line="384" w:lineRule="auto"/>
        <w:jc w:val="center"/>
        <w:rPr>
          <w:rFonts w:ascii="华文宋体" w:hAnsi="黑体" w:eastAsia="华文宋体"/>
          <w:b/>
          <w:color w:val="010000"/>
          <w:sz w:val="24"/>
          <w:szCs w:val="24"/>
          <w:shd w:val="clear" w:color="auto" w:fill="FFFFFF"/>
        </w:rPr>
      </w:pPr>
    </w:p>
    <w:p>
      <w:pPr>
        <w:shd w:val="solid" w:color="FFFFFF" w:fill="auto"/>
        <w:autoSpaceDN w:val="0"/>
        <w:spacing w:line="384" w:lineRule="auto"/>
        <w:jc w:val="center"/>
        <w:rPr>
          <w:rFonts w:ascii="华文宋体" w:hAnsi="黑体" w:eastAsia="华文宋体"/>
          <w:b/>
          <w:color w:val="010000"/>
          <w:sz w:val="24"/>
          <w:szCs w:val="24"/>
          <w:shd w:val="clear" w:color="auto" w:fill="FFFFFF"/>
        </w:rPr>
      </w:pPr>
    </w:p>
    <w:p>
      <w:pPr>
        <w:jc w:val="both"/>
        <w:textAlignment w:val="center"/>
        <w:rPr>
          <w:rFonts w:hint="eastAsia" w:ascii="华文宋体" w:eastAsia="华文宋体"/>
          <w:color w:val="010000"/>
          <w:sz w:val="24"/>
          <w:szCs w:val="24"/>
          <w:shd w:val="clear" w:color="auto" w:fill="FFFFFF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63" w:bottom="1440" w:left="151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7"/>
      </w:rPr>
      <w:instrText xml:space="preserve"> PAGE  </w:instrText>
    </w:r>
    <w:r>
      <w:fldChar w:fldCharType="separate"/>
    </w:r>
    <w:r>
      <w:rPr>
        <w:rStyle w:val="7"/>
      </w:rPr>
      <w:t>18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172A27"/>
    <w:rsid w:val="000332B0"/>
    <w:rsid w:val="0004343D"/>
    <w:rsid w:val="00055B31"/>
    <w:rsid w:val="00101A52"/>
    <w:rsid w:val="001114E2"/>
    <w:rsid w:val="00130683"/>
    <w:rsid w:val="00182E29"/>
    <w:rsid w:val="001F2263"/>
    <w:rsid w:val="001F522C"/>
    <w:rsid w:val="002159BE"/>
    <w:rsid w:val="00230647"/>
    <w:rsid w:val="00303C8A"/>
    <w:rsid w:val="00330098"/>
    <w:rsid w:val="00337BFF"/>
    <w:rsid w:val="00347270"/>
    <w:rsid w:val="003C754A"/>
    <w:rsid w:val="003E50F8"/>
    <w:rsid w:val="0044706C"/>
    <w:rsid w:val="0051303F"/>
    <w:rsid w:val="00514C05"/>
    <w:rsid w:val="0057596D"/>
    <w:rsid w:val="00595E3C"/>
    <w:rsid w:val="00623BB5"/>
    <w:rsid w:val="00672449"/>
    <w:rsid w:val="00675471"/>
    <w:rsid w:val="00683F37"/>
    <w:rsid w:val="006C6985"/>
    <w:rsid w:val="006E1052"/>
    <w:rsid w:val="006E5288"/>
    <w:rsid w:val="007278DD"/>
    <w:rsid w:val="007A34DC"/>
    <w:rsid w:val="007D50EA"/>
    <w:rsid w:val="008662D6"/>
    <w:rsid w:val="008772DE"/>
    <w:rsid w:val="00883F0F"/>
    <w:rsid w:val="008F7F16"/>
    <w:rsid w:val="00921CC5"/>
    <w:rsid w:val="009412B6"/>
    <w:rsid w:val="00A63D9E"/>
    <w:rsid w:val="00B67EF0"/>
    <w:rsid w:val="00BF4479"/>
    <w:rsid w:val="00C02049"/>
    <w:rsid w:val="00C20C63"/>
    <w:rsid w:val="00CB111B"/>
    <w:rsid w:val="00CC05B8"/>
    <w:rsid w:val="00CE5635"/>
    <w:rsid w:val="00D7608C"/>
    <w:rsid w:val="00D86BF5"/>
    <w:rsid w:val="00D915B6"/>
    <w:rsid w:val="00DF59C3"/>
    <w:rsid w:val="00E22AC4"/>
    <w:rsid w:val="00E47C9E"/>
    <w:rsid w:val="00E62A59"/>
    <w:rsid w:val="00EB6AFF"/>
    <w:rsid w:val="00F33414"/>
    <w:rsid w:val="00F6533D"/>
    <w:rsid w:val="056A1004"/>
    <w:rsid w:val="08955281"/>
    <w:rsid w:val="0DB37F58"/>
    <w:rsid w:val="0EE505E5"/>
    <w:rsid w:val="109220A6"/>
    <w:rsid w:val="111E5229"/>
    <w:rsid w:val="11C640A6"/>
    <w:rsid w:val="12535865"/>
    <w:rsid w:val="15D409D9"/>
    <w:rsid w:val="171119EA"/>
    <w:rsid w:val="1A0C4D2D"/>
    <w:rsid w:val="1D34499C"/>
    <w:rsid w:val="1D3F35B6"/>
    <w:rsid w:val="1E335373"/>
    <w:rsid w:val="1FFB1A16"/>
    <w:rsid w:val="202C11CF"/>
    <w:rsid w:val="22B83BEE"/>
    <w:rsid w:val="235D4785"/>
    <w:rsid w:val="24044C11"/>
    <w:rsid w:val="290F389D"/>
    <w:rsid w:val="29DD3F3B"/>
    <w:rsid w:val="2B0A0D5F"/>
    <w:rsid w:val="2D687FBF"/>
    <w:rsid w:val="2E110657"/>
    <w:rsid w:val="338673F1"/>
    <w:rsid w:val="35E508A6"/>
    <w:rsid w:val="39167469"/>
    <w:rsid w:val="3AD52179"/>
    <w:rsid w:val="3AF70BD4"/>
    <w:rsid w:val="3B3B31B7"/>
    <w:rsid w:val="3CFA721E"/>
    <w:rsid w:val="3D5B2AD3"/>
    <w:rsid w:val="3DD0505D"/>
    <w:rsid w:val="3E1D3EFC"/>
    <w:rsid w:val="41024F3C"/>
    <w:rsid w:val="43643D6E"/>
    <w:rsid w:val="438678D6"/>
    <w:rsid w:val="47B21FD0"/>
    <w:rsid w:val="4AA448D5"/>
    <w:rsid w:val="4B133808"/>
    <w:rsid w:val="4B386C04"/>
    <w:rsid w:val="4B4C240D"/>
    <w:rsid w:val="4BCB7C3F"/>
    <w:rsid w:val="4C143394"/>
    <w:rsid w:val="4E082B8D"/>
    <w:rsid w:val="4FA669F9"/>
    <w:rsid w:val="506A5C79"/>
    <w:rsid w:val="53DF697E"/>
    <w:rsid w:val="53F003EF"/>
    <w:rsid w:val="54CB0CB0"/>
    <w:rsid w:val="570F1328"/>
    <w:rsid w:val="57D92987"/>
    <w:rsid w:val="57EC5D91"/>
    <w:rsid w:val="59EE791A"/>
    <w:rsid w:val="5B9938B6"/>
    <w:rsid w:val="5CE6774E"/>
    <w:rsid w:val="5EFF6BFE"/>
    <w:rsid w:val="5F41229A"/>
    <w:rsid w:val="60C0036F"/>
    <w:rsid w:val="616B35FF"/>
    <w:rsid w:val="63472B4C"/>
    <w:rsid w:val="63BA261B"/>
    <w:rsid w:val="63E458E8"/>
    <w:rsid w:val="661370B6"/>
    <w:rsid w:val="6A576944"/>
    <w:rsid w:val="6E0541B2"/>
    <w:rsid w:val="74E219D2"/>
    <w:rsid w:val="750B717B"/>
    <w:rsid w:val="765A3553"/>
    <w:rsid w:val="77613082"/>
    <w:rsid w:val="78E634B9"/>
    <w:rsid w:val="797E69E9"/>
    <w:rsid w:val="7AC22FCD"/>
    <w:rsid w:val="7B3665D4"/>
    <w:rsid w:val="7D617181"/>
    <w:rsid w:val="7EDC68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AWEI\Desktop\&#22269;&#23478;&#32479;&#35745;&#23616;&#37329;&#21326;&#35843;&#26597;&#38431;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房地产管理处</Company>
  <Pages>15</Pages>
  <Words>5136</Words>
  <Characters>5180</Characters>
  <Lines>67</Lines>
  <Paragraphs>19</Paragraphs>
  <TotalTime>9</TotalTime>
  <ScaleCrop>false</ScaleCrop>
  <LinksUpToDate>false</LinksUpToDate>
  <CharactersWithSpaces>9260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2019-09-19T02:18:00Z</dcterms:created>
  <dc:creator>linmaotong</dc:creator>
  <cp:lastModifiedBy>Nicole</cp:lastModifiedBy>
  <cp:lastPrinted>2016-05-12T01:16:00Z</cp:lastPrinted>
  <dcterms:modified xsi:type="dcterms:W3CDTF">2023-04-11T00:34:13Z</dcterms:modified>
  <dc:title>物业交接记录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8987B0F1F7E24E9081727D1DD05BA55D_13</vt:lpwstr>
  </property>
</Properties>
</file>