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DC" w:rsidRDefault="00E512DC">
      <w:pPr>
        <w:pStyle w:val="a7"/>
        <w:widowControl/>
        <w:spacing w:beforeAutospacing="0" w:afterAutospacing="0" w:line="5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E512DC" w:rsidRDefault="002B466E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E512DC" w:rsidRDefault="002B466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关于促进数据要素产业高质量发展的实施意见（试行）</w:t>
      </w:r>
    </w:p>
    <w:p w:rsidR="00E512DC" w:rsidRDefault="002B466E">
      <w:pPr>
        <w:pStyle w:val="1"/>
        <w:spacing w:before="0" w:after="0" w:line="600" w:lineRule="exact"/>
        <w:jc w:val="center"/>
        <w:rPr>
          <w:rFonts w:ascii="楷体_GB2312" w:eastAsia="楷体_GB2312" w:hAnsi="楷体_GB2312" w:cs="楷体_GB2312"/>
          <w:b w:val="0"/>
          <w:bCs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  <w:t>（</w:t>
      </w:r>
      <w:r>
        <w:rPr>
          <w:rFonts w:ascii="楷体_GB2312" w:eastAsia="楷体_GB2312" w:hAnsi="楷体_GB2312" w:cs="楷体_GB2312"/>
          <w:b w:val="0"/>
          <w:bCs w:val="0"/>
          <w:sz w:val="32"/>
          <w:szCs w:val="32"/>
        </w:rPr>
        <w:t>征求意见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  <w:lang w:val="en-US"/>
        </w:rPr>
        <w:t>稿</w:t>
      </w:r>
      <w:r>
        <w:rPr>
          <w:rFonts w:ascii="楷体_GB2312" w:eastAsia="楷体_GB2312" w:hAnsi="楷体_GB2312" w:cs="楷体_GB2312" w:hint="eastAsia"/>
          <w:b w:val="0"/>
          <w:bCs w:val="0"/>
          <w:sz w:val="32"/>
          <w:szCs w:val="32"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为贯彻落实《中共中央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国务院关于构建数据基础制度更好发挥数据要素作用的意见》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进一步促进杭州高新区（滨江）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数据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产业集聚发展，激活数据要素新动能，充分发挥数据要素对经济发展的积极作用，结合本区实际，特制定本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实施意见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。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一、指导思想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以习近平新时代中国特色社会主义思想为指导，深入贯彻党的二十大精神，完整、准确、全面贯彻新发展理念，加快构建新发展格局，坚持改革创新、系统谋划，锚定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数字经济第一区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总目标，按照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四维一体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部署要求，抓住数据这一关键要素，以激活数据要素潜能为引擎，以数据要素市场化配置改革为突破，以数据与实体经济双向赋能为主攻方向，推动构建集数据确权、加工、流通、交易等为一体的数据产业链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加快培育数据要素市场，促进数字产业化和产业全方位数字化转型，推动以数据为关键要素的数字经济发展，协同推进技术、模式、业态和制度创新，打造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一地三区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，建设成为制度先行、产业高端、服务优质的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中国数谷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核心区，为浙江建设国家数据要素综合试验区、全球数字贸易中心贡献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滨江力量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/>
          <w:kern w:val="0"/>
          <w:sz w:val="32"/>
          <w:szCs w:val="32"/>
          <w:lang/>
        </w:rPr>
        <w:lastRenderedPageBreak/>
        <w:t>二、发展目标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以争当国家数据要素综合试验区城市范例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中国数谷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引领区、核心区为目标，高质量落实国家、省构建数据基础制度综合改革创新示范，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规则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+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市场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+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生态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+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场景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四维一体协同推进技术、模式、业态和制度创新，将高新区（滨江）建设成为具有全球影响力的数据要素交易流通集聚地，数据要素服务生态样板区、数据要素应用场景示范区、数据要素治理创新引领区。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/>
          <w:kern w:val="0"/>
          <w:sz w:val="32"/>
          <w:szCs w:val="32"/>
          <w:lang/>
        </w:rPr>
        <w:t>三、扶持政策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（一）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加快培育数据要素市场主体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。</w:t>
      </w:r>
    </w:p>
    <w:p w:rsidR="00E512DC" w:rsidRDefault="002B466E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Cs w:val="32"/>
        </w:rPr>
        <w:t>招大引强支持示范带动。</w:t>
      </w:r>
      <w:r>
        <w:rPr>
          <w:rFonts w:ascii="Times New Roman" w:eastAsia="仿宋_GB2312" w:hAnsi="Times New Roman" w:cs="Times New Roman"/>
          <w:bCs/>
          <w:kern w:val="0"/>
          <w:szCs w:val="32"/>
          <w:lang/>
        </w:rPr>
        <w:t>支持有条件的单位</w:t>
      </w:r>
      <w:r>
        <w:rPr>
          <w:rFonts w:ascii="Times New Roman" w:eastAsia="仿宋_GB2312" w:hAnsi="Times New Roman" w:cs="Times New Roman"/>
          <w:bCs/>
          <w:kern w:val="0"/>
          <w:szCs w:val="32"/>
          <w:lang/>
        </w:rPr>
        <w:t>组建</w:t>
      </w:r>
      <w:r>
        <w:rPr>
          <w:rFonts w:ascii="Times New Roman" w:eastAsia="仿宋_GB2312" w:hAnsi="Times New Roman" w:cs="Times New Roman"/>
          <w:bCs/>
          <w:kern w:val="0"/>
          <w:szCs w:val="32"/>
          <w:lang/>
        </w:rPr>
        <w:t>数据集团、数据公司或数据研究院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，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经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认定为</w:t>
      </w:r>
      <w:r>
        <w:rPr>
          <w:rFonts w:ascii="Times New Roman" w:eastAsia="仿宋_GB2312" w:hAnsi="Times New Roman" w:cs="Times New Roman" w:hint="eastAsia"/>
          <w:kern w:val="0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基石数商</w:t>
      </w:r>
      <w:r>
        <w:rPr>
          <w:rFonts w:ascii="Times New Roman" w:eastAsia="仿宋_GB2312" w:hAnsi="Times New Roman" w:cs="Times New Roman" w:hint="eastAsia"/>
          <w:kern w:val="0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的，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可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给予最高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5000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万元资助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。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用于支持企业办公生产、研发投入、市场开拓、扩大投资、</w:t>
      </w:r>
      <w:r>
        <w:rPr>
          <w:rFonts w:ascii="Times New Roman" w:eastAsia="仿宋_GB2312" w:hAnsi="Times New Roman" w:cs="Times New Roman"/>
          <w:kern w:val="0"/>
          <w:szCs w:val="32"/>
        </w:rPr>
        <w:t>强化自身数据集建设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等。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责任单位：发改局、商务局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培育数商企业梯队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。经认定为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基石数商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星火数商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并通过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三数一链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进行数据流通交易的数商企业，分别最高给予一次性奖励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万元、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万元。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责任单位：发改局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鼓励数商企业集聚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经认定，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符合条件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的数商企业租用区内物业可给予为期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年的房租补贴政策；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经评估，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符合条件的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数商企业可落地中国数谷大厦；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在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我区无自有办公用房且营业收入不低于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亿元的数商企业，首次购置除工业综合体物业外的自用办公用房，按不超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过购房价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10%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予以补助，最高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3000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万元。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责任单位：发改局、商务局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壮大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数据流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服务型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数商队伍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支持企业、科研院所和第三方机构为数商提供数据集成、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数据知识产权登记、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数据经纪、合规认证、安全审计、数据公证、数据保险、数据托管、资产评估、争议仲裁、风险评估、人才培训等专业服务。对上一年度场内专业服务收入达到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万元以上的服务型数商，按照不高于其数据交易服务收入的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给予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每家单位最高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万元的奖励，每年奖励最多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家企业。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责任单位：发改局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二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）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鼓励企业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通过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“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三数一链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”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体系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参与数据要素市场化改革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。</w:t>
      </w:r>
    </w:p>
    <w:p w:rsidR="00E512DC" w:rsidRDefault="002B466E">
      <w:pPr>
        <w:suppressAutoHyphens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支持通过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三数一链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进行数据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流通。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区内企事业单位新获得数据知识产权登记证书的，每件奖励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1000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元，每个单位每年最多奖励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万元。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使用数联网接入设备，并通过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三数一链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进行数据流通交易的企业，可连续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年给予年度使用费用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50%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30%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的补贴。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对获得数据知识产权许可（转让）的企事业单位，给予被许可方（受让方）实际支付费用的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10%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资助，同一主体每年资助不超过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万元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用数券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。（责任单位：发改局、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市场监管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局）</w:t>
      </w:r>
    </w:p>
    <w:p w:rsidR="00E512DC" w:rsidRDefault="002B466E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Cs w:val="32"/>
        </w:rPr>
        <w:t>6.</w:t>
      </w:r>
      <w:r>
        <w:rPr>
          <w:rFonts w:ascii="Times New Roman" w:eastAsia="仿宋_GB2312" w:hAnsi="Times New Roman" w:cs="Times New Roman"/>
          <w:bCs/>
          <w:kern w:val="0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Cs w:val="32"/>
        </w:rPr>
        <w:t>鼓励进场交易。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对数商企业在</w:t>
      </w:r>
      <w:r>
        <w:rPr>
          <w:rFonts w:ascii="Times New Roman" w:eastAsia="仿宋_GB2312" w:hAnsi="Times New Roman" w:cs="Times New Roman" w:hint="eastAsia"/>
          <w:kern w:val="0"/>
          <w:szCs w:val="32"/>
          <w:lang/>
        </w:rPr>
        <w:t>符合条件的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登记注册的数据公开交易平台实现首次登记挂牌数据产品，经核定，根据新登记挂牌并实现交易的企业数量，按照每家最高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10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万元的额度，给予平台资金补贴，其中每个平台每年最高补贴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lastRenderedPageBreak/>
        <w:t>500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万元。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责任单位：发改局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7.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推动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企业数据集建设。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鼓励有一定数据规模的数据资源单位、协会、科研机构等组织，积极建设应用场景所需的通用人工智能训练数据集、标准测试数据集、行业专业数据集以及大模型预训练语料库等。鼓励企业或机构将用于人工智能相关研发的高质量数据集接入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数据公开交易平台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，数据集被超过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符合条件的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非关联企业调用的，经认定，按该数据集单次流通收益的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10%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给予奖励，单家企业年度补贴最高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万元。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责任单位：发改局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>
      <w:pPr>
        <w:pStyle w:val="a4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8.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推进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建设试点应用场景。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基于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三数一链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框架和治理体系，聚焦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工业制造、商贸流通、金融服务、科技创新、城市治理、绿色低碳等重点行业和领域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，赋能打造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数据要素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重点领域特色应用场景。对在技术、产品和商业模式实现创新突破，并在一定区域范围内取得良好示范效应的应用场景，分级分档，按照项目投资额的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%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，给予最高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万元的奖励。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发挥龙头骨干企业行业牵引作用，聚焦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人工智能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+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数据赋能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推动国家级行业大模型与数据要素协同创新中心建设，孕育新质生产力。鼓励基石数商向中小微企业开放用户、流量、接口、技术等创新和应用资源，组建一批产业链上下游共同体，开展产业链协同创新，形成大中小微企业融通发展的格局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责任单位：发改局、社会治理中心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 w:rsidP="0026444C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三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）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推动数据基础设施建设和研发创新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。</w:t>
      </w:r>
    </w:p>
    <w:p w:rsidR="00E512DC" w:rsidRDefault="002B466E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Cs w:val="32"/>
        </w:rPr>
        <w:t>9.</w:t>
      </w:r>
      <w:r>
        <w:rPr>
          <w:rFonts w:ascii="Times New Roman" w:eastAsia="仿宋_GB2312" w:hAnsi="Times New Roman" w:cs="Times New Roman"/>
          <w:bCs/>
          <w:kern w:val="0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Cs w:val="32"/>
        </w:rPr>
        <w:t>加强</w:t>
      </w:r>
      <w:r>
        <w:rPr>
          <w:rFonts w:ascii="Times New Roman" w:eastAsia="仿宋_GB2312" w:hAnsi="Times New Roman" w:cs="Times New Roman"/>
          <w:kern w:val="0"/>
          <w:szCs w:val="32"/>
        </w:rPr>
        <w:t>数据要素</w:t>
      </w:r>
      <w:r>
        <w:rPr>
          <w:rFonts w:ascii="Times New Roman" w:eastAsia="仿宋_GB2312" w:hAnsi="Times New Roman" w:cs="Times New Roman"/>
          <w:bCs/>
          <w:kern w:val="0"/>
          <w:szCs w:val="32"/>
        </w:rPr>
        <w:t>基础设施建设。</w:t>
      </w:r>
      <w:r>
        <w:rPr>
          <w:rFonts w:ascii="Times New Roman" w:eastAsia="仿宋_GB2312" w:hAnsi="Times New Roman" w:cs="Times New Roman"/>
          <w:kern w:val="0"/>
          <w:szCs w:val="32"/>
        </w:rPr>
        <w:t>支持数联网等数据重大</w:t>
      </w:r>
      <w:r>
        <w:rPr>
          <w:rFonts w:ascii="Times New Roman" w:eastAsia="仿宋_GB2312" w:hAnsi="Times New Roman" w:cs="Times New Roman"/>
          <w:kern w:val="0"/>
          <w:szCs w:val="32"/>
        </w:rPr>
        <w:lastRenderedPageBreak/>
        <w:t>基础设施建设，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按照不超过实际完成区内固定资产投资（不含土建）的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10%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、</w:t>
      </w:r>
      <w:r>
        <w:rPr>
          <w:rFonts w:ascii="Times New Roman" w:eastAsia="仿宋_GB2312" w:hAnsi="Times New Roman" w:cs="Times New Roman"/>
          <w:kern w:val="0"/>
          <w:szCs w:val="32"/>
        </w:rPr>
        <w:t>给予最高</w:t>
      </w:r>
      <w:r>
        <w:rPr>
          <w:rFonts w:ascii="Times New Roman" w:eastAsia="仿宋_GB2312" w:hAnsi="Times New Roman" w:cs="Times New Roman"/>
          <w:kern w:val="0"/>
          <w:szCs w:val="32"/>
        </w:rPr>
        <w:t>2000</w:t>
      </w:r>
      <w:r>
        <w:rPr>
          <w:rFonts w:ascii="Times New Roman" w:eastAsia="仿宋_GB2312" w:hAnsi="Times New Roman" w:cs="Times New Roman"/>
          <w:kern w:val="0"/>
          <w:szCs w:val="32"/>
        </w:rPr>
        <w:t>万元的补贴。</w:t>
      </w:r>
      <w:r>
        <w:rPr>
          <w:rFonts w:ascii="Times New Roman" w:eastAsia="仿宋_GB2312" w:hAnsi="Times New Roman" w:cs="Times New Roman"/>
          <w:kern w:val="0"/>
          <w:szCs w:val="32"/>
        </w:rPr>
        <w:t>支持自主可控、安全可靠信创算力中心建设，为本地人工智能产业提供公共算力服务。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责任单位：发改局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）</w:t>
      </w:r>
    </w:p>
    <w:p w:rsidR="00E512DC" w:rsidRDefault="002B466E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Cs w:val="32"/>
        </w:rPr>
        <w:t>.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Cs w:val="32"/>
        </w:rPr>
        <w:t>支持</w:t>
      </w:r>
      <w:r>
        <w:rPr>
          <w:rFonts w:ascii="Times New Roman" w:eastAsia="仿宋_GB2312" w:hAnsi="Times New Roman" w:cs="Times New Roman"/>
          <w:kern w:val="0"/>
          <w:szCs w:val="32"/>
        </w:rPr>
        <w:t>使用自主可控算力。鼓励使用自主可控、安全可靠信创算力资源。按照服务合同金额的</w:t>
      </w:r>
      <w:r>
        <w:rPr>
          <w:rFonts w:ascii="Times New Roman" w:eastAsia="仿宋_GB2312" w:hAnsi="Times New Roman" w:cs="Times New Roman"/>
          <w:kern w:val="0"/>
          <w:szCs w:val="32"/>
        </w:rPr>
        <w:t>50%</w:t>
      </w:r>
      <w:r>
        <w:rPr>
          <w:rFonts w:ascii="Times New Roman" w:eastAsia="仿宋_GB2312" w:hAnsi="Times New Roman" w:cs="Times New Roman"/>
          <w:kern w:val="0"/>
          <w:szCs w:val="32"/>
        </w:rPr>
        <w:t>给予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Cs w:val="32"/>
        </w:rPr>
        <w:t>算力券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Cs w:val="32"/>
        </w:rPr>
        <w:t>补</w:t>
      </w:r>
      <w:r>
        <w:rPr>
          <w:rFonts w:ascii="Times New Roman" w:eastAsia="仿宋_GB2312" w:hAnsi="Times New Roman" w:cs="Times New Roman"/>
          <w:kern w:val="0"/>
          <w:szCs w:val="32"/>
        </w:rPr>
        <w:t>贴，单个主体年度补贴金额最高</w:t>
      </w:r>
      <w:r>
        <w:rPr>
          <w:rFonts w:ascii="Times New Roman" w:eastAsia="仿宋_GB2312" w:hAnsi="Times New Roman" w:cs="Times New Roman"/>
          <w:kern w:val="0"/>
          <w:szCs w:val="32"/>
        </w:rPr>
        <w:t>100</w:t>
      </w:r>
      <w:r>
        <w:rPr>
          <w:rFonts w:ascii="Times New Roman" w:eastAsia="仿宋_GB2312" w:hAnsi="Times New Roman" w:cs="Times New Roman"/>
          <w:kern w:val="0"/>
          <w:szCs w:val="32"/>
        </w:rPr>
        <w:t>万元。</w:t>
      </w:r>
      <w:r>
        <w:rPr>
          <w:rFonts w:ascii="Times New Roman" w:eastAsia="仿宋_GB2312" w:hAnsi="Times New Roman" w:cs="Times New Roman"/>
          <w:kern w:val="0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Cs w:val="32"/>
        </w:rPr>
        <w:t>责任单位：科技局、资产经营公司</w:t>
      </w:r>
      <w:r>
        <w:rPr>
          <w:rFonts w:ascii="Times New Roman" w:eastAsia="仿宋_GB2312" w:hAnsi="Times New Roman" w:cs="Times New Roman"/>
          <w:kern w:val="0"/>
          <w:szCs w:val="32"/>
        </w:rPr>
        <w:t>）</w:t>
      </w:r>
    </w:p>
    <w:p w:rsidR="00E512DC" w:rsidRDefault="002B466E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11.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Cs w:val="32"/>
        </w:rPr>
        <w:t>促进</w:t>
      </w:r>
      <w:r>
        <w:rPr>
          <w:rFonts w:ascii="Times New Roman" w:eastAsia="仿宋_GB2312" w:hAnsi="Times New Roman" w:cs="Times New Roman"/>
          <w:kern w:val="0"/>
          <w:szCs w:val="32"/>
        </w:rPr>
        <w:t>数据</w:t>
      </w:r>
      <w:r>
        <w:rPr>
          <w:rFonts w:ascii="Times New Roman" w:eastAsia="仿宋_GB2312" w:hAnsi="Times New Roman" w:cs="Times New Roman"/>
          <w:kern w:val="0"/>
          <w:szCs w:val="32"/>
        </w:rPr>
        <w:t>公开</w:t>
      </w:r>
      <w:r>
        <w:rPr>
          <w:rFonts w:ascii="Times New Roman" w:eastAsia="仿宋_GB2312" w:hAnsi="Times New Roman" w:cs="Times New Roman"/>
          <w:kern w:val="0"/>
          <w:szCs w:val="32"/>
        </w:rPr>
        <w:t>交易平台发展。鼓励</w:t>
      </w:r>
      <w:r>
        <w:rPr>
          <w:rFonts w:ascii="Times New Roman" w:eastAsia="仿宋_GB2312" w:hAnsi="Times New Roman" w:cs="Times New Roman"/>
          <w:kern w:val="0"/>
          <w:szCs w:val="32"/>
        </w:rPr>
        <w:t>数据公开交易平台</w:t>
      </w:r>
      <w:r>
        <w:rPr>
          <w:rFonts w:ascii="Times New Roman" w:eastAsia="仿宋_GB2312" w:hAnsi="Times New Roman" w:cs="Times New Roman"/>
          <w:kern w:val="0"/>
          <w:szCs w:val="32"/>
        </w:rPr>
        <w:t>服务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符合条件的</w:t>
      </w:r>
      <w:r>
        <w:rPr>
          <w:rFonts w:ascii="Times New Roman" w:eastAsia="仿宋_GB2312" w:hAnsi="Times New Roman" w:cs="Times New Roman"/>
          <w:kern w:val="0"/>
          <w:szCs w:val="32"/>
        </w:rPr>
        <w:t>企业，经认定，给予平台年</w:t>
      </w:r>
      <w:r>
        <w:rPr>
          <w:rFonts w:ascii="Times New Roman" w:eastAsia="仿宋_GB2312" w:hAnsi="Times New Roman" w:cs="Times New Roman"/>
          <w:kern w:val="0"/>
          <w:szCs w:val="32"/>
        </w:rPr>
        <w:t>场内</w:t>
      </w:r>
      <w:r>
        <w:rPr>
          <w:rFonts w:ascii="Times New Roman" w:eastAsia="仿宋_GB2312" w:hAnsi="Times New Roman" w:cs="Times New Roman"/>
          <w:kern w:val="0"/>
          <w:szCs w:val="32"/>
        </w:rPr>
        <w:t>非关联企业交易额</w:t>
      </w:r>
      <w:r>
        <w:rPr>
          <w:rFonts w:ascii="Times New Roman" w:eastAsia="仿宋_GB2312" w:hAnsi="Times New Roman" w:cs="Times New Roman"/>
          <w:kern w:val="0"/>
          <w:szCs w:val="32"/>
        </w:rPr>
        <w:t>1%</w:t>
      </w:r>
      <w:r>
        <w:rPr>
          <w:rFonts w:ascii="Times New Roman" w:eastAsia="仿宋_GB2312" w:hAnsi="Times New Roman" w:cs="Times New Roman"/>
          <w:kern w:val="0"/>
          <w:szCs w:val="32"/>
        </w:rPr>
        <w:t>的补贴，单家平台企业年度补贴最高</w:t>
      </w:r>
      <w:r>
        <w:rPr>
          <w:rFonts w:ascii="Times New Roman" w:eastAsia="仿宋_GB2312" w:hAnsi="Times New Roman" w:cs="Times New Roman"/>
          <w:kern w:val="0"/>
          <w:szCs w:val="32"/>
        </w:rPr>
        <w:t>100</w:t>
      </w:r>
      <w:r>
        <w:rPr>
          <w:rFonts w:ascii="Times New Roman" w:eastAsia="仿宋_GB2312" w:hAnsi="Times New Roman" w:cs="Times New Roman"/>
          <w:kern w:val="0"/>
          <w:szCs w:val="32"/>
        </w:rPr>
        <w:t>万元。鼓励龙头企业在杭州数据交易所、浙江大数据交易中心设立行业数据交易平台、交易专区。鼓励安全规范的数据跨境流动</w:t>
      </w:r>
      <w:r>
        <w:rPr>
          <w:rFonts w:ascii="Times New Roman" w:eastAsia="仿宋_GB2312" w:hAnsi="Times New Roman" w:cs="Times New Roman"/>
          <w:kern w:val="0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Cs w:val="32"/>
        </w:rPr>
        <w:t>设立跨境数据交易专区。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责任单位：发改局</w:t>
      </w:r>
      <w:r>
        <w:rPr>
          <w:rFonts w:ascii="Times New Roman" w:eastAsia="仿宋_GB2312" w:hAnsi="Times New Roman" w:cs="Times New Roman"/>
          <w:kern w:val="0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鼓励数商企业研发创新。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经认定，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符合条件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星火数商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星海数商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分别给予为期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年、按研发实际支出额的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15%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给予最高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万元的研发投入资助。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责任单位：商务局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支持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数据创新平台建设。鼓励打造数据要素领域的重点实验室、技术研发中心、联合创新中心等高水平创新平台。对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符合条件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的国家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、省级重点实验室（工程技术研究中心），分别给予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万元奖励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;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符合条件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的省级重点企业研究院、省级企业研究院分别给予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万元奖励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符合条件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的国家、省级研发中心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工程研究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中心、企业技术中心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，分别给予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100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万元奖励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;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符合条件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的国家、省实验室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技术创新中心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给予重点支持。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责任单位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: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科技局、发改局、经信局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</w:p>
    <w:p w:rsidR="00E512DC" w:rsidRDefault="002B466E" w:rsidP="0026444C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四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）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推动数据要素流通标准体系建设和制度创新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。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探索数据要素价值化路径。在数据资产登记、数据资产评估和入表、数据资产金融创新等方面，支持主动探索、先行先试，给予配套资金支持。鼓励企业开展数据资产入表活动，对于数据资源首次实现入表且入表金额大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万元的，可以对企业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数据资产入表所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生的质量评价、资产评估和审计等服务费用予以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的补贴，同一企业数据资产入表补贴最高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探索数据要素产权化有效路径，推广数据知识产权质押融资新方式，对利用数据知识产权等知识产权质押获得金融机构贷款的企业，按照年度银行贷款市场报价利率（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LPR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）的月均利率的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予以贴息资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助，每家企业年贴息额度最高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责任单位：发改局、财政局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、市场监管局）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支持数据要素标准体系建设。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对企业主导制定国际标准、参与制定国际标准并发布的，分别给予企业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万元奖励。企业主要参与国家标准、行业标准制定并发布的，分别给予企业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万元奖励。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责任单位：市场监管局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推动提升数据管理能力。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首次通过数据管理能力成熟度模型（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DCMM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）五级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四级、三级评估以及相关国家标准认证的数商企业，分别给予最高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万元奖励。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责任单位：发改局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 w:rsidP="0026444C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  <w:lang/>
        </w:rPr>
      </w:pP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（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五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）</w:t>
      </w:r>
      <w:r>
        <w:rPr>
          <w:rFonts w:ascii="楷体_GB2312" w:eastAsia="楷体_GB2312" w:hAnsi="楷体_GB2312" w:cs="楷体_GB2312"/>
          <w:kern w:val="0"/>
          <w:sz w:val="32"/>
          <w:szCs w:val="32"/>
          <w:lang/>
        </w:rPr>
        <w:t>强化数据要素产业高质量发展保障支撑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/>
        </w:rPr>
        <w:t>。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培育数据要素人才。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对自主申报入选国家级、省级、市级高层次人才计划的人才给予相应奖励。对企业所聘专家入选浙江省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海外工程师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、杭州市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引智计划等专项的，给予用人单位相应奖励；对符合条件的企业人才推荐进行人才认定，并按规定享受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落户、子女入学、购买首套住房、车牌竞价补贴等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相应人才政策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将数据要素人才纳入区级人才分类认定目录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责任单位：人才办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、发改局、人力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社保局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18.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加大金融服务保障。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设立数据要素产业基金。推动战略性新兴产业投资基金、创业投资引导基金、天使投资引导基金加大对数商企业的投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资支持力度。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责任单位：发改局、高新金投集团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19.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鼓励开展高水平交流活动。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鼓励企业、科研院所和协会举办具有国际、国内影响力的数据领域论坛、展会等活动，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经事前认定，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给予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符合条件的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承办方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50%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的场租费补贴，单次补贴额度最高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责任单位：发改局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20.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优化数据产业营商环境。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建设数据要素流通合规中心，为数据交易市场主体提供便捷的法律服务。推行包容审慎监管措施，引导市场规范运行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，支持通过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三数一链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进行数据流通交易的企业加入数据要素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改革沙盒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降低试错成本和运行风险，为数据要素流通和价值创造提供制度空间，推动形成有利于数据要素合规高效流通使用、赋能实体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lastRenderedPageBreak/>
        <w:t>经济的体制机制、市场和生态，构建国际国内领先的数据产业营商环境。（责任单位：司法局）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四、附则</w:t>
      </w:r>
    </w:p>
    <w:p w:rsidR="00E512DC" w:rsidRDefault="002B466E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三数一链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具体指以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数据交易场所、数联网、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‘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数据发票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’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（数据合规流通数字证书）和区块链跨链互认机制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为主体构建的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三数一链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数据可信流通基础设施框架和数据要素治理体系，是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中国数谷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数据要素改革的重要实践成果；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改革沙盒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具体指坚持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包容审慎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监管理念，聚焦新兴产业、新生事物发展，旨在鼓励创新、包容试错，由监管部门对相应领域内的市场经营主体设置监管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包容期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，在可控范围内为新产品新业态发展提供容错纠错空间。</w:t>
      </w:r>
    </w:p>
    <w:p w:rsidR="00E512DC" w:rsidRDefault="002B466E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同一产品、项目、标准获得多项资助（奖励）的，按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从优、从高、不重复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原则进行资助（奖励）。</w:t>
      </w:r>
    </w:p>
    <w:p w:rsidR="00E512DC" w:rsidRDefault="002B466E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本意见适用于在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杭州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高新区（滨江）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并进入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三数一链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体系的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数商企业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及为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数据要素产业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发展提供技术支撑、产业配套服务的相关企业。</w:t>
      </w:r>
    </w:p>
    <w:p w:rsidR="00E512DC" w:rsidRDefault="002B466E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本意见自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日开始施行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具体由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人才办、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发改局、经信局、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科技局、司法局、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人力社保局、商务局、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市场监管局、社会治理中心、高新金投集团、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资产经营公司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会同财政局实施</w:t>
      </w:r>
      <w:r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。</w:t>
      </w:r>
    </w:p>
    <w:p w:rsidR="00E512DC" w:rsidRDefault="00E512DC">
      <w:pPr>
        <w:pStyle w:val="1"/>
        <w:rPr>
          <w:sz w:val="28"/>
          <w:szCs w:val="36"/>
        </w:rPr>
      </w:pPr>
    </w:p>
    <w:p w:rsidR="00E512DC" w:rsidRDefault="00E512DC"/>
    <w:sectPr w:rsidR="00E512DC" w:rsidSect="00E512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6E" w:rsidRDefault="002B466E" w:rsidP="00E512DC">
      <w:r>
        <w:separator/>
      </w:r>
    </w:p>
  </w:endnote>
  <w:endnote w:type="continuationSeparator" w:id="0">
    <w:p w:rsidR="002B466E" w:rsidRDefault="002B466E" w:rsidP="00E51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DC" w:rsidRDefault="00E512D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fit-shape-to-text:t" inset="0,0,0,0">
            <w:txbxContent>
              <w:p w:rsidR="00E512DC" w:rsidRDefault="00E512DC">
                <w:pPr>
                  <w:pStyle w:val="a5"/>
                </w:pPr>
                <w:r>
                  <w:fldChar w:fldCharType="begin"/>
                </w:r>
                <w:r w:rsidR="002B466E">
                  <w:instrText xml:space="preserve"> PAGE  \* MERGEFORMAT </w:instrText>
                </w:r>
                <w:r>
                  <w:fldChar w:fldCharType="separate"/>
                </w:r>
                <w:r w:rsidR="0026444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6E" w:rsidRDefault="002B466E" w:rsidP="00E512DC">
      <w:r>
        <w:separator/>
      </w:r>
    </w:p>
  </w:footnote>
  <w:footnote w:type="continuationSeparator" w:id="0">
    <w:p w:rsidR="002B466E" w:rsidRDefault="002B466E" w:rsidP="00E51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D32AD"/>
    <w:multiLevelType w:val="singleLevel"/>
    <w:tmpl w:val="FFFD32A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玲玲">
    <w15:presenceInfo w15:providerId="None" w15:userId="谢玲玲"/>
  </w15:person>
  <w15:person w15:author="何阁">
    <w15:presenceInfo w15:providerId="None" w15:userId="何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FiMWZkMDIxOTFhNzUzOTcwODE1YTFjN2YyMmE3MjUifQ=="/>
  </w:docVars>
  <w:rsids>
    <w:rsidRoot w:val="3542601D"/>
    <w:rsid w:val="D7FE8A80"/>
    <w:rsid w:val="EEFF9469"/>
    <w:rsid w:val="F61DD981"/>
    <w:rsid w:val="FAFF4031"/>
    <w:rsid w:val="FFDA831C"/>
    <w:rsid w:val="0026444C"/>
    <w:rsid w:val="002B466E"/>
    <w:rsid w:val="00E512DC"/>
    <w:rsid w:val="0B266665"/>
    <w:rsid w:val="0E2350DD"/>
    <w:rsid w:val="0E8D1223"/>
    <w:rsid w:val="17225409"/>
    <w:rsid w:val="17C214C3"/>
    <w:rsid w:val="19766A09"/>
    <w:rsid w:val="21780E44"/>
    <w:rsid w:val="21E14C3C"/>
    <w:rsid w:val="23AF14AC"/>
    <w:rsid w:val="28A54C15"/>
    <w:rsid w:val="2F8D6403"/>
    <w:rsid w:val="2FC5794B"/>
    <w:rsid w:val="33B0446E"/>
    <w:rsid w:val="33BD539D"/>
    <w:rsid w:val="3542601D"/>
    <w:rsid w:val="37A34A15"/>
    <w:rsid w:val="3DD1269D"/>
    <w:rsid w:val="44985F9B"/>
    <w:rsid w:val="451C5E07"/>
    <w:rsid w:val="53530C46"/>
    <w:rsid w:val="54D906AC"/>
    <w:rsid w:val="56E542AB"/>
    <w:rsid w:val="573C5E95"/>
    <w:rsid w:val="5EF7CE42"/>
    <w:rsid w:val="65F00576"/>
    <w:rsid w:val="68EB30F5"/>
    <w:rsid w:val="6DED9617"/>
    <w:rsid w:val="6DF758F9"/>
    <w:rsid w:val="704020FA"/>
    <w:rsid w:val="70754135"/>
    <w:rsid w:val="709661BE"/>
    <w:rsid w:val="76143E0D"/>
    <w:rsid w:val="7A6310AB"/>
    <w:rsid w:val="7C372793"/>
    <w:rsid w:val="7D4476CE"/>
    <w:rsid w:val="7D5EFC56"/>
    <w:rsid w:val="7FE5681A"/>
    <w:rsid w:val="7FEFFD45"/>
    <w:rsid w:val="7FF6E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E512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E512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E512DC"/>
    <w:pPr>
      <w:ind w:firstLineChars="200" w:firstLine="420"/>
    </w:pPr>
    <w:rPr>
      <w:sz w:val="32"/>
    </w:rPr>
  </w:style>
  <w:style w:type="paragraph" w:styleId="a4">
    <w:name w:val="annotation text"/>
    <w:basedOn w:val="a"/>
    <w:qFormat/>
    <w:rsid w:val="00E512DC"/>
    <w:pPr>
      <w:jc w:val="left"/>
    </w:pPr>
  </w:style>
  <w:style w:type="paragraph" w:styleId="a5">
    <w:name w:val="footer"/>
    <w:basedOn w:val="a"/>
    <w:uiPriority w:val="99"/>
    <w:qFormat/>
    <w:rsid w:val="00E512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512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E512D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alloon Text"/>
    <w:basedOn w:val="a"/>
    <w:link w:val="Char"/>
    <w:rsid w:val="0026444C"/>
    <w:rPr>
      <w:sz w:val="18"/>
      <w:szCs w:val="18"/>
    </w:rPr>
  </w:style>
  <w:style w:type="character" w:customStyle="1" w:styleId="Char">
    <w:name w:val="批注框文本 Char"/>
    <w:basedOn w:val="a0"/>
    <w:link w:val="a8"/>
    <w:rsid w:val="002644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是航航呀</dc:creator>
  <cp:lastModifiedBy>xbany</cp:lastModifiedBy>
  <cp:revision>2</cp:revision>
  <cp:lastPrinted>2024-10-13T11:49:00Z</cp:lastPrinted>
  <dcterms:created xsi:type="dcterms:W3CDTF">2024-12-17T01:08:00Z</dcterms:created>
  <dcterms:modified xsi:type="dcterms:W3CDTF">2024-12-17T01:08:00Z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17D0D49D64204D93A509EF3590F05769_11</vt:lpwstr>
  </property>
</Properties>
</file>