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古堰画乡文化旅游产业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人才扶持办法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ascii="楷体_GB2312" w:hAnsi="方正小标宋简体" w:eastAsia="楷体_GB2312" w:cs="方正小标宋简体"/>
          <w:sz w:val="28"/>
          <w:szCs w:val="28"/>
          <w:highlight w:val="none"/>
        </w:rPr>
      </w:pPr>
      <w:r>
        <w:rPr>
          <w:rFonts w:hint="eastAsia" w:ascii="楷体_GB2312" w:hAnsi="方正小标宋简体" w:eastAsia="楷体_GB2312" w:cs="方正小标宋简体"/>
          <w:sz w:val="28"/>
          <w:szCs w:val="28"/>
          <w:highlight w:val="none"/>
        </w:rPr>
        <w:t>（</w:t>
      </w:r>
      <w:r>
        <w:rPr>
          <w:rFonts w:hint="eastAsia" w:ascii="楷体_GB2312" w:hAnsi="方正小标宋简体" w:eastAsia="楷体_GB2312" w:cs="方正小标宋简体"/>
          <w:sz w:val="28"/>
          <w:szCs w:val="28"/>
          <w:highlight w:val="none"/>
          <w:lang w:eastAsia="zh-CN"/>
        </w:rPr>
        <w:t>征求意见稿</w:t>
      </w:r>
      <w:r>
        <w:rPr>
          <w:rFonts w:hint="eastAsia" w:ascii="楷体_GB2312" w:hAnsi="方正小标宋简体" w:eastAsia="楷体_GB2312" w:cs="方正小标宋简体"/>
          <w:sz w:val="28"/>
          <w:szCs w:val="28"/>
          <w:highlight w:val="none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为促进古堰画乡文化旅游产业高质量发展，引导和支持</w:t>
      </w:r>
      <w:r>
        <w:rPr>
          <w:rFonts w:hint="eastAsia" w:ascii="仿宋_GB2312" w:hAnsi="仿宋" w:eastAsia="仿宋_GB2312" w:cs="仿宋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落户在</w:t>
      </w:r>
      <w:r>
        <w:rPr>
          <w:rFonts w:hint="eastAsia" w:ascii="仿宋_GB2312" w:hAnsi="仿宋" w:eastAsia="仿宋_GB2312" w:cs="仿宋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古堰画乡创建国家旅游度假区区域范围的</w:t>
      </w:r>
      <w:r>
        <w:rPr>
          <w:rFonts w:hint="eastAsia" w:ascii="仿宋_GB2312" w:hAnsi="仿宋" w:eastAsia="仿宋_GB2312" w:cs="仿宋"/>
          <w:b w:val="0"/>
          <w:bCs w:val="0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人才、项目平台及企业，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吸引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和培育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推动文化旅游创新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繁荣地方经济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结合实际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本办法。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一、引进“画乡艺人”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第一条 驻留艺术家。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在全球范围内有影响力的文创、装置、网络直播、影像、手工艺、非遗技艺、绘画、表演、策展等方面的艺术家和具有发展潜力、竞争力的人才。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按照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预约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审核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制，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到艺术中心驻留，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全年驻留时间不低于2周，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补助时间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不超过3个月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驻留艺术家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提供生活和创作空间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给予国家级美协会员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或入选国家级人才库或获得国家级奖项的文艺人才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180元/人/天的艺术津贴和180元/人/天材料费，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其他艺术家100元/人/天的艺术津贴和100元/人/天材料费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给予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所有艺术家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当年首次不超过6000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元/人的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往返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交通补贴。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第二条 长青艺术家。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对在画廊或者与画廊相关业态中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全职工作的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职高及以上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人才，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首次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依法参加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社会保险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满6个月及以上，参照碧湖新城区域相关人才政策享受生活津贴和购房补贴。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第三条 画乡潮创客。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从事文化旅游产品培育及发展、文化旅游创意转化、文化内容生产、文化旅游策划服务等方面的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企业业主和个体工商户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知名度和影响力、创新成果、商业业绩和贡献度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等多项指标进行评选，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每年授予不超过10名“年度画乡潮创客”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称号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，给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每人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第四条 古堰新能人。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从事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酒店、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餐厅、民宿、画廊、文创店等经营场所工作的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厨师、民宿管家、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导游、策划、设计、茶艺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1年及以上的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业人员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根据工作业绩、个人贡献等多项指标进行评选，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每年授予不超过10名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“年度古堰新能人”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称号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，给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每人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Times New Roman" w:hAnsi="Times New Roman" w:eastAsia="黑体" w:cs="黑体"/>
          <w:bCs/>
          <w:color w:val="000000" w:themeColor="text1"/>
          <w:kern w:val="2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第五条 </w:t>
      </w:r>
      <w:r>
        <w:rPr>
          <w:rFonts w:hint="eastAsia" w:eastAsia="黑体" w:cs="黑体"/>
          <w:bCs/>
          <w:color w:val="000000" w:themeColor="text1"/>
          <w:kern w:val="2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培育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人才平台。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对将工作平台落地在古堰画乡的非物质文化遗产传承人、工艺美术大师或技能大师工作室领办人，按国家级、省级、市级可分别给予30万元、15万元、5万元的一次性平台奖励。</w:t>
      </w:r>
      <w:r>
        <w:rPr>
          <w:rFonts w:hint="eastAsia" w:eastAsia="黑体" w:cs="黑体"/>
          <w:bCs/>
          <w:color w:val="000000" w:themeColor="text1"/>
          <w:kern w:val="28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二、培育艺术产业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yellow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第六条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扶持画廊业态。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对落户在一号艺术区、画乡老街及艺术中心周边等艺术核心区的画廊或者与画廊相关业态，根据经营面积给予租金补助。经营面积在50平米及以下的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，给予1.5万元/年的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租金补助，面积每增加50平方，租金补贴增加0.5万元/年，单个项目补贴金额不超过3万元/年。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宋体"/>
          <w:color w:val="000000" w:themeColor="text1"/>
          <w:sz w:val="24"/>
          <w:szCs w:val="24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对在画乡老街范围内经营的画廊，额外给予2万元/年的租金补助；且给予50%的首次硬装补贴，最高不超过500元/平方，分两年兑现。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第七条 招引行画企业。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对直接从事行画生产、销售的企业，经审核并签订招引协议的新企业，给予租金、参展、销售额奖励等多项招引政策。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（1）给予行画企业经营场地5年租金补贴，前三年100%，第四-五年50%。对入驻企业中经营面积达1000平米及以上且销售额在500万及以上的，在租金补贴满五年后，继续享受此条政策；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（2）鼓励企业积极参加国内外各大展销会，对经审核认定的展会，每次给予50%的参展补贴，单次补贴最高不超过10万元；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（3）给予企业销售额奖励，对年销售额达到500万元及以上的企业，给予2%的销售奖励；对年销售额达到2000万元及以上的企业给予3%的销售奖励。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第八条 发展写生培训。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对年接待写生人员（含餐饮和住宿）1000 人次及以上的，给予 15 元/人/天的资金补助，累计不超过30万元。另全年累计接待培训人员达到 1万人次及以上的给予奖励 2 万元；3万人次及以上的给予奖励 5 万元；6 万人次及以上的给予奖励 10 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三、支持宣传推介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default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第九条 给予推介奖励。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对成功推荐初次来度假区经营</w:t>
      </w:r>
      <w:r>
        <w:rPr>
          <w:rFonts w:hint="eastAsia" w:ascii="仿宋_GB2312" w:hAnsi="仿宋" w:eastAsia="仿宋_GB2312" w:cs="宋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画廊或者与画廊相关业态的推荐个人或者企业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，给予0.5万元/家的奖励，多人推介招引同一家的，奖励给予最先推荐的个人或者企业。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第十条 支持活动开展。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鼓励古堰画乡文化旅游产业人才、企业积极开展相关活动，包括但不局限于文艺展览、音乐会、博览会/展销会、大型展演等，经审核认定后，对</w:t>
      </w:r>
      <w:r>
        <w:rPr>
          <w:rFonts w:hint="eastAsia" w:ascii="仿宋_GB2312" w:hAnsi="仿宋" w:eastAsia="仿宋_GB2312" w:cs="宋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主办或承办区级、市级、省级、国家级（包括国际交流）相关文化活动的，分别给予30%、40%、50%、60%的活动组织费补贴，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每场活动最高不超过50万元。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第十一条 鼓励推广宣传。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在线下和线上推广区域旅游品牌、打造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度假区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IP和网红打卡点、游客引流和提高区域知名度和吸引力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通过平台吸引粉丝和增加区域业态曝光度的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个人或企业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宣传原创作品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质量、数量、阅读量等多项指标进行评选，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评选不超过10个企业或者个人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，给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予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每人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或每家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0.5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万元资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金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奖励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四、全面配套服务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第十二条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结对服务。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由区副处及以上领导+ 暖心员+重点企业、重要人才的“1+1+1”结对模式，关注重点企业和重要人才，给予全覆盖关注、全方位服务。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第十三条</w:t>
      </w:r>
      <w:r>
        <w:rPr>
          <w:rFonts w:hint="eastAsia" w:ascii="仿宋_GB2312" w:hAnsi="仿宋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入学保障。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为引进人才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和行画企业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的子女提供入学保障，根据人才的需求和子女年龄，切实解决人才子女入学问题，对中国美术家协会会员、拥有艺术类正高职称、持有美术类博士学位人才子女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和重点企业，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根据实际需求，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安排城区公办学校就读。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第十四条 购房保障。</w:t>
      </w:r>
      <w:r>
        <w:rPr>
          <w:rFonts w:hint="eastAsia" w:ascii="仿宋_GB2312" w:hAnsi="仿宋" w:eastAsia="仿宋_GB2312" w:cs="仿宋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对办法涉及的人才，可参照碧湖新城区域相关人才政策，符合标准的，给予享受</w:t>
      </w:r>
      <w:r>
        <w:rPr>
          <w:rFonts w:hint="eastAsia" w:ascii="仿宋_GB2312" w:hAnsi="仿宋" w:eastAsia="仿宋_GB2312" w:cs="宋体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购房补贴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default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五、附则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1）凡出现下列情形之一的，取消所有扶持政策：散播影响度假区声誉的言论、引发群体性事件、极端事件，造成严重不良社会影响；销售不符合安全标准或法律所禁止的商品，构成违法犯罪；因安全管理不当引发安全生产事故；经查实出现虚报、谎报扶持条件，骗取扶持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（2）以上资金产生的税费由扶持主体自理。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同一对象同一事项涉及市本级及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莲都区本级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内多项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人才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奖励（补助）的，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或者已享受区级招商引资政策和一事一议招引政策的，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按照从高不重复原则执行。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left"/>
        <w:textAlignment w:val="auto"/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）本办法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日起执行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有效期两年，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由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丽水瓯江风情旅游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度假区</w:t>
      </w:r>
      <w:r>
        <w:rPr>
          <w:rFonts w:hint="default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管理中心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负责解释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原《古堰画乡业态扶持政策》（瓯管中心〔2021〕7 号）</w:t>
      </w:r>
      <w:r>
        <w:rPr>
          <w:rFonts w:hint="eastAsia" w:ascii="仿宋_GB2312" w:hAnsi="仿宋" w:eastAsia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同时废止，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本办法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出台前已入驻并享受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扶持</w:t>
      </w:r>
      <w:r>
        <w:rPr>
          <w:rFonts w:hint="eastAsia" w:ascii="仿宋_GB2312" w:hAnsi="仿宋" w:eastAsia="仿宋_GB2312" w:cs="仿宋"/>
          <w:b w:val="0"/>
          <w:bCs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政策的业态，按原协议约定执行。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00" w:lineRule="exact"/>
        <w:textAlignment w:val="auto"/>
        <w:rPr>
          <w:rFonts w:hint="eastAsia" w:eastAsia="宋体"/>
          <w:highlight w:val="none"/>
          <w:lang w:eastAsia="zh-CN"/>
        </w:rPr>
      </w:pPr>
    </w:p>
    <w:sectPr>
      <w:footerReference r:id="rId3" w:type="default"/>
      <w:pgSz w:w="11906" w:h="16838"/>
      <w:pgMar w:top="1383" w:right="1800" w:bottom="138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NDBhNThkZDBiMDhjODlmZWI1NmY3M2YxNjZlNGQifQ=="/>
  </w:docVars>
  <w:rsids>
    <w:rsidRoot w:val="00000000"/>
    <w:rsid w:val="02E211DF"/>
    <w:rsid w:val="032B2D4E"/>
    <w:rsid w:val="08B160EE"/>
    <w:rsid w:val="093A78C6"/>
    <w:rsid w:val="09D23393"/>
    <w:rsid w:val="0D4D747F"/>
    <w:rsid w:val="0E1D6317"/>
    <w:rsid w:val="0F4F550E"/>
    <w:rsid w:val="0F670FFA"/>
    <w:rsid w:val="112341C6"/>
    <w:rsid w:val="12364C5E"/>
    <w:rsid w:val="148164FB"/>
    <w:rsid w:val="153D7C46"/>
    <w:rsid w:val="17A56922"/>
    <w:rsid w:val="186A20C2"/>
    <w:rsid w:val="188B3AD0"/>
    <w:rsid w:val="18DD0690"/>
    <w:rsid w:val="1957624C"/>
    <w:rsid w:val="1AFD6C4E"/>
    <w:rsid w:val="228E78F6"/>
    <w:rsid w:val="232C1F8A"/>
    <w:rsid w:val="26905292"/>
    <w:rsid w:val="274E6945"/>
    <w:rsid w:val="27AA0255"/>
    <w:rsid w:val="286630DF"/>
    <w:rsid w:val="28A95B21"/>
    <w:rsid w:val="29073DF9"/>
    <w:rsid w:val="29F64A97"/>
    <w:rsid w:val="2A030F55"/>
    <w:rsid w:val="2AD10DCF"/>
    <w:rsid w:val="2DEA79EA"/>
    <w:rsid w:val="2F7B0506"/>
    <w:rsid w:val="30DB18ED"/>
    <w:rsid w:val="31F10481"/>
    <w:rsid w:val="32FE6823"/>
    <w:rsid w:val="336854EE"/>
    <w:rsid w:val="344C6D11"/>
    <w:rsid w:val="34E00537"/>
    <w:rsid w:val="3C1710C5"/>
    <w:rsid w:val="3FF9184C"/>
    <w:rsid w:val="41515E47"/>
    <w:rsid w:val="438A0583"/>
    <w:rsid w:val="44A556FF"/>
    <w:rsid w:val="44FF488E"/>
    <w:rsid w:val="46405528"/>
    <w:rsid w:val="469C37C0"/>
    <w:rsid w:val="484B011F"/>
    <w:rsid w:val="4BDB4810"/>
    <w:rsid w:val="4EFD0C55"/>
    <w:rsid w:val="50FC78AB"/>
    <w:rsid w:val="51925BD7"/>
    <w:rsid w:val="57122071"/>
    <w:rsid w:val="57DA729E"/>
    <w:rsid w:val="587D099B"/>
    <w:rsid w:val="5EE31948"/>
    <w:rsid w:val="617701F5"/>
    <w:rsid w:val="635C4E05"/>
    <w:rsid w:val="63902E5F"/>
    <w:rsid w:val="65E425DB"/>
    <w:rsid w:val="68DD4B61"/>
    <w:rsid w:val="6D5354EE"/>
    <w:rsid w:val="71686E90"/>
    <w:rsid w:val="72AE7F16"/>
    <w:rsid w:val="72CE1133"/>
    <w:rsid w:val="73A125C8"/>
    <w:rsid w:val="752A022B"/>
    <w:rsid w:val="774C19D6"/>
    <w:rsid w:val="79EF43B2"/>
    <w:rsid w:val="7C77295E"/>
    <w:rsid w:val="7D1F56AC"/>
    <w:rsid w:val="7E73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 w:eastAsia="宋体"/>
      <w:sz w:val="21"/>
    </w:rPr>
  </w:style>
  <w:style w:type="paragraph" w:styleId="3">
    <w:name w:val="Body Text"/>
    <w:basedOn w:val="1"/>
    <w:next w:val="4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eastAsia="en-US"/>
    </w:rPr>
  </w:style>
  <w:style w:type="paragraph" w:styleId="4">
    <w:name w:val="Body Text First Indent"/>
    <w:basedOn w:val="3"/>
    <w:next w:val="5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5">
    <w:name w:val="Body Text First Indent 2"/>
    <w:basedOn w:val="6"/>
    <w:unhideWhenUsed/>
    <w:qFormat/>
    <w:uiPriority w:val="99"/>
    <w:pPr>
      <w:ind w:firstLine="420" w:firstLine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2"/>
    <w:basedOn w:val="1"/>
    <w:next w:val="5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2020-07-09T02:23:00Z</dcterms:created>
  <dc:creator>Administrator</dc:creator>
  <cp:lastModifiedBy>曾玮箐</cp:lastModifiedBy>
  <cp:lastPrinted>2020-07-15T00:49:00Z</cp:lastPrinted>
  <dcterms:modified xsi:type="dcterms:W3CDTF">2023-12-21T01:51:59Z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41A78872F1F4453185A44FBB47603181_12</vt:lpwstr>
  </property>
</Properties>
</file>