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0C" w:rsidRDefault="0086327D">
      <w:pPr>
        <w:spacing w:line="560" w:lineRule="exact"/>
        <w:jc w:val="center"/>
        <w:rPr>
          <w:rFonts w:ascii="Times New Roman" w:eastAsia="方正小标宋_GBK" w:hAnsi="Times New Roman"/>
          <w:b/>
          <w:bCs/>
          <w:color w:val="000000" w:themeColor="text1"/>
          <w:sz w:val="36"/>
          <w:szCs w:val="36"/>
        </w:rPr>
      </w:pPr>
      <w:r>
        <w:rPr>
          <w:rFonts w:ascii="Times New Roman" w:eastAsia="方正小标宋_GBK" w:hAnsi="Times New Roman" w:hint="eastAsia"/>
          <w:b/>
          <w:bCs/>
          <w:color w:val="000000" w:themeColor="text1"/>
          <w:sz w:val="36"/>
          <w:szCs w:val="36"/>
        </w:rPr>
        <w:t>《杭州市上城区博物馆群落建设</w:t>
      </w:r>
      <w:r w:rsidR="00431B16">
        <w:rPr>
          <w:rFonts w:ascii="Times New Roman" w:eastAsia="方正小标宋_GBK" w:hAnsi="Times New Roman" w:hint="eastAsia"/>
          <w:b/>
          <w:bCs/>
          <w:color w:val="000000" w:themeColor="text1"/>
          <w:sz w:val="36"/>
          <w:szCs w:val="36"/>
        </w:rPr>
        <w:t>扶持办法》</w:t>
      </w:r>
    </w:p>
    <w:p w:rsidR="0018700C" w:rsidRDefault="00431B16">
      <w:pPr>
        <w:spacing w:line="560" w:lineRule="exact"/>
        <w:jc w:val="center"/>
        <w:rPr>
          <w:rFonts w:ascii="Times New Roman" w:eastAsia="方正小标宋_GBK" w:hAnsi="Times New Roman"/>
          <w:b/>
          <w:bCs/>
          <w:color w:val="000000" w:themeColor="text1"/>
          <w:sz w:val="36"/>
          <w:szCs w:val="36"/>
        </w:rPr>
      </w:pPr>
      <w:r>
        <w:rPr>
          <w:rFonts w:ascii="Times New Roman" w:eastAsia="方正小标宋_GBK" w:hAnsi="Times New Roman" w:hint="eastAsia"/>
          <w:b/>
          <w:bCs/>
          <w:color w:val="000000" w:themeColor="text1"/>
          <w:sz w:val="36"/>
          <w:szCs w:val="36"/>
        </w:rPr>
        <w:t>实施细则</w:t>
      </w:r>
    </w:p>
    <w:p w:rsidR="0018700C" w:rsidRDefault="006A1BCE" w:rsidP="006A1BCE">
      <w:pPr>
        <w:adjustRightInd w:val="0"/>
        <w:snapToGrid w:val="0"/>
        <w:spacing w:line="336" w:lineRule="auto"/>
        <w:jc w:val="center"/>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（征求意见稿）</w:t>
      </w:r>
    </w:p>
    <w:p w:rsidR="0018700C" w:rsidRDefault="00431B16">
      <w:pPr>
        <w:spacing w:line="560" w:lineRule="exact"/>
        <w:ind w:firstLine="640"/>
        <w:jc w:val="center"/>
        <w:rPr>
          <w:rFonts w:ascii="Times New Roman" w:eastAsia="黑体" w:hAnsi="Times New Roman"/>
          <w:b/>
          <w:bCs/>
          <w:color w:val="000000" w:themeColor="text1"/>
          <w:sz w:val="32"/>
          <w:szCs w:val="32"/>
        </w:rPr>
      </w:pPr>
      <w:r>
        <w:rPr>
          <w:rFonts w:ascii="Times New Roman" w:eastAsia="黑体" w:hAnsi="Times New Roman" w:hint="eastAsia"/>
          <w:b/>
          <w:bCs/>
          <w:color w:val="000000" w:themeColor="text1"/>
          <w:sz w:val="32"/>
          <w:szCs w:val="32"/>
        </w:rPr>
        <w:t>第一章</w:t>
      </w:r>
      <w:r>
        <w:rPr>
          <w:rFonts w:ascii="Times New Roman" w:eastAsia="黑体" w:hAnsi="Times New Roman" w:hint="eastAsia"/>
          <w:b/>
          <w:bCs/>
          <w:color w:val="000000" w:themeColor="text1"/>
          <w:sz w:val="32"/>
          <w:szCs w:val="32"/>
        </w:rPr>
        <w:t xml:space="preserve"> </w:t>
      </w:r>
      <w:r>
        <w:rPr>
          <w:rFonts w:ascii="Times New Roman" w:eastAsia="黑体" w:hAnsi="Times New Roman" w:hint="eastAsia"/>
          <w:b/>
          <w:bCs/>
          <w:color w:val="000000" w:themeColor="text1"/>
          <w:sz w:val="32"/>
          <w:szCs w:val="32"/>
        </w:rPr>
        <w:t>总则</w:t>
      </w:r>
    </w:p>
    <w:p w:rsidR="0018700C" w:rsidRDefault="00431B16">
      <w:pPr>
        <w:spacing w:line="560" w:lineRule="exact"/>
        <w:ind w:firstLineChars="212" w:firstLine="678"/>
        <w:rPr>
          <w:rFonts w:ascii="Times New Roman" w:eastAsia="仿宋_GB2312" w:hAnsi="Times New Roman" w:cs="宋体"/>
          <w:color w:val="000000" w:themeColor="text1"/>
          <w:sz w:val="32"/>
          <w:szCs w:val="32"/>
        </w:rPr>
      </w:pPr>
      <w:r>
        <w:rPr>
          <w:rFonts w:ascii="Times New Roman" w:eastAsia="仿宋_GB2312" w:hAnsi="Times New Roman" w:cs="宋体" w:hint="eastAsia"/>
          <w:bCs/>
          <w:color w:val="000000" w:themeColor="text1"/>
          <w:sz w:val="32"/>
          <w:szCs w:val="32"/>
        </w:rPr>
        <w:t>第一条</w:t>
      </w:r>
      <w:r>
        <w:rPr>
          <w:rFonts w:ascii="Times New Roman" w:eastAsia="仿宋_GB2312" w:hAnsi="Times New Roman" w:cs="宋体" w:hint="eastAsia"/>
          <w:color w:val="000000" w:themeColor="text1"/>
          <w:sz w:val="32"/>
          <w:szCs w:val="32"/>
        </w:rPr>
        <w:t xml:space="preserve">  </w:t>
      </w:r>
      <w:r>
        <w:rPr>
          <w:rFonts w:ascii="Times New Roman" w:eastAsia="仿宋_GB2312" w:hAnsi="Times New Roman" w:cs="宋体" w:hint="eastAsia"/>
          <w:color w:val="000000" w:themeColor="text1"/>
          <w:sz w:val="32"/>
          <w:szCs w:val="32"/>
        </w:rPr>
        <w:t>根据</w:t>
      </w:r>
      <w:r>
        <w:rPr>
          <w:rFonts w:ascii="Times New Roman" w:eastAsia="仿宋_GB2312" w:hAnsi="Times New Roman" w:cs="宋体" w:hint="eastAsia"/>
          <w:bCs/>
          <w:color w:val="000000" w:themeColor="text1"/>
          <w:sz w:val="32"/>
          <w:szCs w:val="32"/>
        </w:rPr>
        <w:t>《中华人民共和国文物保护法》《国家文物局关于进一步推动非国有博物馆发展的意见》《关于推进博物馆改革发展的指导意见》等有关法律、法规、规定，</w:t>
      </w:r>
      <w:r>
        <w:rPr>
          <w:rFonts w:ascii="Times New Roman" w:eastAsia="仿宋_GB2312" w:hAnsi="Times New Roman" w:cs="宋体" w:hint="eastAsia"/>
          <w:color w:val="000000" w:themeColor="text1"/>
          <w:sz w:val="32"/>
          <w:szCs w:val="32"/>
        </w:rPr>
        <w:t>推动《杭州市上城区博物馆群落建设扶持办法》顺利实施</w:t>
      </w:r>
      <w:r>
        <w:rPr>
          <w:rFonts w:ascii="Times New Roman" w:eastAsia="仿宋_GB2312" w:hAnsi="Times New Roman" w:cs="宋体"/>
          <w:color w:val="000000" w:themeColor="text1"/>
          <w:sz w:val="32"/>
          <w:szCs w:val="32"/>
        </w:rPr>
        <w:t>，</w:t>
      </w:r>
      <w:r>
        <w:rPr>
          <w:rFonts w:ascii="Times New Roman" w:eastAsia="仿宋_GB2312" w:hAnsi="Times New Roman" w:cs="宋体" w:hint="eastAsia"/>
          <w:bCs/>
          <w:color w:val="000000" w:themeColor="text1"/>
          <w:sz w:val="32"/>
          <w:szCs w:val="32"/>
        </w:rPr>
        <w:t>结合我区实际，制定本细则。</w:t>
      </w:r>
    </w:p>
    <w:p w:rsidR="0018700C" w:rsidRDefault="00431B16">
      <w:pPr>
        <w:spacing w:line="560" w:lineRule="exact"/>
        <w:ind w:firstLine="640"/>
        <w:rPr>
          <w:rFonts w:ascii="Times New Roman" w:eastAsia="仿宋_GB2312" w:hAnsi="Times New Roman" w:cs="宋体"/>
          <w:color w:val="000000" w:themeColor="text1"/>
          <w:sz w:val="32"/>
          <w:szCs w:val="32"/>
          <w:shd w:val="clear" w:color="auto" w:fill="FFFFFF"/>
        </w:rPr>
      </w:pPr>
      <w:r>
        <w:rPr>
          <w:rFonts w:ascii="Times New Roman" w:eastAsia="仿宋_GB2312" w:hAnsi="Times New Roman" w:cs="宋体" w:hint="eastAsia"/>
          <w:b/>
          <w:bCs/>
          <w:color w:val="000000" w:themeColor="text1"/>
          <w:sz w:val="32"/>
          <w:szCs w:val="32"/>
        </w:rPr>
        <w:t>第二条</w:t>
      </w:r>
      <w:r>
        <w:rPr>
          <w:rFonts w:ascii="Times New Roman" w:eastAsia="仿宋_GB2312" w:hAnsi="Times New Roman" w:cs="宋体" w:hint="eastAsia"/>
          <w:b/>
          <w:bCs/>
          <w:color w:val="000000" w:themeColor="text1"/>
          <w:sz w:val="32"/>
          <w:szCs w:val="32"/>
        </w:rPr>
        <w:t xml:space="preserve">  </w:t>
      </w:r>
      <w:r>
        <w:rPr>
          <w:rFonts w:ascii="Times New Roman" w:eastAsia="仿宋_GB2312" w:hAnsi="Times New Roman" w:cs="宋体" w:hint="eastAsia"/>
          <w:color w:val="000000" w:themeColor="text1"/>
          <w:sz w:val="32"/>
          <w:szCs w:val="32"/>
        </w:rPr>
        <w:t>坚持守正创新、质量优先、科学规范、讲求绩效、区域统筹、共建共享的原则。</w:t>
      </w:r>
    </w:p>
    <w:p w:rsidR="0018700C" w:rsidRDefault="00431B16">
      <w:pPr>
        <w:shd w:val="clear" w:color="auto" w:fill="FFFFFF"/>
        <w:spacing w:line="560" w:lineRule="exact"/>
        <w:ind w:right="-14" w:firstLine="643"/>
        <w:jc w:val="left"/>
        <w:rPr>
          <w:rFonts w:ascii="Times New Roman" w:eastAsia="仿宋_GB2312" w:hAnsi="Times New Roman" w:cs="宋体"/>
          <w:color w:val="000000" w:themeColor="text1"/>
          <w:sz w:val="32"/>
          <w:szCs w:val="32"/>
        </w:rPr>
      </w:pPr>
      <w:r>
        <w:rPr>
          <w:rFonts w:ascii="Times New Roman" w:eastAsia="仿宋_GB2312" w:hAnsi="Times New Roman" w:cs="宋体" w:hint="eastAsia"/>
          <w:b/>
          <w:bCs/>
          <w:color w:val="000000" w:themeColor="text1"/>
          <w:sz w:val="32"/>
          <w:szCs w:val="32"/>
        </w:rPr>
        <w:t>第三条</w:t>
      </w:r>
      <w:r>
        <w:rPr>
          <w:rFonts w:ascii="Times New Roman" w:eastAsia="仿宋_GB2312" w:hAnsi="Times New Roman" w:cs="宋体" w:hint="eastAsia"/>
          <w:color w:val="000000" w:themeColor="text1"/>
          <w:sz w:val="32"/>
          <w:szCs w:val="32"/>
        </w:rPr>
        <w:t xml:space="preserve">  </w:t>
      </w:r>
      <w:r>
        <w:rPr>
          <w:rFonts w:ascii="Times New Roman" w:eastAsia="仿宋_GB2312" w:hAnsi="Times New Roman" w:cs="宋体" w:hint="eastAsia"/>
          <w:color w:val="000000" w:themeColor="text1"/>
          <w:sz w:val="32"/>
          <w:szCs w:val="32"/>
          <w:shd w:val="clear" w:color="auto" w:fill="FFFFFF"/>
        </w:rPr>
        <w:t>设立博物馆群落建设扶持专项资金统筹纳入年度部门预算。</w:t>
      </w:r>
    </w:p>
    <w:p w:rsidR="0018700C" w:rsidRDefault="00431B16">
      <w:pPr>
        <w:shd w:val="clear" w:color="auto" w:fill="FFFFFF"/>
        <w:spacing w:line="560" w:lineRule="exact"/>
        <w:ind w:right="-14" w:firstLine="643"/>
        <w:jc w:val="center"/>
        <w:rPr>
          <w:rFonts w:ascii="Times New Roman" w:eastAsia="黑体" w:hAnsi="Times New Roman" w:cs="宋体"/>
          <w:b/>
          <w:color w:val="000000" w:themeColor="text1"/>
          <w:sz w:val="32"/>
          <w:szCs w:val="32"/>
        </w:rPr>
      </w:pPr>
      <w:r>
        <w:rPr>
          <w:rFonts w:ascii="Times New Roman" w:eastAsia="黑体" w:hAnsi="Times New Roman" w:cs="宋体" w:hint="eastAsia"/>
          <w:b/>
          <w:color w:val="000000" w:themeColor="text1"/>
          <w:sz w:val="32"/>
          <w:szCs w:val="32"/>
        </w:rPr>
        <w:t>第二章</w:t>
      </w:r>
      <w:r>
        <w:rPr>
          <w:rFonts w:ascii="Times New Roman" w:eastAsia="黑体" w:hAnsi="Times New Roman" w:cs="宋体" w:hint="eastAsia"/>
          <w:b/>
          <w:color w:val="000000" w:themeColor="text1"/>
          <w:sz w:val="32"/>
          <w:szCs w:val="32"/>
        </w:rPr>
        <w:t xml:space="preserve"> </w:t>
      </w:r>
      <w:r>
        <w:rPr>
          <w:rFonts w:ascii="Times New Roman" w:eastAsia="黑体" w:hAnsi="Times New Roman" w:cs="宋体" w:hint="eastAsia"/>
          <w:b/>
          <w:color w:val="000000" w:themeColor="text1"/>
          <w:sz w:val="32"/>
          <w:szCs w:val="32"/>
        </w:rPr>
        <w:t>场馆入驻项目</w:t>
      </w:r>
    </w:p>
    <w:p w:rsidR="0018700C" w:rsidRDefault="00431B16">
      <w:pPr>
        <w:shd w:val="clear" w:color="auto" w:fill="FFFFFF"/>
        <w:spacing w:line="560" w:lineRule="exact"/>
        <w:ind w:right="-14" w:firstLine="643"/>
        <w:jc w:val="left"/>
        <w:rPr>
          <w:rFonts w:ascii="Times New Roman" w:eastAsia="仿宋_GB2312" w:hAnsi="Times New Roman" w:cs="宋体"/>
          <w:color w:val="000000" w:themeColor="text1"/>
          <w:sz w:val="32"/>
          <w:szCs w:val="32"/>
        </w:rPr>
      </w:pPr>
      <w:r>
        <w:rPr>
          <w:rFonts w:ascii="Times New Roman" w:eastAsia="仿宋_GB2312" w:hAnsi="Times New Roman" w:cs="宋体" w:hint="eastAsia"/>
          <w:b/>
          <w:color w:val="000000" w:themeColor="text1"/>
          <w:sz w:val="32"/>
          <w:szCs w:val="32"/>
        </w:rPr>
        <w:t>第四条</w:t>
      </w:r>
      <w:r>
        <w:rPr>
          <w:rFonts w:ascii="Times New Roman" w:eastAsia="仿宋_GB2312" w:hAnsi="Times New Roman" w:cs="宋体" w:hint="eastAsia"/>
          <w:color w:val="000000" w:themeColor="text1"/>
          <w:sz w:val="32"/>
          <w:szCs w:val="32"/>
        </w:rPr>
        <w:t xml:space="preserve">  </w:t>
      </w:r>
      <w:r>
        <w:rPr>
          <w:rFonts w:ascii="Times New Roman" w:eastAsia="仿宋_GB2312" w:hAnsi="Times New Roman" w:cs="宋体" w:hint="eastAsia"/>
          <w:color w:val="000000" w:themeColor="text1"/>
          <w:sz w:val="32"/>
          <w:szCs w:val="32"/>
        </w:rPr>
        <w:t>鼓励组织机构健全，具备较高的展陈、研究和运营能力，拥有良好的社会知名度的非国有博物馆或特色型文博类机构申请入驻上城区博物馆群落。</w:t>
      </w:r>
    </w:p>
    <w:p w:rsidR="0018700C" w:rsidRDefault="00431B16">
      <w:pPr>
        <w:spacing w:line="560" w:lineRule="exact"/>
        <w:ind w:firstLine="640"/>
        <w:jc w:val="left"/>
        <w:rPr>
          <w:rFonts w:ascii="Times New Roman" w:eastAsia="仿宋_GB2312" w:hAnsi="Times New Roman" w:cs="宋体"/>
          <w:color w:val="000000" w:themeColor="text1"/>
          <w:sz w:val="32"/>
          <w:szCs w:val="32"/>
          <w:shd w:val="clear" w:color="auto" w:fill="FFFFFF"/>
        </w:rPr>
      </w:pPr>
      <w:r>
        <w:rPr>
          <w:rFonts w:ascii="Times New Roman" w:eastAsia="仿宋_GB2312" w:hAnsi="Times New Roman" w:cs="宋体" w:hint="eastAsia"/>
          <w:b/>
          <w:color w:val="000000" w:themeColor="text1"/>
          <w:sz w:val="32"/>
          <w:szCs w:val="32"/>
        </w:rPr>
        <w:t>第五条</w:t>
      </w:r>
      <w:r>
        <w:rPr>
          <w:rFonts w:ascii="Times New Roman" w:eastAsia="仿宋_GB2312" w:hAnsi="Times New Roman" w:cs="宋体" w:hint="eastAsia"/>
          <w:b/>
          <w:color w:val="000000" w:themeColor="text1"/>
          <w:sz w:val="32"/>
          <w:szCs w:val="32"/>
        </w:rPr>
        <w:t xml:space="preserve">  </w:t>
      </w:r>
      <w:r>
        <w:rPr>
          <w:rFonts w:ascii="Times New Roman" w:eastAsia="仿宋_GB2312" w:hAnsi="Times New Roman" w:cs="宋体" w:hint="eastAsia"/>
          <w:color w:val="000000" w:themeColor="text1"/>
          <w:sz w:val="32"/>
          <w:szCs w:val="32"/>
          <w:shd w:val="clear" w:color="auto" w:fill="FFFFFF"/>
        </w:rPr>
        <w:t>入驻项目申报和评定流程。</w:t>
      </w:r>
    </w:p>
    <w:p w:rsidR="0018700C" w:rsidRDefault="00431B16">
      <w:pPr>
        <w:spacing w:line="560" w:lineRule="exact"/>
        <w:ind w:firstLineChars="200" w:firstLine="643"/>
        <w:jc w:val="left"/>
        <w:rPr>
          <w:rFonts w:ascii="Times New Roman" w:eastAsia="仿宋_GB2312" w:hAnsi="Times New Roman" w:cs="宋体"/>
          <w:bCs/>
          <w:color w:val="000000" w:themeColor="text1"/>
          <w:sz w:val="32"/>
          <w:szCs w:val="32"/>
          <w:shd w:val="clear" w:color="auto" w:fill="FFFFFF"/>
        </w:rPr>
      </w:pPr>
      <w:r>
        <w:rPr>
          <w:rFonts w:ascii="Times New Roman" w:eastAsia="仿宋_GB2312" w:hAnsi="Times New Roman" w:cs="宋体" w:hint="eastAsia"/>
          <w:b/>
          <w:color w:val="000000" w:themeColor="text1"/>
          <w:sz w:val="32"/>
          <w:szCs w:val="32"/>
          <w:shd w:val="clear" w:color="auto" w:fill="FFFFFF"/>
        </w:rPr>
        <w:t>（一）</w:t>
      </w:r>
      <w:r>
        <w:rPr>
          <w:rFonts w:ascii="Times New Roman" w:eastAsia="仿宋_GB2312" w:hAnsi="Times New Roman" w:cs="宋体" w:hint="eastAsia"/>
          <w:b/>
          <w:color w:val="000000" w:themeColor="text1"/>
          <w:sz w:val="32"/>
          <w:szCs w:val="32"/>
          <w:shd w:val="clear" w:color="auto" w:fill="FFFFFF"/>
        </w:rPr>
        <w:t xml:space="preserve"> </w:t>
      </w:r>
      <w:r>
        <w:rPr>
          <w:rFonts w:ascii="Times New Roman" w:eastAsia="仿宋_GB2312" w:hAnsi="Times New Roman" w:cs="宋体" w:hint="eastAsia"/>
          <w:b/>
          <w:color w:val="000000" w:themeColor="text1"/>
          <w:sz w:val="32"/>
          <w:szCs w:val="32"/>
          <w:shd w:val="clear" w:color="auto" w:fill="FFFFFF"/>
        </w:rPr>
        <w:t>项目申报</w:t>
      </w:r>
      <w:r>
        <w:rPr>
          <w:rFonts w:ascii="Times New Roman" w:eastAsia="仿宋_GB2312" w:hAnsi="Times New Roman" w:cs="宋体" w:hint="eastAsia"/>
          <w:bCs/>
          <w:color w:val="000000" w:themeColor="text1"/>
          <w:sz w:val="32"/>
          <w:szCs w:val="32"/>
          <w:shd w:val="clear" w:color="auto" w:fill="FFFFFF"/>
        </w:rPr>
        <w:t>。</w:t>
      </w:r>
      <w:r>
        <w:rPr>
          <w:rFonts w:ascii="Times New Roman" w:eastAsia="仿宋_GB2312" w:hAnsi="Times New Roman" w:cs="宋体"/>
          <w:bCs/>
          <w:color w:val="000000" w:themeColor="text1"/>
          <w:sz w:val="32"/>
          <w:szCs w:val="32"/>
          <w:shd w:val="clear" w:color="auto" w:fill="FFFFFF"/>
        </w:rPr>
        <w:t>有意愿并符合有关</w:t>
      </w:r>
      <w:r>
        <w:rPr>
          <w:rFonts w:ascii="Times New Roman" w:eastAsia="仿宋_GB2312" w:hAnsi="Times New Roman" w:cs="宋体" w:hint="eastAsia"/>
          <w:bCs/>
          <w:color w:val="000000" w:themeColor="text1"/>
          <w:sz w:val="32"/>
          <w:szCs w:val="32"/>
          <w:shd w:val="clear" w:color="auto" w:fill="FFFFFF"/>
        </w:rPr>
        <w:t>条件的单位可</w:t>
      </w:r>
      <w:r>
        <w:rPr>
          <w:rFonts w:ascii="Times New Roman" w:eastAsia="仿宋_GB2312" w:hAnsi="Times New Roman" w:cs="宋体"/>
          <w:bCs/>
          <w:color w:val="000000" w:themeColor="text1"/>
          <w:sz w:val="32"/>
          <w:szCs w:val="32"/>
          <w:shd w:val="clear" w:color="auto" w:fill="FFFFFF"/>
        </w:rPr>
        <w:t>向区文广旅体局</w:t>
      </w:r>
      <w:r>
        <w:rPr>
          <w:rFonts w:ascii="Times New Roman" w:eastAsia="仿宋_GB2312" w:hAnsi="Times New Roman" w:cs="宋体" w:hint="eastAsia"/>
          <w:bCs/>
          <w:color w:val="000000" w:themeColor="text1"/>
          <w:sz w:val="32"/>
          <w:szCs w:val="32"/>
          <w:shd w:val="clear" w:color="auto" w:fill="FFFFFF"/>
        </w:rPr>
        <w:t>提出申请</w:t>
      </w:r>
      <w:r>
        <w:rPr>
          <w:rFonts w:ascii="Times New Roman" w:eastAsia="仿宋_GB2312" w:hAnsi="Times New Roman" w:cs="宋体"/>
          <w:bCs/>
          <w:color w:val="000000" w:themeColor="text1"/>
          <w:sz w:val="32"/>
          <w:szCs w:val="32"/>
          <w:shd w:val="clear" w:color="auto" w:fill="FFFFFF"/>
        </w:rPr>
        <w:t>，</w:t>
      </w:r>
      <w:r>
        <w:rPr>
          <w:rFonts w:ascii="Times New Roman" w:eastAsia="仿宋_GB2312" w:hAnsi="Times New Roman" w:cs="宋体" w:hint="eastAsia"/>
          <w:bCs/>
          <w:color w:val="000000" w:themeColor="text1"/>
          <w:sz w:val="32"/>
          <w:szCs w:val="32"/>
          <w:shd w:val="clear" w:color="auto" w:fill="FFFFFF"/>
        </w:rPr>
        <w:t>并提交相关资料和佐证材料。</w:t>
      </w:r>
    </w:p>
    <w:p w:rsidR="0018700C" w:rsidRDefault="00431B16">
      <w:pPr>
        <w:spacing w:line="560" w:lineRule="exact"/>
        <w:ind w:firstLine="640"/>
        <w:jc w:val="left"/>
        <w:rPr>
          <w:rFonts w:ascii="Times New Roman" w:eastAsia="仿宋_GB2312" w:hAnsi="Times New Roman" w:cs="宋体"/>
          <w:bCs/>
          <w:color w:val="000000" w:themeColor="text1"/>
          <w:sz w:val="32"/>
          <w:szCs w:val="32"/>
          <w:shd w:val="clear" w:color="auto" w:fill="FFFFFF"/>
        </w:rPr>
      </w:pPr>
      <w:r>
        <w:rPr>
          <w:rFonts w:ascii="Times New Roman" w:eastAsia="仿宋_GB2312" w:hAnsi="Times New Roman" w:cs="宋体" w:hint="eastAsia"/>
          <w:b/>
          <w:color w:val="000000" w:themeColor="text1"/>
          <w:sz w:val="32"/>
          <w:szCs w:val="32"/>
          <w:shd w:val="clear" w:color="auto" w:fill="FFFFFF"/>
        </w:rPr>
        <w:t>（二）</w:t>
      </w:r>
      <w:r>
        <w:rPr>
          <w:rFonts w:ascii="Times New Roman" w:eastAsia="仿宋_GB2312" w:hAnsi="Times New Roman" w:cs="宋体" w:hint="eastAsia"/>
          <w:b/>
          <w:color w:val="000000" w:themeColor="text1"/>
          <w:sz w:val="32"/>
          <w:szCs w:val="32"/>
          <w:shd w:val="clear" w:color="auto" w:fill="FFFFFF"/>
        </w:rPr>
        <w:t xml:space="preserve"> </w:t>
      </w:r>
      <w:r>
        <w:rPr>
          <w:rFonts w:ascii="Times New Roman" w:eastAsia="仿宋_GB2312" w:hAnsi="Times New Roman" w:cs="宋体" w:hint="eastAsia"/>
          <w:b/>
          <w:color w:val="000000" w:themeColor="text1"/>
          <w:sz w:val="32"/>
          <w:szCs w:val="32"/>
          <w:shd w:val="clear" w:color="auto" w:fill="FFFFFF"/>
        </w:rPr>
        <w:t>项目初审</w:t>
      </w:r>
      <w:r>
        <w:rPr>
          <w:rFonts w:ascii="Times New Roman" w:eastAsia="仿宋_GB2312" w:hAnsi="Times New Roman" w:cs="宋体" w:hint="eastAsia"/>
          <w:bCs/>
          <w:color w:val="000000" w:themeColor="text1"/>
          <w:sz w:val="32"/>
          <w:szCs w:val="32"/>
          <w:shd w:val="clear" w:color="auto" w:fill="FFFFFF"/>
        </w:rPr>
        <w:t>。区文广旅体局从申报资质、馆舍匹配度等方面对申报项目进行初审。</w:t>
      </w:r>
    </w:p>
    <w:p w:rsidR="0018700C" w:rsidRDefault="00431B16">
      <w:pPr>
        <w:spacing w:line="560" w:lineRule="exact"/>
        <w:ind w:firstLine="640"/>
        <w:jc w:val="left"/>
        <w:rPr>
          <w:rFonts w:ascii="Times New Roman" w:eastAsia="仿宋_GB2312" w:hAnsi="Times New Roman" w:cs="宋体"/>
          <w:color w:val="000000" w:themeColor="text1"/>
          <w:sz w:val="32"/>
          <w:szCs w:val="32"/>
          <w:shd w:val="clear" w:color="auto" w:fill="FFFFFF"/>
        </w:rPr>
      </w:pPr>
      <w:r w:rsidRPr="0086327D">
        <w:rPr>
          <w:rFonts w:ascii="Times New Roman" w:eastAsia="仿宋_GB2312" w:hAnsi="Times New Roman" w:cs="宋体" w:hint="eastAsia"/>
          <w:b/>
          <w:color w:val="000000" w:themeColor="text1"/>
          <w:sz w:val="32"/>
          <w:szCs w:val="32"/>
          <w:shd w:val="clear" w:color="auto" w:fill="FFFFFF"/>
        </w:rPr>
        <w:t>（三）</w:t>
      </w:r>
      <w:r>
        <w:rPr>
          <w:rFonts w:ascii="Times New Roman" w:eastAsia="仿宋_GB2312" w:hAnsi="Times New Roman" w:cs="宋体" w:hint="eastAsia"/>
          <w:b/>
          <w:bCs/>
          <w:color w:val="000000" w:themeColor="text1"/>
          <w:sz w:val="32"/>
          <w:szCs w:val="32"/>
          <w:shd w:val="clear" w:color="auto" w:fill="FFFFFF"/>
        </w:rPr>
        <w:t>确定场地</w:t>
      </w:r>
      <w:r>
        <w:rPr>
          <w:rFonts w:ascii="Times New Roman" w:eastAsia="仿宋_GB2312" w:hAnsi="Times New Roman" w:cs="宋体" w:hint="eastAsia"/>
          <w:color w:val="000000" w:themeColor="text1"/>
          <w:sz w:val="32"/>
          <w:szCs w:val="32"/>
          <w:shd w:val="clear" w:color="auto" w:fill="FFFFFF"/>
        </w:rPr>
        <w:t>。通过初审的项目，由</w:t>
      </w:r>
      <w:r>
        <w:rPr>
          <w:rFonts w:ascii="Times New Roman" w:eastAsia="仿宋_GB2312" w:hAnsi="Times New Roman" w:cs="宋体" w:hint="eastAsia"/>
          <w:bCs/>
          <w:color w:val="000000" w:themeColor="text1"/>
          <w:sz w:val="32"/>
          <w:szCs w:val="32"/>
          <w:shd w:val="clear" w:color="auto" w:fill="FFFFFF"/>
        </w:rPr>
        <w:t>区文广旅体局</w:t>
      </w:r>
      <w:r>
        <w:rPr>
          <w:rFonts w:ascii="Times New Roman" w:eastAsia="仿宋_GB2312" w:hAnsi="Times New Roman" w:cs="宋体" w:hint="eastAsia"/>
          <w:color w:val="000000" w:themeColor="text1"/>
          <w:sz w:val="32"/>
          <w:szCs w:val="32"/>
          <w:shd w:val="clear" w:color="auto" w:fill="FFFFFF"/>
        </w:rPr>
        <w:t>牵头</w:t>
      </w:r>
      <w:r>
        <w:rPr>
          <w:rFonts w:ascii="Times New Roman" w:eastAsia="仿宋_GB2312" w:hAnsi="Times New Roman" w:cs="宋体" w:hint="eastAsia"/>
          <w:bCs/>
          <w:color w:val="000000" w:themeColor="text1"/>
          <w:sz w:val="32"/>
          <w:szCs w:val="32"/>
          <w:shd w:val="clear" w:color="auto" w:fill="FFFFFF"/>
        </w:rPr>
        <w:t xml:space="preserve">, </w:t>
      </w:r>
      <w:r>
        <w:rPr>
          <w:rFonts w:ascii="Times New Roman" w:eastAsia="仿宋_GB2312" w:hAnsi="Times New Roman" w:cs="宋体" w:hint="eastAsia"/>
          <w:color w:val="000000" w:themeColor="text1"/>
          <w:sz w:val="32"/>
          <w:szCs w:val="32"/>
        </w:rPr>
        <w:t>区财政局（区国资办）</w:t>
      </w:r>
      <w:r>
        <w:rPr>
          <w:rFonts w:ascii="Times New Roman" w:eastAsia="仿宋_GB2312" w:hAnsi="Times New Roman" w:cs="宋体" w:hint="eastAsia"/>
          <w:color w:val="000000" w:themeColor="text1"/>
          <w:sz w:val="32"/>
          <w:szCs w:val="32"/>
          <w:shd w:val="clear" w:color="auto" w:fill="FFFFFF"/>
        </w:rPr>
        <w:t>做好配合支持，根据项目的实际</w:t>
      </w:r>
      <w:r>
        <w:rPr>
          <w:rFonts w:ascii="Times New Roman" w:eastAsia="仿宋_GB2312" w:hAnsi="Times New Roman" w:cs="宋体" w:hint="eastAsia"/>
          <w:color w:val="000000" w:themeColor="text1"/>
          <w:sz w:val="32"/>
          <w:szCs w:val="32"/>
          <w:shd w:val="clear" w:color="auto" w:fill="FFFFFF"/>
        </w:rPr>
        <w:lastRenderedPageBreak/>
        <w:t>情况提供馆舍资源并实行馆舍资源匹配，最终确定馆舍点位。</w:t>
      </w:r>
    </w:p>
    <w:p w:rsidR="0018700C" w:rsidRDefault="00431B16">
      <w:pPr>
        <w:spacing w:line="560" w:lineRule="exact"/>
        <w:ind w:firstLineChars="200" w:firstLine="643"/>
        <w:jc w:val="left"/>
        <w:rPr>
          <w:rFonts w:ascii="Times New Roman" w:eastAsia="仿宋_GB2312" w:hAnsi="Times New Roman" w:cs="宋体"/>
          <w:bCs/>
          <w:color w:val="000000" w:themeColor="text1"/>
          <w:sz w:val="32"/>
          <w:szCs w:val="32"/>
          <w:shd w:val="clear" w:color="auto" w:fill="FFFFFF"/>
        </w:rPr>
      </w:pPr>
      <w:r>
        <w:rPr>
          <w:rFonts w:ascii="Times New Roman" w:eastAsia="仿宋_GB2312" w:hAnsi="Times New Roman" w:cs="宋体" w:hint="eastAsia"/>
          <w:b/>
          <w:color w:val="000000" w:themeColor="text1"/>
          <w:sz w:val="32"/>
          <w:szCs w:val="32"/>
          <w:shd w:val="clear" w:color="auto" w:fill="FFFFFF"/>
        </w:rPr>
        <w:t>（四）专家评定</w:t>
      </w:r>
      <w:r>
        <w:rPr>
          <w:rFonts w:ascii="Times New Roman" w:eastAsia="仿宋_GB2312" w:hAnsi="Times New Roman" w:cs="宋体" w:hint="eastAsia"/>
          <w:bCs/>
          <w:color w:val="000000" w:themeColor="text1"/>
          <w:sz w:val="32"/>
          <w:szCs w:val="32"/>
          <w:shd w:val="clear" w:color="auto" w:fill="FFFFFF"/>
        </w:rPr>
        <w:t>。</w:t>
      </w:r>
      <w:r>
        <w:rPr>
          <w:rStyle w:val="15"/>
          <w:rFonts w:eastAsia="仿宋_GB2312" w:cs="宋体" w:hint="eastAsia"/>
          <w:b w:val="0"/>
          <w:color w:val="000000" w:themeColor="text1"/>
          <w:sz w:val="32"/>
          <w:szCs w:val="32"/>
        </w:rPr>
        <w:t>区</w:t>
      </w:r>
      <w:r>
        <w:rPr>
          <w:rFonts w:ascii="Times New Roman" w:eastAsia="仿宋_GB2312" w:hAnsi="Times New Roman" w:cs="宋体" w:hint="eastAsia"/>
          <w:color w:val="000000" w:themeColor="text1"/>
          <w:sz w:val="32"/>
          <w:szCs w:val="32"/>
        </w:rPr>
        <w:t>文广旅体局组建由文博、文旅融合等多方面专家组成的评审小组，对申请入驻项目进行综合评审，评审结果作为项目入驻的重要参考依据。</w:t>
      </w:r>
    </w:p>
    <w:p w:rsidR="0018700C" w:rsidRDefault="00431B16">
      <w:pPr>
        <w:spacing w:line="560" w:lineRule="exact"/>
        <w:ind w:firstLine="640"/>
        <w:jc w:val="left"/>
        <w:rPr>
          <w:rFonts w:ascii="Times New Roman" w:eastAsia="仿宋_GB2312" w:hAnsi="Times New Roman" w:cs="宋体"/>
          <w:color w:val="000000" w:themeColor="text1"/>
          <w:sz w:val="32"/>
          <w:szCs w:val="32"/>
        </w:rPr>
      </w:pPr>
      <w:r>
        <w:rPr>
          <w:rFonts w:ascii="Times New Roman" w:eastAsia="仿宋_GB2312" w:hAnsi="Times New Roman" w:cs="宋体" w:hint="eastAsia"/>
          <w:b/>
          <w:color w:val="000000" w:themeColor="text1"/>
          <w:sz w:val="32"/>
          <w:szCs w:val="32"/>
          <w:shd w:val="clear" w:color="auto" w:fill="FFFFFF"/>
        </w:rPr>
        <w:t>（五）部门联审</w:t>
      </w:r>
      <w:r>
        <w:rPr>
          <w:rFonts w:ascii="Times New Roman" w:eastAsia="仿宋_GB2312" w:hAnsi="Times New Roman" w:cs="宋体" w:hint="eastAsia"/>
          <w:bCs/>
          <w:color w:val="000000" w:themeColor="text1"/>
          <w:sz w:val="32"/>
          <w:szCs w:val="32"/>
          <w:shd w:val="clear" w:color="auto" w:fill="FFFFFF"/>
        </w:rPr>
        <w:t>。区政府</w:t>
      </w:r>
      <w:r>
        <w:rPr>
          <w:rFonts w:ascii="Times New Roman" w:eastAsia="仿宋_GB2312" w:hAnsi="Times New Roman" w:cs="宋体" w:hint="eastAsia"/>
          <w:color w:val="000000" w:themeColor="text1"/>
          <w:sz w:val="32"/>
          <w:szCs w:val="32"/>
        </w:rPr>
        <w:t>召开由区财政局（区国资办）、区文广旅体局</w:t>
      </w:r>
      <w:r>
        <w:rPr>
          <w:rFonts w:ascii="Times New Roman" w:eastAsia="仿宋_GB2312" w:hAnsi="Times New Roman" w:cs="宋体"/>
          <w:color w:val="000000" w:themeColor="text1"/>
          <w:sz w:val="32"/>
          <w:szCs w:val="32"/>
        </w:rPr>
        <w:t>和</w:t>
      </w:r>
      <w:r>
        <w:rPr>
          <w:rFonts w:ascii="Times New Roman" w:eastAsia="仿宋_GB2312" w:hAnsi="Times New Roman" w:cs="宋体" w:hint="eastAsia"/>
          <w:color w:val="000000" w:themeColor="text1"/>
          <w:sz w:val="32"/>
          <w:szCs w:val="32"/>
        </w:rPr>
        <w:t>相关部门</w:t>
      </w:r>
      <w:r>
        <w:rPr>
          <w:rFonts w:ascii="Times New Roman" w:eastAsia="仿宋_GB2312" w:hAnsi="Times New Roman" w:cs="宋体"/>
          <w:color w:val="000000" w:themeColor="text1"/>
          <w:sz w:val="32"/>
          <w:szCs w:val="32"/>
        </w:rPr>
        <w:t>、</w:t>
      </w:r>
      <w:r>
        <w:rPr>
          <w:rFonts w:ascii="Times New Roman" w:eastAsia="仿宋_GB2312" w:hAnsi="Times New Roman" w:cs="宋体" w:hint="eastAsia"/>
          <w:color w:val="000000" w:themeColor="text1"/>
          <w:sz w:val="32"/>
          <w:szCs w:val="32"/>
        </w:rPr>
        <w:t>属地街道参与的部门联审会，</w:t>
      </w:r>
      <w:r w:rsidR="00F656FF">
        <w:rPr>
          <w:rFonts w:ascii="Times New Roman" w:eastAsia="仿宋_GB2312" w:hAnsi="Times New Roman" w:cs="宋体"/>
          <w:color w:val="000000" w:themeColor="text1"/>
          <w:sz w:val="32"/>
          <w:szCs w:val="32"/>
        </w:rPr>
        <w:t>对申报项目提出审定意见，并形成区政府专题会议纪要。会议</w:t>
      </w:r>
      <w:r>
        <w:rPr>
          <w:rFonts w:ascii="Times New Roman" w:eastAsia="仿宋_GB2312" w:hAnsi="Times New Roman" w:cs="宋体" w:hint="eastAsia"/>
          <w:color w:val="000000" w:themeColor="text1"/>
          <w:sz w:val="32"/>
          <w:szCs w:val="32"/>
        </w:rPr>
        <w:t>邀请区纪委（区监委）、区审计局参加。</w:t>
      </w:r>
    </w:p>
    <w:p w:rsidR="0018700C" w:rsidRDefault="00431B16">
      <w:pPr>
        <w:spacing w:line="560" w:lineRule="exact"/>
        <w:ind w:firstLine="640"/>
        <w:jc w:val="left"/>
        <w:rPr>
          <w:rFonts w:ascii="Times New Roman" w:eastAsia="仿宋_GB2312" w:hAnsi="Times New Roman" w:cs="宋体"/>
          <w:b/>
          <w:bCs/>
          <w:color w:val="000000" w:themeColor="text1"/>
          <w:sz w:val="32"/>
          <w:szCs w:val="32"/>
        </w:rPr>
      </w:pPr>
      <w:r>
        <w:rPr>
          <w:rFonts w:ascii="Times New Roman" w:eastAsia="仿宋_GB2312" w:hAnsi="Times New Roman" w:cs="宋体" w:hint="eastAsia"/>
          <w:b/>
          <w:bCs/>
          <w:color w:val="000000" w:themeColor="text1"/>
          <w:sz w:val="32"/>
          <w:szCs w:val="32"/>
        </w:rPr>
        <w:t>（六）签订协议</w:t>
      </w:r>
      <w:r>
        <w:rPr>
          <w:rFonts w:ascii="Times New Roman" w:eastAsia="仿宋_GB2312" w:hAnsi="Times New Roman" w:cs="宋体" w:hint="eastAsia"/>
          <w:color w:val="000000" w:themeColor="text1"/>
          <w:sz w:val="32"/>
          <w:szCs w:val="32"/>
        </w:rPr>
        <w:t>。申报项目通过评审后，按照相关法规，由区文广旅体局与入驻单位签订入驻协议。</w:t>
      </w:r>
    </w:p>
    <w:p w:rsidR="0018700C" w:rsidRDefault="00431B16">
      <w:pPr>
        <w:spacing w:line="560" w:lineRule="exact"/>
        <w:ind w:firstLineChars="200" w:firstLine="643"/>
        <w:rPr>
          <w:rFonts w:ascii="Times New Roman" w:eastAsia="仿宋_GB2312" w:hAnsi="Times New Roman" w:cs="宋体"/>
          <w:b/>
          <w:bCs/>
          <w:color w:val="000000" w:themeColor="text1"/>
          <w:sz w:val="32"/>
          <w:szCs w:val="32"/>
        </w:rPr>
      </w:pPr>
      <w:r>
        <w:rPr>
          <w:rFonts w:ascii="Times New Roman" w:eastAsia="仿宋_GB2312" w:hAnsi="Times New Roman" w:cs="宋体" w:hint="eastAsia"/>
          <w:b/>
          <w:color w:val="000000" w:themeColor="text1"/>
          <w:sz w:val="32"/>
          <w:szCs w:val="32"/>
        </w:rPr>
        <w:t>第六条</w:t>
      </w:r>
      <w:r>
        <w:rPr>
          <w:rFonts w:ascii="Times New Roman" w:eastAsia="仿宋_GB2312" w:hAnsi="Times New Roman" w:cs="宋体" w:hint="eastAsia"/>
          <w:b/>
          <w:color w:val="000000" w:themeColor="text1"/>
          <w:sz w:val="32"/>
          <w:szCs w:val="32"/>
        </w:rPr>
        <w:t xml:space="preserve">  </w:t>
      </w:r>
      <w:r>
        <w:rPr>
          <w:rFonts w:ascii="Times New Roman" w:eastAsia="仿宋_GB2312" w:hAnsi="Times New Roman" w:cs="宋体" w:hint="eastAsia"/>
          <w:color w:val="000000" w:themeColor="text1"/>
          <w:sz w:val="32"/>
          <w:szCs w:val="32"/>
          <w:shd w:val="clear" w:color="auto" w:fill="FFFFFF"/>
        </w:rPr>
        <w:t>经评审认定的入驻</w:t>
      </w:r>
      <w:r>
        <w:rPr>
          <w:rFonts w:ascii="Times New Roman" w:eastAsia="仿宋_GB2312" w:hAnsi="Times New Roman" w:cs="宋体" w:hint="eastAsia"/>
          <w:color w:val="000000" w:themeColor="text1"/>
          <w:sz w:val="32"/>
          <w:szCs w:val="32"/>
        </w:rPr>
        <w:t>场馆使用的房产为区属国有房产，依据区政府专题会议纪要，区文广旅体局与产权单位签订房产租赁合同，并</w:t>
      </w:r>
      <w:bookmarkStart w:id="0" w:name="_GoBack"/>
      <w:bookmarkEnd w:id="0"/>
      <w:r>
        <w:rPr>
          <w:rFonts w:ascii="Times New Roman" w:eastAsia="仿宋_GB2312" w:hAnsi="Times New Roman" w:cs="宋体" w:hint="eastAsia"/>
          <w:color w:val="000000" w:themeColor="text1"/>
          <w:sz w:val="32"/>
          <w:szCs w:val="32"/>
        </w:rPr>
        <w:t>支付</w:t>
      </w:r>
      <w:r w:rsidR="00F656FF">
        <w:rPr>
          <w:rFonts w:ascii="Times New Roman" w:eastAsia="仿宋_GB2312" w:hAnsi="Times New Roman" w:cs="宋体" w:hint="eastAsia"/>
          <w:color w:val="000000" w:themeColor="text1"/>
          <w:sz w:val="32"/>
          <w:szCs w:val="32"/>
        </w:rPr>
        <w:t>相应房屋管理成本费用。由区文广旅体局再与入驻单位签订入驻协议，</w:t>
      </w:r>
      <w:r>
        <w:rPr>
          <w:rFonts w:ascii="Times New Roman" w:eastAsia="仿宋_GB2312" w:hAnsi="Times New Roman" w:cs="宋体" w:hint="eastAsia"/>
          <w:color w:val="000000" w:themeColor="text1"/>
          <w:sz w:val="32"/>
          <w:szCs w:val="32"/>
        </w:rPr>
        <w:t>给予免费使用场馆，期限五年，场馆物业及水电等日常费用由入驻单位自行承担。</w:t>
      </w:r>
      <w:r>
        <w:rPr>
          <w:rFonts w:ascii="Times New Roman" w:eastAsia="仿宋_GB2312" w:hAnsi="Times New Roman" w:cs="宋体" w:hint="eastAsia"/>
          <w:color w:val="000000" w:themeColor="text1"/>
          <w:sz w:val="32"/>
          <w:szCs w:val="32"/>
        </w:rPr>
        <w:t xml:space="preserve">    </w:t>
      </w:r>
    </w:p>
    <w:p w:rsidR="0018700C" w:rsidRDefault="00431B16">
      <w:pPr>
        <w:spacing w:line="560" w:lineRule="exact"/>
        <w:ind w:firstLine="640"/>
        <w:jc w:val="left"/>
        <w:rPr>
          <w:rFonts w:ascii="Times New Roman" w:eastAsia="仿宋_GB2312" w:hAnsi="Times New Roman" w:cs="宋体"/>
          <w:b/>
          <w:bCs/>
          <w:color w:val="000000" w:themeColor="text1"/>
          <w:sz w:val="32"/>
          <w:szCs w:val="32"/>
        </w:rPr>
      </w:pPr>
      <w:r>
        <w:rPr>
          <w:rStyle w:val="15"/>
          <w:rFonts w:eastAsia="仿宋_GB2312" w:cs="宋体" w:hint="eastAsia"/>
          <w:color w:val="000000" w:themeColor="text1"/>
          <w:sz w:val="32"/>
          <w:szCs w:val="32"/>
        </w:rPr>
        <w:t>第七条</w:t>
      </w:r>
      <w:r>
        <w:rPr>
          <w:rFonts w:ascii="Times New Roman" w:eastAsia="仿宋_GB2312" w:hAnsi="Times New Roman" w:cs="宋体" w:hint="eastAsia"/>
          <w:color w:val="000000" w:themeColor="text1"/>
          <w:sz w:val="32"/>
          <w:szCs w:val="32"/>
          <w:shd w:val="clear" w:color="auto" w:fill="FFFFFF"/>
        </w:rPr>
        <w:t xml:space="preserve"> </w:t>
      </w:r>
      <w:r>
        <w:rPr>
          <w:rFonts w:ascii="Times New Roman" w:eastAsia="仿宋_GB2312" w:hAnsi="Times New Roman" w:cs="宋体" w:hint="eastAsia"/>
          <w:color w:val="000000" w:themeColor="text1"/>
          <w:sz w:val="32"/>
          <w:szCs w:val="32"/>
          <w:shd w:val="clear" w:color="auto" w:fill="FFFFFF"/>
        </w:rPr>
        <w:t>经评审认定的入驻</w:t>
      </w:r>
      <w:r>
        <w:rPr>
          <w:rFonts w:ascii="Times New Roman" w:eastAsia="仿宋_GB2312" w:hAnsi="Times New Roman" w:cs="宋体" w:hint="eastAsia"/>
          <w:color w:val="000000" w:themeColor="text1"/>
          <w:sz w:val="32"/>
          <w:szCs w:val="32"/>
        </w:rPr>
        <w:t>场馆使用的房产为非区属国有房产，按展馆面积给予</w:t>
      </w:r>
      <w:r>
        <w:rPr>
          <w:rFonts w:ascii="Times New Roman" w:eastAsia="仿宋_GB2312" w:hAnsi="Times New Roman" w:cs="宋体" w:hint="eastAsia"/>
          <w:color w:val="000000" w:themeColor="text1"/>
          <w:sz w:val="32"/>
          <w:szCs w:val="32"/>
        </w:rPr>
        <w:t>100</w:t>
      </w:r>
      <w:r>
        <w:rPr>
          <w:rFonts w:ascii="Times New Roman" w:eastAsia="仿宋_GB2312" w:hAnsi="Times New Roman" w:cs="宋体" w:hint="eastAsia"/>
          <w:color w:val="000000" w:themeColor="text1"/>
          <w:sz w:val="32"/>
          <w:szCs w:val="32"/>
        </w:rPr>
        <w:t>元</w:t>
      </w:r>
      <w:r>
        <w:rPr>
          <w:rFonts w:ascii="Times New Roman" w:eastAsia="仿宋_GB2312" w:hAnsi="Times New Roman" w:cs="宋体" w:hint="eastAsia"/>
          <w:color w:val="000000" w:themeColor="text1"/>
          <w:sz w:val="32"/>
          <w:szCs w:val="32"/>
        </w:rPr>
        <w:t>/</w:t>
      </w:r>
      <w:r>
        <w:rPr>
          <w:rFonts w:ascii="Times New Roman" w:eastAsia="仿宋_GB2312" w:hAnsi="Times New Roman" w:cs="宋体" w:hint="eastAsia"/>
          <w:color w:val="000000" w:themeColor="text1"/>
          <w:sz w:val="32"/>
          <w:szCs w:val="32"/>
        </w:rPr>
        <w:t>平方米补助，每家最高不超过</w:t>
      </w:r>
      <w:r>
        <w:rPr>
          <w:rFonts w:ascii="Times New Roman" w:eastAsia="仿宋_GB2312" w:hAnsi="Times New Roman" w:cs="宋体" w:hint="eastAsia"/>
          <w:color w:val="000000" w:themeColor="text1"/>
          <w:sz w:val="32"/>
          <w:szCs w:val="32"/>
        </w:rPr>
        <w:t>20</w:t>
      </w:r>
      <w:r>
        <w:rPr>
          <w:rFonts w:ascii="Times New Roman" w:eastAsia="仿宋_GB2312" w:hAnsi="Times New Roman" w:cs="宋体" w:hint="eastAsia"/>
          <w:color w:val="000000" w:themeColor="text1"/>
          <w:sz w:val="32"/>
          <w:szCs w:val="32"/>
        </w:rPr>
        <w:t>万元，经区文广旅体局认定，分五年分批支付。</w:t>
      </w:r>
    </w:p>
    <w:p w:rsidR="0018700C" w:rsidRDefault="00431B16">
      <w:pPr>
        <w:spacing w:line="560" w:lineRule="exact"/>
        <w:ind w:firstLine="640"/>
        <w:jc w:val="left"/>
        <w:rPr>
          <w:rFonts w:ascii="Times New Roman" w:eastAsia="仿宋_GB2312" w:hAnsi="Times New Roman" w:cs="宋体"/>
          <w:b/>
          <w:bCs/>
          <w:color w:val="000000" w:themeColor="text1"/>
          <w:sz w:val="32"/>
          <w:szCs w:val="32"/>
        </w:rPr>
      </w:pPr>
      <w:r>
        <w:rPr>
          <w:rFonts w:ascii="Times New Roman" w:eastAsia="仿宋_GB2312" w:hAnsi="Times New Roman" w:cs="宋体" w:hint="eastAsia"/>
          <w:b/>
          <w:color w:val="000000" w:themeColor="text1"/>
          <w:sz w:val="32"/>
          <w:szCs w:val="32"/>
        </w:rPr>
        <w:t>第八条</w:t>
      </w:r>
      <w:r>
        <w:rPr>
          <w:rStyle w:val="15"/>
          <w:rFonts w:eastAsia="仿宋_GB2312" w:cs="宋体" w:hint="eastAsia"/>
          <w:color w:val="000000" w:themeColor="text1"/>
          <w:sz w:val="32"/>
          <w:szCs w:val="32"/>
        </w:rPr>
        <w:t xml:space="preserve">  </w:t>
      </w:r>
      <w:r>
        <w:rPr>
          <w:rStyle w:val="15"/>
          <w:rFonts w:eastAsia="仿宋_GB2312" w:cs="宋体"/>
          <w:b w:val="0"/>
          <w:color w:val="000000" w:themeColor="text1"/>
          <w:sz w:val="32"/>
          <w:szCs w:val="32"/>
        </w:rPr>
        <w:t>入驻场馆享受政</w:t>
      </w:r>
      <w:r>
        <w:rPr>
          <w:rFonts w:ascii="Times New Roman" w:eastAsia="仿宋_GB2312" w:hAnsi="Times New Roman" w:cs="宋体" w:hint="eastAsia"/>
          <w:bCs/>
          <w:color w:val="000000" w:themeColor="text1"/>
          <w:sz w:val="32"/>
          <w:szCs w:val="32"/>
        </w:rPr>
        <w:t>策到期前一年，</w:t>
      </w:r>
      <w:r>
        <w:rPr>
          <w:rFonts w:ascii="Times New Roman" w:eastAsia="仿宋_GB2312" w:hAnsi="Times New Roman" w:cs="宋体"/>
          <w:bCs/>
          <w:color w:val="000000" w:themeColor="text1"/>
          <w:sz w:val="32"/>
          <w:szCs w:val="32"/>
        </w:rPr>
        <w:t>可向区文广旅体局提出延续申请。区文广旅体局按照本细则第五条规定流程，决定政策是否</w:t>
      </w:r>
      <w:r>
        <w:rPr>
          <w:rFonts w:ascii="Times New Roman" w:eastAsia="仿宋_GB2312" w:hAnsi="Times New Roman" w:cs="宋体" w:hint="eastAsia"/>
          <w:bCs/>
          <w:color w:val="000000" w:themeColor="text1"/>
          <w:sz w:val="32"/>
          <w:szCs w:val="32"/>
        </w:rPr>
        <w:t>延续、调整或终止。</w:t>
      </w:r>
    </w:p>
    <w:p w:rsidR="0018700C" w:rsidRDefault="00431B16">
      <w:pPr>
        <w:spacing w:line="560" w:lineRule="exact"/>
        <w:ind w:firstLineChars="300" w:firstLine="964"/>
        <w:jc w:val="center"/>
        <w:rPr>
          <w:rFonts w:ascii="Times New Roman" w:eastAsia="黑体" w:hAnsi="Times New Roman" w:cs="宋体"/>
          <w:b/>
          <w:color w:val="000000" w:themeColor="text1"/>
          <w:sz w:val="32"/>
          <w:szCs w:val="32"/>
        </w:rPr>
      </w:pPr>
      <w:r>
        <w:rPr>
          <w:rFonts w:ascii="Times New Roman" w:eastAsia="黑体" w:hAnsi="Times New Roman" w:cs="宋体" w:hint="eastAsia"/>
          <w:b/>
          <w:color w:val="000000" w:themeColor="text1"/>
          <w:sz w:val="32"/>
          <w:szCs w:val="32"/>
        </w:rPr>
        <w:t>第三章</w:t>
      </w:r>
      <w:r>
        <w:rPr>
          <w:rFonts w:ascii="Times New Roman" w:eastAsia="黑体" w:hAnsi="Times New Roman" w:cs="宋体" w:hint="eastAsia"/>
          <w:b/>
          <w:color w:val="000000" w:themeColor="text1"/>
          <w:sz w:val="32"/>
          <w:szCs w:val="32"/>
        </w:rPr>
        <w:t xml:space="preserve">  </w:t>
      </w:r>
      <w:r>
        <w:rPr>
          <w:rFonts w:ascii="Times New Roman" w:eastAsia="黑体" w:hAnsi="Times New Roman" w:cs="宋体" w:hint="eastAsia"/>
          <w:b/>
          <w:color w:val="000000" w:themeColor="text1"/>
          <w:sz w:val="32"/>
          <w:szCs w:val="32"/>
        </w:rPr>
        <w:t>星级评定项目</w:t>
      </w:r>
    </w:p>
    <w:p w:rsidR="0018700C" w:rsidRDefault="00431B16">
      <w:pPr>
        <w:spacing w:line="560" w:lineRule="exact"/>
        <w:jc w:val="center"/>
        <w:rPr>
          <w:rFonts w:ascii="Times New Roman" w:eastAsia="仿宋_GB2312" w:hAnsi="Times New Roman" w:cs="宋体"/>
          <w:color w:val="000000" w:themeColor="text1"/>
          <w:sz w:val="32"/>
          <w:szCs w:val="32"/>
        </w:rPr>
      </w:pPr>
      <w:r>
        <w:rPr>
          <w:rFonts w:ascii="Times New Roman" w:eastAsia="黑体" w:hAnsi="Times New Roman" w:cs="宋体" w:hint="eastAsia"/>
          <w:b/>
          <w:color w:val="000000" w:themeColor="text1"/>
          <w:sz w:val="32"/>
          <w:szCs w:val="32"/>
        </w:rPr>
        <w:t xml:space="preserve">    </w:t>
      </w:r>
      <w:r>
        <w:rPr>
          <w:rFonts w:ascii="Times New Roman" w:eastAsia="仿宋_GB2312" w:hAnsi="Times New Roman" w:cs="宋体" w:hint="eastAsia"/>
          <w:b/>
          <w:color w:val="000000" w:themeColor="text1"/>
          <w:sz w:val="32"/>
          <w:szCs w:val="32"/>
          <w:shd w:val="clear" w:color="auto" w:fill="FFFFFF"/>
        </w:rPr>
        <w:t>第九条</w:t>
      </w:r>
      <w:r>
        <w:rPr>
          <w:rFonts w:ascii="Times New Roman" w:eastAsia="仿宋_GB2312" w:hAnsi="Times New Roman" w:cs="宋体" w:hint="eastAsia"/>
          <w:color w:val="000000" w:themeColor="text1"/>
          <w:sz w:val="32"/>
          <w:szCs w:val="32"/>
        </w:rPr>
        <w:t xml:space="preserve"> </w:t>
      </w:r>
      <w:r>
        <w:rPr>
          <w:rFonts w:ascii="Times New Roman" w:eastAsia="仿宋_GB2312" w:hAnsi="Times New Roman" w:cs="宋体" w:hint="eastAsia"/>
          <w:color w:val="000000" w:themeColor="text1"/>
          <w:sz w:val="32"/>
          <w:szCs w:val="32"/>
        </w:rPr>
        <w:t>鼓励区域内博物馆、特色型文博类机构积极加入博物馆群落。正常开放满一年以上（含一年），年度开放</w:t>
      </w:r>
    </w:p>
    <w:p w:rsidR="0018700C" w:rsidRDefault="00431B16">
      <w:pPr>
        <w:spacing w:line="560" w:lineRule="exact"/>
        <w:jc w:val="left"/>
        <w:rPr>
          <w:rFonts w:ascii="Times New Roman" w:eastAsia="仿宋_GB2312" w:hAnsi="Times New Roman" w:cs="宋体"/>
          <w:color w:val="000000" w:themeColor="text1"/>
          <w:sz w:val="32"/>
          <w:szCs w:val="32"/>
        </w:rPr>
      </w:pPr>
      <w:r>
        <w:rPr>
          <w:rFonts w:ascii="Times New Roman" w:eastAsia="仿宋_GB2312" w:hAnsi="Times New Roman" w:cs="宋体" w:hint="eastAsia"/>
          <w:color w:val="000000" w:themeColor="text1"/>
          <w:sz w:val="32"/>
          <w:szCs w:val="32"/>
        </w:rPr>
        <w:lastRenderedPageBreak/>
        <w:t>时间不少于</w:t>
      </w:r>
      <w:r>
        <w:rPr>
          <w:rFonts w:ascii="Times New Roman" w:eastAsia="仿宋_GB2312" w:hAnsi="Times New Roman" w:cs="宋体" w:hint="eastAsia"/>
          <w:color w:val="000000" w:themeColor="text1"/>
          <w:sz w:val="32"/>
          <w:szCs w:val="32"/>
        </w:rPr>
        <w:t>240</w:t>
      </w:r>
      <w:r>
        <w:rPr>
          <w:rFonts w:ascii="Times New Roman" w:eastAsia="仿宋_GB2312" w:hAnsi="Times New Roman" w:cs="宋体" w:hint="eastAsia"/>
          <w:color w:val="000000" w:themeColor="text1"/>
          <w:sz w:val="32"/>
          <w:szCs w:val="32"/>
        </w:rPr>
        <w:t>天的场馆可自愿申报创建为星级馆。</w:t>
      </w:r>
    </w:p>
    <w:p w:rsidR="0018700C" w:rsidRDefault="00431B16">
      <w:pPr>
        <w:ind w:firstLineChars="250" w:firstLine="803"/>
        <w:rPr>
          <w:rStyle w:val="15"/>
          <w:rFonts w:eastAsia="仿宋_GB2312" w:cs="宋体"/>
          <w:b w:val="0"/>
          <w:bCs w:val="0"/>
          <w:color w:val="000000" w:themeColor="text1"/>
          <w:sz w:val="32"/>
          <w:szCs w:val="32"/>
        </w:rPr>
      </w:pPr>
      <w:r>
        <w:rPr>
          <w:rStyle w:val="15"/>
          <w:rFonts w:eastAsia="仿宋_GB2312" w:cs="宋体" w:hint="eastAsia"/>
          <w:color w:val="000000" w:themeColor="text1"/>
          <w:sz w:val="32"/>
          <w:szCs w:val="32"/>
        </w:rPr>
        <w:t>第十条</w:t>
      </w:r>
      <w:r>
        <w:rPr>
          <w:rFonts w:ascii="Times New Roman" w:eastAsia="仿宋_GB2312" w:hAnsi="Times New Roman" w:cs="宋体" w:hint="eastAsia"/>
          <w:b/>
          <w:color w:val="000000" w:themeColor="text1"/>
          <w:sz w:val="32"/>
          <w:szCs w:val="32"/>
          <w:shd w:val="clear" w:color="auto" w:fill="FFFFFF"/>
        </w:rPr>
        <w:t xml:space="preserve"> </w:t>
      </w:r>
      <w:r>
        <w:rPr>
          <w:rStyle w:val="15"/>
          <w:rFonts w:eastAsia="仿宋_GB2312" w:cs="宋体" w:hint="eastAsia"/>
          <w:b w:val="0"/>
          <w:color w:val="000000" w:themeColor="text1"/>
          <w:sz w:val="32"/>
          <w:szCs w:val="32"/>
        </w:rPr>
        <w:t>星级评定项目创建流程。</w:t>
      </w:r>
    </w:p>
    <w:p w:rsidR="0018700C" w:rsidRDefault="00431B16">
      <w:pPr>
        <w:spacing w:line="560" w:lineRule="exact"/>
        <w:ind w:firstLine="640"/>
        <w:jc w:val="left"/>
        <w:rPr>
          <w:rStyle w:val="15"/>
          <w:rFonts w:eastAsia="仿宋_GB2312" w:cs="宋体"/>
          <w:color w:val="000000" w:themeColor="text1"/>
          <w:sz w:val="32"/>
          <w:szCs w:val="32"/>
        </w:rPr>
      </w:pPr>
      <w:r>
        <w:rPr>
          <w:rStyle w:val="15"/>
          <w:rFonts w:eastAsia="仿宋_GB2312" w:cs="宋体" w:hint="eastAsia"/>
          <w:color w:val="000000" w:themeColor="text1"/>
          <w:sz w:val="32"/>
          <w:szCs w:val="32"/>
        </w:rPr>
        <w:t>（一）申报。</w:t>
      </w:r>
      <w:r>
        <w:rPr>
          <w:rStyle w:val="15"/>
          <w:rFonts w:eastAsia="仿宋_GB2312" w:cs="宋体" w:hint="eastAsia"/>
          <w:b w:val="0"/>
          <w:color w:val="000000" w:themeColor="text1"/>
          <w:sz w:val="32"/>
          <w:szCs w:val="32"/>
        </w:rPr>
        <w:t>区文广旅体局下发星级馆创建通知和评定标准。由各街道具体组织开展申报并进行初审。</w:t>
      </w:r>
      <w:r>
        <w:rPr>
          <w:rFonts w:ascii="Times New Roman" w:eastAsia="仿宋_GB2312" w:hAnsi="Times New Roman" w:cs="宋体" w:hint="eastAsia"/>
          <w:color w:val="000000" w:themeColor="text1"/>
          <w:sz w:val="32"/>
          <w:szCs w:val="32"/>
        </w:rPr>
        <w:t>评定时限为评定前的上一个自然年度。</w:t>
      </w:r>
    </w:p>
    <w:p w:rsidR="0018700C" w:rsidRDefault="00431B16">
      <w:pPr>
        <w:spacing w:line="560" w:lineRule="exact"/>
        <w:ind w:firstLine="640"/>
        <w:jc w:val="left"/>
        <w:rPr>
          <w:rFonts w:ascii="Times New Roman" w:eastAsia="仿宋_GB2312" w:hAnsi="Times New Roman" w:cs="宋体"/>
          <w:color w:val="000000" w:themeColor="text1"/>
          <w:sz w:val="32"/>
          <w:szCs w:val="32"/>
        </w:rPr>
      </w:pPr>
      <w:r>
        <w:rPr>
          <w:rStyle w:val="15"/>
          <w:rFonts w:eastAsia="仿宋_GB2312" w:cs="宋体" w:hint="eastAsia"/>
          <w:color w:val="000000" w:themeColor="text1"/>
          <w:sz w:val="32"/>
          <w:szCs w:val="32"/>
        </w:rPr>
        <w:t>（二）评审。</w:t>
      </w:r>
      <w:r>
        <w:rPr>
          <w:rStyle w:val="15"/>
          <w:rFonts w:eastAsia="仿宋_GB2312" w:cs="宋体" w:hint="eastAsia"/>
          <w:b w:val="0"/>
          <w:color w:val="000000" w:themeColor="text1"/>
          <w:sz w:val="32"/>
          <w:szCs w:val="32"/>
        </w:rPr>
        <w:t>区</w:t>
      </w:r>
      <w:r>
        <w:rPr>
          <w:rFonts w:ascii="Times New Roman" w:eastAsia="仿宋_GB2312" w:hAnsi="Times New Roman" w:cs="宋体" w:hint="eastAsia"/>
          <w:color w:val="000000" w:themeColor="text1"/>
          <w:sz w:val="32"/>
          <w:szCs w:val="32"/>
        </w:rPr>
        <w:t>文广旅体局组建评审小组按照标准进行评定。评定结果分三星级馆、四星级馆、五星级馆，各档次分数线根据场馆实际运营及社会效益等情况划定。</w:t>
      </w:r>
    </w:p>
    <w:p w:rsidR="0018700C" w:rsidRDefault="00431B16">
      <w:pPr>
        <w:spacing w:line="560" w:lineRule="exact"/>
        <w:ind w:firstLine="640"/>
        <w:jc w:val="left"/>
        <w:rPr>
          <w:rStyle w:val="15"/>
          <w:rFonts w:eastAsia="仿宋_GB2312" w:cs="宋体"/>
          <w:b w:val="0"/>
          <w:color w:val="000000" w:themeColor="text1"/>
          <w:sz w:val="32"/>
          <w:szCs w:val="32"/>
        </w:rPr>
      </w:pPr>
      <w:r>
        <w:rPr>
          <w:rStyle w:val="15"/>
          <w:rFonts w:eastAsia="仿宋_GB2312" w:cs="宋体" w:hint="eastAsia"/>
          <w:color w:val="000000" w:themeColor="text1"/>
          <w:sz w:val="32"/>
          <w:szCs w:val="32"/>
        </w:rPr>
        <w:t>（三）授牌。</w:t>
      </w:r>
      <w:r>
        <w:rPr>
          <w:rStyle w:val="15"/>
          <w:rFonts w:eastAsia="仿宋_GB2312" w:cs="宋体" w:hint="eastAsia"/>
          <w:b w:val="0"/>
          <w:color w:val="000000" w:themeColor="text1"/>
          <w:sz w:val="32"/>
          <w:szCs w:val="32"/>
        </w:rPr>
        <w:t>创建成功的场馆依照星级予以授牌。</w:t>
      </w:r>
    </w:p>
    <w:p w:rsidR="0018700C" w:rsidRDefault="00431B16">
      <w:pPr>
        <w:spacing w:line="560" w:lineRule="exact"/>
        <w:ind w:firstLine="640"/>
        <w:jc w:val="left"/>
        <w:rPr>
          <w:rFonts w:ascii="Times New Roman" w:eastAsia="仿宋_GB2312" w:hAnsi="Times New Roman" w:cs="宋体"/>
          <w:color w:val="000000" w:themeColor="text1"/>
          <w:sz w:val="32"/>
          <w:szCs w:val="32"/>
        </w:rPr>
      </w:pPr>
      <w:r>
        <w:rPr>
          <w:rFonts w:ascii="Times New Roman" w:eastAsia="仿宋_GB2312" w:hAnsi="Times New Roman" w:cs="宋体" w:hint="eastAsia"/>
          <w:b/>
          <w:color w:val="000000" w:themeColor="text1"/>
          <w:sz w:val="32"/>
          <w:szCs w:val="32"/>
        </w:rPr>
        <w:t>第十一条</w:t>
      </w:r>
      <w:r>
        <w:rPr>
          <w:rStyle w:val="15"/>
          <w:rFonts w:eastAsia="仿宋_GB2312" w:cs="宋体" w:hint="eastAsia"/>
          <w:color w:val="000000" w:themeColor="text1"/>
          <w:sz w:val="32"/>
          <w:szCs w:val="32"/>
        </w:rPr>
        <w:t xml:space="preserve">  </w:t>
      </w:r>
      <w:r>
        <w:rPr>
          <w:rFonts w:ascii="Times New Roman" w:eastAsia="仿宋_GB2312" w:hAnsi="Times New Roman" w:cs="宋体" w:hint="eastAsia"/>
          <w:color w:val="000000" w:themeColor="text1"/>
          <w:sz w:val="32"/>
          <w:szCs w:val="32"/>
        </w:rPr>
        <w:t>区文广旅体局每年组织复查，复查不合格，责令整改。如整改不到位，根据实际情况予以降星，直至取消星级。</w:t>
      </w:r>
    </w:p>
    <w:p w:rsidR="0018700C" w:rsidRDefault="00431B16">
      <w:pPr>
        <w:spacing w:line="560" w:lineRule="exact"/>
        <w:ind w:firstLineChars="703" w:firstLine="2258"/>
        <w:rPr>
          <w:rFonts w:ascii="Times New Roman" w:eastAsia="黑体" w:hAnsi="Times New Roman" w:cs="宋体"/>
          <w:b/>
          <w:color w:val="000000" w:themeColor="text1"/>
          <w:sz w:val="32"/>
          <w:szCs w:val="32"/>
        </w:rPr>
      </w:pPr>
      <w:r>
        <w:rPr>
          <w:rFonts w:ascii="Times New Roman" w:eastAsia="黑体" w:hAnsi="Times New Roman" w:cs="宋体" w:hint="eastAsia"/>
          <w:b/>
          <w:color w:val="000000" w:themeColor="text1"/>
          <w:sz w:val="32"/>
          <w:szCs w:val="32"/>
        </w:rPr>
        <w:t>第四章</w:t>
      </w:r>
      <w:r>
        <w:rPr>
          <w:rFonts w:ascii="Times New Roman" w:eastAsia="黑体" w:hAnsi="Times New Roman" w:cs="宋体" w:hint="eastAsia"/>
          <w:b/>
          <w:color w:val="000000" w:themeColor="text1"/>
          <w:sz w:val="32"/>
          <w:szCs w:val="32"/>
        </w:rPr>
        <w:t xml:space="preserve">  </w:t>
      </w:r>
      <w:r>
        <w:rPr>
          <w:rFonts w:ascii="Times New Roman" w:eastAsia="黑体" w:hAnsi="Times New Roman" w:cs="宋体" w:hint="eastAsia"/>
          <w:b/>
          <w:color w:val="000000" w:themeColor="text1"/>
          <w:sz w:val="32"/>
          <w:szCs w:val="32"/>
        </w:rPr>
        <w:t>特色活动项目</w:t>
      </w:r>
    </w:p>
    <w:p w:rsidR="0018700C" w:rsidRDefault="00431B16">
      <w:pPr>
        <w:spacing w:line="560" w:lineRule="exact"/>
        <w:ind w:firstLine="640"/>
        <w:rPr>
          <w:rFonts w:ascii="Times New Roman" w:eastAsia="仿宋_GB2312" w:hAnsi="Times New Roman" w:cs="宋体"/>
          <w:color w:val="000000" w:themeColor="text1"/>
          <w:sz w:val="32"/>
          <w:szCs w:val="32"/>
        </w:rPr>
      </w:pPr>
      <w:r>
        <w:rPr>
          <w:rStyle w:val="15"/>
          <w:rFonts w:eastAsia="仿宋_GB2312" w:cs="宋体" w:hint="eastAsia"/>
          <w:color w:val="000000" w:themeColor="text1"/>
          <w:sz w:val="32"/>
          <w:szCs w:val="32"/>
        </w:rPr>
        <w:t>第十二条</w:t>
      </w:r>
      <w:r>
        <w:rPr>
          <w:rStyle w:val="15"/>
          <w:rFonts w:eastAsia="仿宋_GB2312" w:cs="宋体" w:hint="eastAsia"/>
          <w:color w:val="000000" w:themeColor="text1"/>
          <w:sz w:val="32"/>
          <w:szCs w:val="32"/>
        </w:rPr>
        <w:t xml:space="preserve"> </w:t>
      </w:r>
      <w:r>
        <w:rPr>
          <w:rFonts w:ascii="Times New Roman" w:eastAsia="仿宋_GB2312" w:hAnsi="Times New Roman" w:cs="宋体" w:hint="eastAsia"/>
          <w:color w:val="000000" w:themeColor="text1"/>
          <w:sz w:val="32"/>
          <w:szCs w:val="32"/>
        </w:rPr>
        <w:t xml:space="preserve"> </w:t>
      </w:r>
      <w:r>
        <w:rPr>
          <w:rFonts w:ascii="Times New Roman" w:eastAsia="仿宋_GB2312" w:hAnsi="Times New Roman" w:cs="宋体" w:hint="eastAsia"/>
          <w:color w:val="000000" w:themeColor="text1"/>
          <w:sz w:val="32"/>
          <w:szCs w:val="32"/>
        </w:rPr>
        <w:t>鼓励通过评星挂牌的场馆承办各级文化活动，自主举办丰富多彩的主题文化展览和社教活动。</w:t>
      </w:r>
    </w:p>
    <w:p w:rsidR="0018700C" w:rsidRDefault="00431B16">
      <w:pPr>
        <w:spacing w:line="560" w:lineRule="exact"/>
        <w:ind w:firstLine="640"/>
        <w:jc w:val="left"/>
        <w:rPr>
          <w:rFonts w:ascii="Times New Roman" w:eastAsia="仿宋_GB2312" w:hAnsi="Times New Roman" w:cs="宋体"/>
          <w:color w:val="000000" w:themeColor="text1"/>
          <w:sz w:val="32"/>
          <w:szCs w:val="32"/>
        </w:rPr>
      </w:pPr>
      <w:r>
        <w:rPr>
          <w:rFonts w:ascii="Times New Roman" w:eastAsia="仿宋_GB2312" w:hAnsi="Times New Roman" w:cs="宋体" w:hint="eastAsia"/>
          <w:b/>
          <w:bCs/>
          <w:color w:val="000000" w:themeColor="text1"/>
          <w:sz w:val="32"/>
          <w:szCs w:val="32"/>
        </w:rPr>
        <w:t>第十三条</w:t>
      </w:r>
      <w:r>
        <w:rPr>
          <w:rFonts w:ascii="Times New Roman" w:eastAsia="仿宋_GB2312" w:hAnsi="Times New Roman" w:cs="宋体" w:hint="eastAsia"/>
          <w:b/>
          <w:bCs/>
          <w:color w:val="000000" w:themeColor="text1"/>
          <w:sz w:val="32"/>
          <w:szCs w:val="32"/>
        </w:rPr>
        <w:t xml:space="preserve"> </w:t>
      </w:r>
      <w:r>
        <w:rPr>
          <w:rStyle w:val="15"/>
          <w:rFonts w:eastAsia="仿宋_GB2312" w:cs="宋体" w:hint="eastAsia"/>
          <w:color w:val="000000" w:themeColor="text1"/>
          <w:sz w:val="32"/>
          <w:szCs w:val="32"/>
        </w:rPr>
        <w:t xml:space="preserve">  </w:t>
      </w:r>
      <w:r>
        <w:rPr>
          <w:rFonts w:ascii="Times New Roman" w:eastAsia="仿宋_GB2312" w:hAnsi="Times New Roman" w:cs="宋体" w:hint="eastAsia"/>
          <w:color w:val="000000" w:themeColor="text1"/>
          <w:sz w:val="32"/>
          <w:szCs w:val="32"/>
        </w:rPr>
        <w:t>特色活动项目评审流程。</w:t>
      </w:r>
    </w:p>
    <w:p w:rsidR="0018700C" w:rsidRDefault="00431B16">
      <w:pPr>
        <w:spacing w:line="560" w:lineRule="exact"/>
        <w:ind w:firstLine="643"/>
        <w:rPr>
          <w:rStyle w:val="15"/>
          <w:rFonts w:eastAsia="仿宋_GB2312" w:cs="宋体"/>
          <w:b w:val="0"/>
          <w:bCs w:val="0"/>
          <w:color w:val="000000" w:themeColor="text1"/>
          <w:sz w:val="32"/>
          <w:szCs w:val="32"/>
        </w:rPr>
      </w:pPr>
      <w:r>
        <w:rPr>
          <w:rFonts w:ascii="Times New Roman" w:eastAsia="仿宋_GB2312" w:hAnsi="Times New Roman" w:cs="宋体" w:hint="eastAsia"/>
          <w:b/>
          <w:bCs/>
          <w:color w:val="000000" w:themeColor="text1"/>
          <w:sz w:val="32"/>
          <w:szCs w:val="32"/>
        </w:rPr>
        <w:t>（一）项目申报。</w:t>
      </w:r>
      <w:r>
        <w:rPr>
          <w:rFonts w:ascii="Times New Roman" w:eastAsia="仿宋_GB2312" w:hAnsi="Times New Roman" w:cs="宋体" w:hint="eastAsia"/>
          <w:bCs/>
          <w:color w:val="000000" w:themeColor="text1"/>
          <w:sz w:val="32"/>
          <w:szCs w:val="32"/>
        </w:rPr>
        <w:t>每年度评定若干个特色活动项目，由</w:t>
      </w:r>
      <w:r>
        <w:rPr>
          <w:rStyle w:val="15"/>
          <w:rFonts w:eastAsia="仿宋_GB2312" w:cs="宋体" w:hint="eastAsia"/>
          <w:b w:val="0"/>
          <w:color w:val="000000" w:themeColor="text1"/>
          <w:sz w:val="32"/>
          <w:szCs w:val="32"/>
        </w:rPr>
        <w:t>区文广旅体局下发特色活动项目申报通知，各街道具体组织开展申报并进行活动开展和投入经费佐证材料的初审。</w:t>
      </w:r>
    </w:p>
    <w:p w:rsidR="0018700C" w:rsidRDefault="00431B16">
      <w:pPr>
        <w:spacing w:line="560" w:lineRule="exact"/>
        <w:ind w:firstLine="643"/>
        <w:rPr>
          <w:rFonts w:ascii="Times New Roman" w:eastAsia="仿宋_GB2312" w:hAnsi="Times New Roman" w:cs="宋体"/>
          <w:color w:val="000000" w:themeColor="text1"/>
          <w:sz w:val="32"/>
          <w:szCs w:val="32"/>
        </w:rPr>
      </w:pPr>
      <w:r>
        <w:rPr>
          <w:rFonts w:ascii="Times New Roman" w:eastAsia="仿宋_GB2312" w:hAnsi="Times New Roman" w:cs="宋体" w:hint="eastAsia"/>
          <w:b/>
          <w:bCs/>
          <w:color w:val="000000" w:themeColor="text1"/>
          <w:sz w:val="32"/>
          <w:szCs w:val="32"/>
        </w:rPr>
        <w:t>（二）专家评审。</w:t>
      </w:r>
      <w:r>
        <w:rPr>
          <w:rStyle w:val="15"/>
          <w:rFonts w:eastAsia="仿宋_GB2312" w:cs="宋体" w:hint="eastAsia"/>
          <w:b w:val="0"/>
          <w:bCs w:val="0"/>
          <w:color w:val="000000" w:themeColor="text1"/>
          <w:sz w:val="32"/>
          <w:szCs w:val="32"/>
        </w:rPr>
        <w:t>区</w:t>
      </w:r>
      <w:r>
        <w:rPr>
          <w:rFonts w:ascii="Times New Roman" w:eastAsia="仿宋_GB2312" w:hAnsi="Times New Roman" w:cs="宋体" w:hint="eastAsia"/>
          <w:color w:val="000000" w:themeColor="text1"/>
          <w:sz w:val="32"/>
          <w:szCs w:val="32"/>
        </w:rPr>
        <w:t>文广旅体局组建专家评审小组，对提交的佐证材料、项目投入经费进行审核，依照标准对申报特色项目进行综合评定。评审结果作为扶持奖励资金的参考依据</w:t>
      </w:r>
    </w:p>
    <w:p w:rsidR="0018700C" w:rsidRDefault="00431B16">
      <w:pPr>
        <w:spacing w:line="560" w:lineRule="exact"/>
        <w:ind w:firstLine="643"/>
        <w:jc w:val="left"/>
        <w:rPr>
          <w:rFonts w:ascii="Times New Roman" w:eastAsia="仿宋_GB2312" w:hAnsi="Times New Roman" w:cs="宋体"/>
          <w:color w:val="000000" w:themeColor="text1"/>
          <w:sz w:val="32"/>
          <w:szCs w:val="32"/>
        </w:rPr>
      </w:pPr>
      <w:r>
        <w:rPr>
          <w:rFonts w:ascii="Times New Roman" w:eastAsia="仿宋_GB2312" w:hAnsi="Times New Roman" w:cs="宋体" w:hint="eastAsia"/>
          <w:b/>
          <w:bCs/>
          <w:color w:val="000000" w:themeColor="text1"/>
          <w:sz w:val="32"/>
          <w:szCs w:val="32"/>
        </w:rPr>
        <w:t>（三）扶持奖励</w:t>
      </w:r>
      <w:r>
        <w:rPr>
          <w:rFonts w:ascii="Times New Roman" w:eastAsia="仿宋_GB2312" w:hAnsi="Times New Roman" w:cs="宋体" w:hint="eastAsia"/>
          <w:color w:val="000000" w:themeColor="text1"/>
          <w:sz w:val="32"/>
          <w:szCs w:val="32"/>
        </w:rPr>
        <w:t>。通过评审的项目给与一定的经费扶持</w:t>
      </w:r>
      <w:r>
        <w:rPr>
          <w:rFonts w:ascii="Times New Roman" w:eastAsia="仿宋_GB2312" w:hAnsi="Times New Roman" w:cs="宋体" w:hint="eastAsia"/>
          <w:color w:val="000000" w:themeColor="text1"/>
          <w:sz w:val="32"/>
          <w:szCs w:val="32"/>
        </w:rPr>
        <w:lastRenderedPageBreak/>
        <w:t>奖励。</w:t>
      </w:r>
    </w:p>
    <w:p w:rsidR="0018700C" w:rsidRDefault="00431B16">
      <w:pPr>
        <w:spacing w:line="560" w:lineRule="exact"/>
        <w:rPr>
          <w:rFonts w:ascii="Times New Roman" w:eastAsia="仿宋_GB2312" w:hAnsi="Times New Roman" w:cs="宋体"/>
          <w:color w:val="000000" w:themeColor="text1"/>
          <w:sz w:val="32"/>
          <w:szCs w:val="32"/>
        </w:rPr>
      </w:pPr>
      <w:r>
        <w:rPr>
          <w:rFonts w:ascii="Times New Roman" w:eastAsia="仿宋_GB2312" w:hAnsi="Times New Roman" w:cs="宋体" w:hint="eastAsia"/>
          <w:b/>
          <w:bCs/>
          <w:color w:val="000000" w:themeColor="text1"/>
          <w:sz w:val="32"/>
          <w:szCs w:val="32"/>
        </w:rPr>
        <w:t xml:space="preserve">    </w:t>
      </w:r>
      <w:r>
        <w:rPr>
          <w:rFonts w:ascii="Times New Roman" w:eastAsia="仿宋_GB2312" w:hAnsi="Times New Roman" w:cs="宋体" w:hint="eastAsia"/>
          <w:b/>
          <w:bCs/>
          <w:color w:val="000000" w:themeColor="text1"/>
          <w:sz w:val="32"/>
          <w:szCs w:val="32"/>
        </w:rPr>
        <w:t>第十四条</w:t>
      </w:r>
      <w:r>
        <w:rPr>
          <w:rFonts w:ascii="Times New Roman" w:eastAsia="仿宋_GB2312" w:hAnsi="Times New Roman" w:cs="宋体" w:hint="eastAsia"/>
          <w:b/>
          <w:bCs/>
          <w:color w:val="000000" w:themeColor="text1"/>
          <w:sz w:val="32"/>
          <w:szCs w:val="32"/>
        </w:rPr>
        <w:t xml:space="preserve">  </w:t>
      </w:r>
      <w:r>
        <w:rPr>
          <w:rFonts w:ascii="Times New Roman" w:eastAsia="仿宋_GB2312" w:hAnsi="Times New Roman" w:cs="宋体" w:hint="eastAsia"/>
          <w:color w:val="000000" w:themeColor="text1"/>
          <w:sz w:val="32"/>
          <w:szCs w:val="32"/>
        </w:rPr>
        <w:t>评审认定的特色活动项目，经业务主管部门审核后，予以项目实际投入经费的</w:t>
      </w:r>
      <w:r>
        <w:rPr>
          <w:rFonts w:ascii="Times New Roman" w:eastAsia="仿宋_GB2312" w:hAnsi="Times New Roman" w:cs="宋体" w:hint="eastAsia"/>
          <w:color w:val="000000" w:themeColor="text1"/>
          <w:sz w:val="32"/>
          <w:szCs w:val="32"/>
        </w:rPr>
        <w:t>60%</w:t>
      </w:r>
      <w:r>
        <w:rPr>
          <w:rFonts w:ascii="Times New Roman" w:eastAsia="仿宋_GB2312" w:hAnsi="Times New Roman" w:cs="宋体" w:hint="eastAsia"/>
          <w:color w:val="000000" w:themeColor="text1"/>
          <w:sz w:val="32"/>
          <w:szCs w:val="32"/>
        </w:rPr>
        <w:t>进行补助，每个项目最高不超过</w:t>
      </w:r>
      <w:r>
        <w:rPr>
          <w:rFonts w:ascii="Times New Roman" w:eastAsia="仿宋_GB2312" w:hAnsi="Times New Roman" w:cs="宋体" w:hint="eastAsia"/>
          <w:color w:val="000000" w:themeColor="text1"/>
          <w:sz w:val="32"/>
          <w:szCs w:val="32"/>
        </w:rPr>
        <w:t>30</w:t>
      </w:r>
      <w:r>
        <w:rPr>
          <w:rFonts w:ascii="Times New Roman" w:eastAsia="仿宋_GB2312" w:hAnsi="Times New Roman" w:cs="宋体" w:hint="eastAsia"/>
          <w:color w:val="000000" w:themeColor="text1"/>
          <w:sz w:val="32"/>
          <w:szCs w:val="32"/>
        </w:rPr>
        <w:t>万元。</w:t>
      </w:r>
    </w:p>
    <w:p w:rsidR="0018700C" w:rsidRDefault="00431B16">
      <w:pPr>
        <w:spacing w:line="560" w:lineRule="exact"/>
        <w:ind w:firstLine="640"/>
        <w:jc w:val="center"/>
        <w:rPr>
          <w:rFonts w:ascii="Times New Roman" w:eastAsia="黑体" w:hAnsi="Times New Roman" w:cs="宋体"/>
          <w:b/>
          <w:bCs/>
          <w:color w:val="000000" w:themeColor="text1"/>
          <w:sz w:val="32"/>
          <w:szCs w:val="32"/>
          <w:shd w:val="clear" w:color="auto" w:fill="FFFFFF"/>
        </w:rPr>
      </w:pPr>
      <w:r>
        <w:rPr>
          <w:rFonts w:ascii="Times New Roman" w:eastAsia="黑体" w:hAnsi="Times New Roman" w:cs="宋体" w:hint="eastAsia"/>
          <w:b/>
          <w:bCs/>
          <w:color w:val="000000" w:themeColor="text1"/>
          <w:sz w:val="32"/>
          <w:szCs w:val="32"/>
          <w:shd w:val="clear" w:color="auto" w:fill="FFFFFF"/>
        </w:rPr>
        <w:t>第五章</w:t>
      </w:r>
      <w:r>
        <w:rPr>
          <w:rFonts w:ascii="Times New Roman" w:eastAsia="黑体" w:hAnsi="Times New Roman" w:cs="宋体" w:hint="eastAsia"/>
          <w:b/>
          <w:bCs/>
          <w:color w:val="000000" w:themeColor="text1"/>
          <w:sz w:val="32"/>
          <w:szCs w:val="32"/>
          <w:shd w:val="clear" w:color="auto" w:fill="FFFFFF"/>
        </w:rPr>
        <w:t xml:space="preserve">  </w:t>
      </w:r>
      <w:r>
        <w:rPr>
          <w:rFonts w:ascii="Times New Roman" w:eastAsia="黑体" w:hAnsi="Times New Roman" w:cs="宋体" w:hint="eastAsia"/>
          <w:b/>
          <w:bCs/>
          <w:color w:val="000000" w:themeColor="text1"/>
          <w:sz w:val="32"/>
          <w:szCs w:val="32"/>
          <w:shd w:val="clear" w:color="auto" w:fill="FFFFFF"/>
        </w:rPr>
        <w:t>管理与服务</w:t>
      </w:r>
    </w:p>
    <w:p w:rsidR="0018700C" w:rsidRDefault="00431B16">
      <w:pPr>
        <w:spacing w:line="560" w:lineRule="exact"/>
        <w:ind w:firstLineChars="200" w:firstLine="643"/>
        <w:rPr>
          <w:rFonts w:ascii="Times New Roman" w:eastAsia="仿宋_GB2312" w:hAnsi="Times New Roman" w:cs="宋体"/>
          <w:color w:val="000000" w:themeColor="text1"/>
          <w:sz w:val="32"/>
          <w:szCs w:val="32"/>
        </w:rPr>
      </w:pPr>
      <w:r>
        <w:rPr>
          <w:rFonts w:ascii="Times New Roman" w:eastAsia="仿宋_GB2312" w:hAnsi="Times New Roman" w:cs="宋体" w:hint="eastAsia"/>
          <w:b/>
          <w:bCs/>
          <w:color w:val="000000" w:themeColor="text1"/>
          <w:sz w:val="32"/>
          <w:szCs w:val="32"/>
        </w:rPr>
        <w:t>第十五条</w:t>
      </w:r>
      <w:r>
        <w:rPr>
          <w:rFonts w:ascii="Times New Roman" w:eastAsia="仿宋_GB2312" w:hAnsi="Times New Roman" w:cs="宋体" w:hint="eastAsia"/>
          <w:b/>
          <w:bCs/>
          <w:color w:val="000000" w:themeColor="text1"/>
          <w:sz w:val="32"/>
          <w:szCs w:val="32"/>
        </w:rPr>
        <w:t xml:space="preserve">  </w:t>
      </w:r>
      <w:r>
        <w:rPr>
          <w:rFonts w:ascii="Times New Roman" w:eastAsia="仿宋_GB2312" w:hAnsi="Times New Roman" w:cs="宋体" w:hint="eastAsia"/>
          <w:bCs/>
          <w:color w:val="000000" w:themeColor="text1"/>
          <w:sz w:val="32"/>
          <w:szCs w:val="32"/>
        </w:rPr>
        <w:t>入驻项目运营管理。</w:t>
      </w:r>
      <w:r>
        <w:rPr>
          <w:rFonts w:ascii="Times New Roman" w:eastAsia="仿宋_GB2312" w:hAnsi="Times New Roman" w:cs="宋体" w:hint="eastAsia"/>
          <w:color w:val="000000" w:themeColor="text1"/>
          <w:sz w:val="32"/>
          <w:szCs w:val="32"/>
        </w:rPr>
        <w:t>区文广旅体局邀请第三方机构对入驻区属国有房产场馆的项目每年运营情况进行评估。如评估结果不合格责令整改，整改不到位或拒不整改，由区文广旅体局牵头召开部门联审会议，由联审会议决定是否中止协议，并按照合同约定在规定时间内清退房产。</w:t>
      </w:r>
    </w:p>
    <w:p w:rsidR="0018700C" w:rsidRDefault="00431B16">
      <w:pPr>
        <w:spacing w:line="560" w:lineRule="exact"/>
        <w:ind w:firstLine="640"/>
        <w:rPr>
          <w:rFonts w:ascii="Times New Roman" w:eastAsia="仿宋_GB2312" w:hAnsi="Times New Roman" w:cs="宋体"/>
          <w:color w:val="000000" w:themeColor="text1"/>
          <w:sz w:val="32"/>
          <w:szCs w:val="32"/>
        </w:rPr>
      </w:pPr>
      <w:r>
        <w:rPr>
          <w:rFonts w:ascii="Times New Roman" w:eastAsia="仿宋_GB2312" w:hAnsi="Times New Roman" w:cs="宋体" w:hint="eastAsia"/>
          <w:b/>
          <w:color w:val="000000" w:themeColor="text1"/>
          <w:sz w:val="32"/>
          <w:szCs w:val="32"/>
        </w:rPr>
        <w:t>第十六条</w:t>
      </w:r>
      <w:r>
        <w:rPr>
          <w:rFonts w:ascii="Times New Roman" w:eastAsia="仿宋_GB2312" w:hAnsi="Times New Roman" w:cs="宋体" w:hint="eastAsia"/>
          <w:color w:val="000000" w:themeColor="text1"/>
          <w:sz w:val="32"/>
          <w:szCs w:val="32"/>
        </w:rPr>
        <w:t xml:space="preserve">  </w:t>
      </w:r>
      <w:r>
        <w:rPr>
          <w:rFonts w:ascii="Times New Roman" w:eastAsia="仿宋_GB2312" w:hAnsi="Times New Roman" w:cs="宋体" w:hint="eastAsia"/>
          <w:color w:val="000000" w:themeColor="text1"/>
          <w:sz w:val="32"/>
          <w:szCs w:val="32"/>
        </w:rPr>
        <w:t>扶持资金绩效考核。入驻非区属国有房产的场馆，应每年进行绩效自评，并将自评结果报区文广旅体局进行复核，由区文广旅体局根据实际情况进行抽评。如绩效考核不达标，停止下一年度补助发放。</w:t>
      </w:r>
    </w:p>
    <w:p w:rsidR="0018700C" w:rsidRDefault="0018700C">
      <w:pPr>
        <w:spacing w:line="560" w:lineRule="exact"/>
        <w:ind w:firstLine="640"/>
        <w:rPr>
          <w:rFonts w:ascii="Times New Roman" w:eastAsia="仿宋_GB2312" w:hAnsi="Times New Roman" w:cs="宋体"/>
          <w:color w:val="000000" w:themeColor="text1"/>
          <w:sz w:val="32"/>
          <w:szCs w:val="32"/>
        </w:rPr>
      </w:pPr>
    </w:p>
    <w:p w:rsidR="0018700C" w:rsidRDefault="00431B16">
      <w:pPr>
        <w:spacing w:line="560" w:lineRule="exact"/>
        <w:jc w:val="center"/>
        <w:rPr>
          <w:rFonts w:ascii="Times New Roman" w:eastAsia="黑体" w:hAnsi="Times New Roman" w:cs="宋体"/>
          <w:b/>
          <w:bCs/>
          <w:color w:val="000000" w:themeColor="text1"/>
          <w:sz w:val="32"/>
          <w:szCs w:val="32"/>
        </w:rPr>
      </w:pPr>
      <w:r>
        <w:rPr>
          <w:rFonts w:ascii="Times New Roman" w:eastAsia="黑体" w:hAnsi="Times New Roman" w:cs="宋体" w:hint="eastAsia"/>
          <w:b/>
          <w:bCs/>
          <w:color w:val="000000" w:themeColor="text1"/>
          <w:sz w:val="32"/>
          <w:szCs w:val="32"/>
        </w:rPr>
        <w:t>第六章</w:t>
      </w:r>
      <w:r>
        <w:rPr>
          <w:rFonts w:ascii="Times New Roman" w:eastAsia="黑体" w:hAnsi="Times New Roman" w:cs="宋体" w:hint="eastAsia"/>
          <w:b/>
          <w:bCs/>
          <w:color w:val="000000" w:themeColor="text1"/>
          <w:sz w:val="32"/>
          <w:szCs w:val="32"/>
        </w:rPr>
        <w:t xml:space="preserve"> </w:t>
      </w:r>
      <w:r>
        <w:rPr>
          <w:rFonts w:ascii="Times New Roman" w:eastAsia="黑体" w:hAnsi="Times New Roman" w:cs="宋体" w:hint="eastAsia"/>
          <w:b/>
          <w:bCs/>
          <w:color w:val="000000" w:themeColor="text1"/>
          <w:sz w:val="32"/>
          <w:szCs w:val="32"/>
        </w:rPr>
        <w:t>附则</w:t>
      </w:r>
    </w:p>
    <w:p w:rsidR="0018700C" w:rsidRDefault="00431B16">
      <w:pPr>
        <w:spacing w:line="560" w:lineRule="exact"/>
        <w:ind w:firstLineChars="250" w:firstLine="803"/>
        <w:rPr>
          <w:rFonts w:ascii="Times New Roman" w:eastAsia="仿宋_GB2312" w:hAnsi="Times New Roman" w:cs="宋体"/>
          <w:color w:val="000000" w:themeColor="text1"/>
          <w:sz w:val="32"/>
          <w:szCs w:val="32"/>
        </w:rPr>
      </w:pPr>
      <w:r>
        <w:rPr>
          <w:rFonts w:ascii="Times New Roman" w:eastAsia="仿宋_GB2312" w:hAnsi="Times New Roman" w:cs="宋体" w:hint="eastAsia"/>
          <w:b/>
          <w:bCs/>
          <w:color w:val="000000" w:themeColor="text1"/>
          <w:sz w:val="32"/>
          <w:szCs w:val="32"/>
        </w:rPr>
        <w:t>第十七条</w:t>
      </w:r>
      <w:r>
        <w:rPr>
          <w:rFonts w:ascii="Times New Roman" w:eastAsia="仿宋_GB2312" w:hAnsi="Times New Roman" w:cs="宋体" w:hint="eastAsia"/>
          <w:color w:val="000000" w:themeColor="text1"/>
          <w:sz w:val="32"/>
          <w:szCs w:val="32"/>
        </w:rPr>
        <w:t xml:space="preserve">  </w:t>
      </w:r>
      <w:r>
        <w:rPr>
          <w:rFonts w:ascii="Times New Roman" w:eastAsia="仿宋_GB2312" w:hAnsi="Times New Roman" w:cs="宋体" w:hint="eastAsia"/>
          <w:color w:val="000000" w:themeColor="text1"/>
          <w:sz w:val="32"/>
          <w:szCs w:val="32"/>
        </w:rPr>
        <w:t>各项目申报、评定具体工作以</w:t>
      </w:r>
      <w:r>
        <w:rPr>
          <w:rStyle w:val="15"/>
          <w:rFonts w:eastAsia="仿宋_GB2312" w:cs="宋体" w:hint="eastAsia"/>
          <w:b w:val="0"/>
          <w:color w:val="000000" w:themeColor="text1"/>
          <w:sz w:val="32"/>
          <w:szCs w:val="32"/>
        </w:rPr>
        <w:t>具体</w:t>
      </w:r>
      <w:r>
        <w:rPr>
          <w:rFonts w:ascii="Times New Roman" w:eastAsia="仿宋_GB2312" w:hAnsi="Times New Roman" w:cs="宋体" w:hint="eastAsia"/>
          <w:color w:val="000000" w:themeColor="text1"/>
          <w:sz w:val="32"/>
          <w:szCs w:val="32"/>
        </w:rPr>
        <w:t>文件或通知为准。</w:t>
      </w:r>
    </w:p>
    <w:p w:rsidR="0018700C" w:rsidRDefault="00431B16">
      <w:pPr>
        <w:spacing w:line="560" w:lineRule="exact"/>
        <w:ind w:firstLineChars="250" w:firstLine="803"/>
        <w:rPr>
          <w:rFonts w:ascii="Times New Roman" w:eastAsia="仿宋_GB2312" w:hAnsi="Times New Roman" w:cs="宋体"/>
          <w:color w:val="000000" w:themeColor="text1"/>
          <w:sz w:val="32"/>
          <w:szCs w:val="32"/>
        </w:rPr>
      </w:pPr>
      <w:r>
        <w:rPr>
          <w:rFonts w:ascii="Times New Roman" w:eastAsia="仿宋_GB2312" w:hAnsi="Times New Roman" w:cs="宋体" w:hint="eastAsia"/>
          <w:b/>
          <w:bCs/>
          <w:color w:val="000000" w:themeColor="text1"/>
          <w:sz w:val="32"/>
          <w:szCs w:val="32"/>
        </w:rPr>
        <w:t>第十八条</w:t>
      </w:r>
      <w:r>
        <w:rPr>
          <w:rFonts w:ascii="Times New Roman" w:eastAsia="仿宋_GB2312" w:hAnsi="Times New Roman" w:cs="宋体" w:hint="eastAsia"/>
          <w:color w:val="000000" w:themeColor="text1"/>
          <w:sz w:val="32"/>
          <w:szCs w:val="32"/>
        </w:rPr>
        <w:t xml:space="preserve">  </w:t>
      </w:r>
      <w:r>
        <w:rPr>
          <w:rFonts w:ascii="Times New Roman" w:eastAsia="仿宋_GB2312" w:hAnsi="Times New Roman" w:cs="宋体" w:hint="eastAsia"/>
          <w:color w:val="000000" w:themeColor="text1"/>
          <w:sz w:val="32"/>
          <w:szCs w:val="32"/>
        </w:rPr>
        <w:t>本细则由区文广旅体局负责解释。</w:t>
      </w:r>
    </w:p>
    <w:p w:rsidR="0018700C" w:rsidRDefault="0018700C">
      <w:pPr>
        <w:jc w:val="left"/>
        <w:rPr>
          <w:rFonts w:ascii="Times New Roman" w:eastAsia="仿宋_GB2312" w:hAnsi="Times New Roman" w:cs="宋体"/>
          <w:color w:val="000000" w:themeColor="text1"/>
          <w:sz w:val="32"/>
          <w:szCs w:val="32"/>
        </w:rPr>
      </w:pPr>
    </w:p>
    <w:p w:rsidR="0086327D" w:rsidRDefault="0086327D">
      <w:pPr>
        <w:jc w:val="left"/>
        <w:rPr>
          <w:rFonts w:ascii="Times New Roman" w:eastAsia="仿宋_GB2312" w:hAnsi="Times New Roman" w:cs="宋体"/>
          <w:color w:val="000000" w:themeColor="text1"/>
          <w:sz w:val="32"/>
          <w:szCs w:val="32"/>
        </w:rPr>
      </w:pPr>
    </w:p>
    <w:p w:rsidR="0018700C" w:rsidRDefault="00431B16">
      <w:pPr>
        <w:jc w:val="left"/>
        <w:rPr>
          <w:rFonts w:ascii="Times New Roman" w:eastAsia="仿宋_GB2312" w:hAnsi="Times New Roman" w:cs="宋体"/>
          <w:color w:val="000000" w:themeColor="text1"/>
          <w:sz w:val="32"/>
          <w:szCs w:val="32"/>
        </w:rPr>
      </w:pPr>
      <w:r>
        <w:rPr>
          <w:rFonts w:ascii="Times New Roman" w:eastAsia="仿宋_GB2312" w:hAnsi="Times New Roman" w:cs="宋体" w:hint="eastAsia"/>
          <w:color w:val="000000" w:themeColor="text1"/>
          <w:sz w:val="32"/>
          <w:szCs w:val="32"/>
        </w:rPr>
        <w:t>附件</w:t>
      </w:r>
      <w:r>
        <w:rPr>
          <w:rFonts w:ascii="Times New Roman" w:eastAsia="仿宋_GB2312" w:hAnsi="Times New Roman" w:cs="宋体" w:hint="eastAsia"/>
          <w:color w:val="000000" w:themeColor="text1"/>
          <w:sz w:val="32"/>
          <w:szCs w:val="32"/>
        </w:rPr>
        <w:t>1</w:t>
      </w:r>
      <w:r>
        <w:rPr>
          <w:rFonts w:ascii="Times New Roman" w:eastAsia="仿宋_GB2312" w:hAnsi="Times New Roman" w:cs="宋体" w:hint="eastAsia"/>
          <w:color w:val="000000" w:themeColor="text1"/>
          <w:sz w:val="32"/>
          <w:szCs w:val="32"/>
        </w:rPr>
        <w:t>：《上城区博物馆群落项目入驻评审表》</w:t>
      </w:r>
    </w:p>
    <w:p w:rsidR="0018700C" w:rsidRDefault="00431B16">
      <w:pPr>
        <w:jc w:val="left"/>
        <w:rPr>
          <w:rFonts w:ascii="Times New Roman" w:eastAsia="仿宋_GB2312" w:hAnsi="Times New Roman" w:cs="宋体"/>
          <w:color w:val="000000" w:themeColor="text1"/>
          <w:sz w:val="32"/>
          <w:szCs w:val="32"/>
        </w:rPr>
      </w:pPr>
      <w:r>
        <w:rPr>
          <w:rFonts w:ascii="Times New Roman" w:eastAsia="仿宋_GB2312" w:hAnsi="Times New Roman" w:hint="eastAsia"/>
          <w:color w:val="000000" w:themeColor="text1"/>
          <w:sz w:val="32"/>
          <w:szCs w:val="32"/>
        </w:rPr>
        <w:t>附件</w:t>
      </w:r>
      <w:r>
        <w:rPr>
          <w:rFonts w:ascii="Times New Roman" w:eastAsia="仿宋_GB2312" w:hAnsi="Times New Roman" w:hint="eastAsia"/>
          <w:color w:val="000000" w:themeColor="text1"/>
          <w:sz w:val="32"/>
          <w:szCs w:val="32"/>
        </w:rPr>
        <w:t>2</w:t>
      </w:r>
      <w:r>
        <w:rPr>
          <w:rFonts w:ascii="Times New Roman" w:eastAsia="仿宋_GB2312" w:hAnsi="Times New Roman" w:hint="eastAsia"/>
          <w:color w:val="000000" w:themeColor="text1"/>
          <w:sz w:val="32"/>
          <w:szCs w:val="32"/>
        </w:rPr>
        <w:t>：《</w:t>
      </w:r>
      <w:r>
        <w:rPr>
          <w:rFonts w:ascii="Times New Roman" w:eastAsia="仿宋_GB2312" w:hAnsi="Times New Roman" w:cs="宋体" w:hint="eastAsia"/>
          <w:color w:val="000000" w:themeColor="text1"/>
          <w:sz w:val="32"/>
          <w:szCs w:val="32"/>
        </w:rPr>
        <w:t>上城区博物馆群落星级馆评定表》</w:t>
      </w:r>
    </w:p>
    <w:p w:rsidR="0018700C" w:rsidRDefault="00431B16">
      <w:pPr>
        <w:rPr>
          <w:rFonts w:ascii="Times New Roman" w:eastAsia="仿宋_GB2312" w:hAnsi="Times New Roman" w:cs="宋体"/>
          <w:color w:val="000000" w:themeColor="text1"/>
          <w:sz w:val="32"/>
          <w:szCs w:val="32"/>
        </w:rPr>
      </w:pPr>
      <w:r>
        <w:rPr>
          <w:rFonts w:ascii="Times New Roman" w:eastAsia="仿宋_GB2312" w:hAnsi="Times New Roman" w:hint="eastAsia"/>
          <w:color w:val="000000" w:themeColor="text1"/>
          <w:sz w:val="32"/>
          <w:szCs w:val="32"/>
        </w:rPr>
        <w:t>附件</w:t>
      </w:r>
      <w:r>
        <w:rPr>
          <w:rFonts w:ascii="Times New Roman" w:eastAsia="仿宋_GB2312" w:hAnsi="Times New Roman" w:hint="eastAsia"/>
          <w:color w:val="000000" w:themeColor="text1"/>
          <w:sz w:val="32"/>
          <w:szCs w:val="32"/>
        </w:rPr>
        <w:t>3</w:t>
      </w:r>
      <w:r>
        <w:rPr>
          <w:rFonts w:ascii="Times New Roman" w:eastAsia="仿宋_GB2312" w:hAnsi="Times New Roman" w:hint="eastAsia"/>
          <w:color w:val="000000" w:themeColor="text1"/>
          <w:sz w:val="32"/>
          <w:szCs w:val="32"/>
        </w:rPr>
        <w:t>：《</w:t>
      </w:r>
      <w:r>
        <w:rPr>
          <w:rFonts w:ascii="Times New Roman" w:eastAsia="仿宋_GB2312" w:hAnsi="Times New Roman" w:cs="宋体" w:hint="eastAsia"/>
          <w:color w:val="000000" w:themeColor="text1"/>
          <w:sz w:val="32"/>
          <w:szCs w:val="32"/>
        </w:rPr>
        <w:t>上城区博物馆群落特色项目评审表》</w:t>
      </w:r>
    </w:p>
    <w:p w:rsidR="0018700C" w:rsidRDefault="00431B16">
      <w:pPr>
        <w:jc w:val="left"/>
        <w:rPr>
          <w:rFonts w:ascii="Times New Roman" w:hAnsi="Times New Roman" w:cs="宋体"/>
          <w:color w:val="000000" w:themeColor="text1"/>
          <w:sz w:val="30"/>
          <w:szCs w:val="30"/>
        </w:rPr>
      </w:pPr>
      <w:r>
        <w:rPr>
          <w:rFonts w:ascii="Times New Roman" w:hAnsi="Times New Roman" w:cs="宋体" w:hint="eastAsia"/>
          <w:color w:val="000000" w:themeColor="text1"/>
          <w:sz w:val="30"/>
          <w:szCs w:val="30"/>
        </w:rPr>
        <w:lastRenderedPageBreak/>
        <w:t>附件</w:t>
      </w:r>
      <w:r>
        <w:rPr>
          <w:rFonts w:ascii="Times New Roman" w:hAnsi="Times New Roman" w:cs="宋体" w:hint="eastAsia"/>
          <w:color w:val="000000" w:themeColor="text1"/>
          <w:sz w:val="30"/>
          <w:szCs w:val="30"/>
        </w:rPr>
        <w:t>1</w:t>
      </w:r>
    </w:p>
    <w:p w:rsidR="0018700C" w:rsidRDefault="00431B16">
      <w:pPr>
        <w:jc w:val="center"/>
        <w:rPr>
          <w:rFonts w:ascii="Times New Roman" w:eastAsia="华文中宋" w:hAnsi="Times New Roman" w:cs="华文中宋"/>
          <w:b/>
          <w:color w:val="000000" w:themeColor="text1"/>
          <w:sz w:val="36"/>
          <w:szCs w:val="36"/>
        </w:rPr>
      </w:pPr>
      <w:r>
        <w:rPr>
          <w:rFonts w:ascii="Times New Roman" w:eastAsia="华文中宋" w:hAnsi="Times New Roman" w:cs="华文中宋" w:hint="eastAsia"/>
          <w:b/>
          <w:color w:val="000000" w:themeColor="text1"/>
          <w:sz w:val="36"/>
          <w:szCs w:val="36"/>
        </w:rPr>
        <w:t>上城区博物馆群落项目入驻评审表</w:t>
      </w:r>
    </w:p>
    <w:tbl>
      <w:tblPr>
        <w:tblW w:w="9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6"/>
        <w:gridCol w:w="1395"/>
        <w:gridCol w:w="840"/>
        <w:gridCol w:w="5070"/>
        <w:gridCol w:w="1307"/>
      </w:tblGrid>
      <w:tr w:rsidR="0018700C">
        <w:trPr>
          <w:trHeight w:val="688"/>
          <w:jc w:val="center"/>
        </w:trPr>
        <w:tc>
          <w:tcPr>
            <w:tcW w:w="726" w:type="dxa"/>
            <w:tcBorders>
              <w:top w:val="single" w:sz="4" w:space="0" w:color="000000"/>
              <w:left w:val="single" w:sz="4" w:space="0" w:color="000000"/>
              <w:bottom w:val="single" w:sz="4" w:space="0" w:color="000000"/>
              <w:right w:val="single" w:sz="4" w:space="0" w:color="000000"/>
            </w:tcBorders>
            <w:noWrap/>
            <w:vAlign w:val="center"/>
          </w:tcPr>
          <w:p w:rsidR="0018700C" w:rsidRDefault="00431B16">
            <w:pPr>
              <w:snapToGrid w:val="0"/>
              <w:jc w:val="center"/>
              <w:rPr>
                <w:rFonts w:ascii="Times New Roman" w:eastAsia="仿宋_GB2312" w:hAnsi="Times New Roman" w:cs="宋体"/>
                <w:b/>
                <w:color w:val="000000" w:themeColor="text1"/>
                <w:sz w:val="24"/>
                <w:szCs w:val="24"/>
              </w:rPr>
            </w:pPr>
            <w:r>
              <w:rPr>
                <w:rFonts w:ascii="Times New Roman" w:eastAsia="仿宋_GB2312" w:hAnsi="Times New Roman" w:cs="宋体" w:hint="eastAsia"/>
                <w:b/>
                <w:color w:val="000000" w:themeColor="text1"/>
                <w:sz w:val="24"/>
                <w:szCs w:val="24"/>
              </w:rPr>
              <w:t>类别</w:t>
            </w:r>
          </w:p>
        </w:tc>
        <w:tc>
          <w:tcPr>
            <w:tcW w:w="1395" w:type="dxa"/>
            <w:tcBorders>
              <w:top w:val="single" w:sz="4" w:space="0" w:color="000000"/>
              <w:left w:val="nil"/>
              <w:bottom w:val="single" w:sz="4" w:space="0" w:color="000000"/>
              <w:right w:val="single" w:sz="4" w:space="0" w:color="000000"/>
            </w:tcBorders>
            <w:noWrap/>
            <w:vAlign w:val="center"/>
          </w:tcPr>
          <w:p w:rsidR="0018700C" w:rsidRDefault="00431B16">
            <w:pPr>
              <w:snapToGrid w:val="0"/>
              <w:jc w:val="center"/>
              <w:rPr>
                <w:rFonts w:ascii="Times New Roman" w:eastAsia="仿宋_GB2312" w:hAnsi="Times New Roman" w:cs="宋体"/>
                <w:b/>
                <w:color w:val="000000" w:themeColor="text1"/>
                <w:sz w:val="24"/>
                <w:szCs w:val="24"/>
              </w:rPr>
            </w:pPr>
            <w:r>
              <w:rPr>
                <w:rFonts w:ascii="Times New Roman" w:eastAsia="仿宋_GB2312" w:hAnsi="Times New Roman" w:cs="宋体" w:hint="eastAsia"/>
                <w:b/>
                <w:color w:val="000000" w:themeColor="text1"/>
                <w:sz w:val="24"/>
                <w:szCs w:val="24"/>
              </w:rPr>
              <w:t>内容</w:t>
            </w:r>
          </w:p>
        </w:tc>
        <w:tc>
          <w:tcPr>
            <w:tcW w:w="840" w:type="dxa"/>
            <w:tcBorders>
              <w:top w:val="single" w:sz="4" w:space="0" w:color="000000"/>
              <w:left w:val="nil"/>
              <w:bottom w:val="single" w:sz="4" w:space="0" w:color="000000"/>
              <w:right w:val="single" w:sz="4" w:space="0" w:color="000000"/>
            </w:tcBorders>
            <w:noWrap/>
            <w:vAlign w:val="center"/>
          </w:tcPr>
          <w:p w:rsidR="0018700C" w:rsidRDefault="00431B16">
            <w:pPr>
              <w:snapToGrid w:val="0"/>
              <w:jc w:val="center"/>
              <w:rPr>
                <w:rFonts w:ascii="Times New Roman" w:eastAsia="仿宋_GB2312" w:hAnsi="Times New Roman" w:cs="宋体"/>
                <w:b/>
                <w:color w:val="000000" w:themeColor="text1"/>
                <w:sz w:val="24"/>
                <w:szCs w:val="24"/>
              </w:rPr>
            </w:pPr>
            <w:r>
              <w:rPr>
                <w:rFonts w:ascii="Times New Roman" w:eastAsia="仿宋_GB2312" w:hAnsi="Times New Roman" w:cs="宋体" w:hint="eastAsia"/>
                <w:b/>
                <w:color w:val="000000" w:themeColor="text1"/>
                <w:sz w:val="24"/>
                <w:szCs w:val="24"/>
              </w:rPr>
              <w:t>分值</w:t>
            </w:r>
          </w:p>
        </w:tc>
        <w:tc>
          <w:tcPr>
            <w:tcW w:w="5070" w:type="dxa"/>
            <w:tcBorders>
              <w:top w:val="single" w:sz="4" w:space="0" w:color="000000"/>
              <w:left w:val="nil"/>
              <w:bottom w:val="single" w:sz="4" w:space="0" w:color="000000"/>
              <w:right w:val="single" w:sz="4" w:space="0" w:color="000000"/>
            </w:tcBorders>
            <w:noWrap/>
            <w:vAlign w:val="center"/>
          </w:tcPr>
          <w:p w:rsidR="0018700C" w:rsidRDefault="00431B16">
            <w:pPr>
              <w:snapToGrid w:val="0"/>
              <w:jc w:val="center"/>
              <w:rPr>
                <w:rFonts w:ascii="Times New Roman" w:eastAsia="仿宋_GB2312" w:hAnsi="Times New Roman" w:cs="宋体"/>
                <w:b/>
                <w:color w:val="000000" w:themeColor="text1"/>
                <w:sz w:val="24"/>
                <w:szCs w:val="24"/>
              </w:rPr>
            </w:pPr>
            <w:r>
              <w:rPr>
                <w:rFonts w:ascii="Times New Roman" w:eastAsia="仿宋_GB2312" w:hAnsi="Times New Roman" w:cs="宋体" w:hint="eastAsia"/>
                <w:b/>
                <w:color w:val="000000" w:themeColor="text1"/>
                <w:sz w:val="24"/>
                <w:szCs w:val="24"/>
              </w:rPr>
              <w:t>内</w:t>
            </w:r>
            <w:r>
              <w:rPr>
                <w:rFonts w:ascii="Times New Roman" w:eastAsia="仿宋_GB2312" w:hAnsi="Times New Roman" w:cs="宋体" w:hint="eastAsia"/>
                <w:b/>
                <w:color w:val="000000" w:themeColor="text1"/>
                <w:sz w:val="24"/>
                <w:szCs w:val="24"/>
              </w:rPr>
              <w:t xml:space="preserve">  </w:t>
            </w:r>
            <w:r>
              <w:rPr>
                <w:rFonts w:ascii="Times New Roman" w:eastAsia="仿宋_GB2312" w:hAnsi="Times New Roman" w:cs="宋体" w:hint="eastAsia"/>
                <w:b/>
                <w:color w:val="000000" w:themeColor="text1"/>
                <w:sz w:val="24"/>
                <w:szCs w:val="24"/>
              </w:rPr>
              <w:t>容</w:t>
            </w:r>
          </w:p>
        </w:tc>
        <w:tc>
          <w:tcPr>
            <w:tcW w:w="1307" w:type="dxa"/>
            <w:tcBorders>
              <w:top w:val="single" w:sz="4" w:space="0" w:color="000000"/>
              <w:left w:val="nil"/>
              <w:bottom w:val="single" w:sz="4" w:space="0" w:color="000000"/>
              <w:right w:val="single" w:sz="4" w:space="0" w:color="000000"/>
            </w:tcBorders>
            <w:noWrap/>
            <w:vAlign w:val="center"/>
          </w:tcPr>
          <w:p w:rsidR="0018700C" w:rsidRDefault="00431B16">
            <w:pPr>
              <w:snapToGrid w:val="0"/>
              <w:jc w:val="center"/>
              <w:rPr>
                <w:rFonts w:ascii="Times New Roman" w:eastAsia="仿宋_GB2312" w:hAnsi="Times New Roman" w:cs="宋体"/>
                <w:b/>
                <w:color w:val="000000" w:themeColor="text1"/>
                <w:sz w:val="24"/>
                <w:szCs w:val="24"/>
              </w:rPr>
            </w:pPr>
            <w:r>
              <w:rPr>
                <w:rFonts w:ascii="Times New Roman" w:eastAsia="仿宋_GB2312" w:hAnsi="Times New Roman" w:cs="宋体" w:hint="eastAsia"/>
                <w:b/>
                <w:color w:val="000000" w:themeColor="text1"/>
                <w:sz w:val="24"/>
                <w:szCs w:val="24"/>
              </w:rPr>
              <w:t>评审办法</w:t>
            </w:r>
          </w:p>
        </w:tc>
      </w:tr>
      <w:tr w:rsidR="0018700C">
        <w:trPr>
          <w:trHeight w:val="696"/>
          <w:jc w:val="center"/>
        </w:trPr>
        <w:tc>
          <w:tcPr>
            <w:tcW w:w="726" w:type="dxa"/>
            <w:vMerge w:val="restart"/>
            <w:tcBorders>
              <w:top w:val="nil"/>
              <w:left w:val="single" w:sz="4" w:space="0" w:color="000000"/>
              <w:right w:val="single" w:sz="4" w:space="0" w:color="000000"/>
            </w:tcBorders>
            <w:noWrap/>
            <w:vAlign w:val="center"/>
          </w:tcPr>
          <w:p w:rsidR="0018700C" w:rsidRDefault="00431B16">
            <w:pPr>
              <w:snapToGrid w:val="0"/>
              <w:spacing w:line="300" w:lineRule="exact"/>
              <w:jc w:val="center"/>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基本条件</w:t>
            </w:r>
          </w:p>
        </w:tc>
        <w:tc>
          <w:tcPr>
            <w:tcW w:w="1395" w:type="dxa"/>
            <w:tcBorders>
              <w:top w:val="nil"/>
              <w:left w:val="nil"/>
              <w:bottom w:val="single" w:sz="4" w:space="0" w:color="000000"/>
              <w:right w:val="single" w:sz="4" w:space="0" w:color="000000"/>
            </w:tcBorders>
            <w:noWrap/>
            <w:vAlign w:val="center"/>
          </w:tcPr>
          <w:p w:rsidR="0018700C" w:rsidRDefault="00431B16">
            <w:pPr>
              <w:snapToGrid w:val="0"/>
              <w:spacing w:line="300" w:lineRule="exact"/>
              <w:jc w:val="center"/>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项目类型</w:t>
            </w:r>
            <w:r>
              <w:rPr>
                <w:rFonts w:ascii="Times New Roman" w:eastAsia="仿宋_GB2312" w:hAnsi="Times New Roman" w:cs="方正仿宋_GB2312" w:hint="eastAsia"/>
                <w:color w:val="000000" w:themeColor="text1"/>
                <w:sz w:val="24"/>
                <w:szCs w:val="24"/>
              </w:rPr>
              <w:t xml:space="preserve"> </w:t>
            </w:r>
          </w:p>
        </w:tc>
        <w:tc>
          <w:tcPr>
            <w:tcW w:w="840" w:type="dxa"/>
            <w:tcBorders>
              <w:top w:val="single" w:sz="4" w:space="0" w:color="000000"/>
              <w:left w:val="nil"/>
              <w:bottom w:val="single" w:sz="4" w:space="0" w:color="auto"/>
              <w:right w:val="single" w:sz="4" w:space="0" w:color="000000"/>
            </w:tcBorders>
            <w:noWrap/>
            <w:vAlign w:val="center"/>
          </w:tcPr>
          <w:p w:rsidR="0018700C" w:rsidRDefault="00431B16">
            <w:pPr>
              <w:snapToGrid w:val="0"/>
              <w:spacing w:line="300" w:lineRule="exact"/>
              <w:jc w:val="center"/>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5</w:t>
            </w:r>
            <w:r>
              <w:rPr>
                <w:rFonts w:ascii="Times New Roman" w:eastAsia="仿宋_GB2312" w:hAnsi="Times New Roman" w:cs="方正仿宋_GB2312" w:hint="eastAsia"/>
                <w:color w:val="000000" w:themeColor="text1"/>
                <w:sz w:val="24"/>
                <w:szCs w:val="24"/>
              </w:rPr>
              <w:t>分</w:t>
            </w:r>
          </w:p>
        </w:tc>
        <w:tc>
          <w:tcPr>
            <w:tcW w:w="5070" w:type="dxa"/>
            <w:tcBorders>
              <w:top w:val="single" w:sz="4" w:space="0" w:color="000000"/>
              <w:left w:val="nil"/>
              <w:bottom w:val="single" w:sz="4" w:space="0" w:color="auto"/>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文物行政部门注册备案的非国有博物馆得</w:t>
            </w:r>
            <w:r>
              <w:rPr>
                <w:rFonts w:ascii="Times New Roman" w:eastAsia="仿宋_GB2312" w:hAnsi="Times New Roman" w:cs="方正仿宋_GB2312" w:hint="eastAsia"/>
                <w:color w:val="000000" w:themeColor="text1"/>
                <w:sz w:val="24"/>
                <w:szCs w:val="24"/>
              </w:rPr>
              <w:t>5</w:t>
            </w:r>
            <w:r>
              <w:rPr>
                <w:rFonts w:ascii="Times New Roman" w:eastAsia="仿宋_GB2312" w:hAnsi="Times New Roman" w:cs="方正仿宋_GB2312" w:hint="eastAsia"/>
                <w:color w:val="000000" w:themeColor="text1"/>
                <w:sz w:val="24"/>
                <w:szCs w:val="24"/>
              </w:rPr>
              <w:t>分，工商或民政注册的企业或民办非企得</w:t>
            </w:r>
            <w:r>
              <w:rPr>
                <w:rFonts w:ascii="Times New Roman" w:eastAsia="仿宋_GB2312" w:hAnsi="Times New Roman" w:cs="方正仿宋_GB2312" w:hint="eastAsia"/>
                <w:color w:val="000000" w:themeColor="text1"/>
                <w:sz w:val="24"/>
                <w:szCs w:val="24"/>
              </w:rPr>
              <w:t>3</w:t>
            </w:r>
            <w:r>
              <w:rPr>
                <w:rFonts w:ascii="Times New Roman" w:eastAsia="仿宋_GB2312" w:hAnsi="Times New Roman" w:cs="方正仿宋_GB2312" w:hint="eastAsia"/>
                <w:color w:val="000000" w:themeColor="text1"/>
                <w:sz w:val="24"/>
                <w:szCs w:val="24"/>
              </w:rPr>
              <w:t>分。</w:t>
            </w:r>
          </w:p>
        </w:tc>
        <w:tc>
          <w:tcPr>
            <w:tcW w:w="1307" w:type="dxa"/>
            <w:vMerge w:val="restart"/>
            <w:tcBorders>
              <w:top w:val="single" w:sz="4" w:space="0" w:color="000000"/>
              <w:left w:val="nil"/>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提供法人证或营业执照、藏品清单和合法来源证明、人员花名册、证书等佐证材料，评审组审核。</w:t>
            </w:r>
          </w:p>
        </w:tc>
      </w:tr>
      <w:tr w:rsidR="0018700C">
        <w:trPr>
          <w:trHeight w:val="696"/>
          <w:jc w:val="center"/>
        </w:trPr>
        <w:tc>
          <w:tcPr>
            <w:tcW w:w="726" w:type="dxa"/>
            <w:vMerge/>
            <w:tcBorders>
              <w:left w:val="single" w:sz="4" w:space="0" w:color="000000"/>
              <w:right w:val="single" w:sz="4" w:space="0" w:color="000000"/>
            </w:tcBorders>
            <w:noWrap/>
            <w:vAlign w:val="center"/>
          </w:tcPr>
          <w:p w:rsidR="0018700C" w:rsidRDefault="0018700C">
            <w:pPr>
              <w:snapToGrid w:val="0"/>
              <w:spacing w:line="300" w:lineRule="exact"/>
              <w:jc w:val="center"/>
              <w:rPr>
                <w:rFonts w:ascii="Times New Roman" w:eastAsia="仿宋_GB2312" w:hAnsi="Times New Roman" w:cs="方正仿宋_GB2312"/>
                <w:color w:val="000000" w:themeColor="text1"/>
                <w:sz w:val="24"/>
                <w:szCs w:val="24"/>
              </w:rPr>
            </w:pPr>
          </w:p>
        </w:tc>
        <w:tc>
          <w:tcPr>
            <w:tcW w:w="1395" w:type="dxa"/>
            <w:tcBorders>
              <w:top w:val="nil"/>
              <w:left w:val="nil"/>
              <w:bottom w:val="single" w:sz="4" w:space="0" w:color="auto"/>
              <w:right w:val="single" w:sz="4" w:space="0" w:color="000000"/>
            </w:tcBorders>
            <w:noWrap/>
            <w:vAlign w:val="center"/>
          </w:tcPr>
          <w:p w:rsidR="0018700C" w:rsidRDefault="00431B16">
            <w:pPr>
              <w:snapToGrid w:val="0"/>
              <w:spacing w:line="300" w:lineRule="exact"/>
              <w:jc w:val="center"/>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藏品数量</w:t>
            </w:r>
          </w:p>
        </w:tc>
        <w:tc>
          <w:tcPr>
            <w:tcW w:w="840" w:type="dxa"/>
            <w:tcBorders>
              <w:top w:val="single" w:sz="4" w:space="0" w:color="000000"/>
              <w:left w:val="nil"/>
              <w:bottom w:val="single" w:sz="4" w:space="0" w:color="auto"/>
              <w:right w:val="single" w:sz="4" w:space="0" w:color="000000"/>
            </w:tcBorders>
            <w:noWrap/>
            <w:vAlign w:val="center"/>
          </w:tcPr>
          <w:p w:rsidR="0018700C" w:rsidRDefault="00431B16">
            <w:pPr>
              <w:snapToGrid w:val="0"/>
              <w:spacing w:line="300" w:lineRule="exact"/>
              <w:jc w:val="center"/>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10</w:t>
            </w:r>
            <w:r>
              <w:rPr>
                <w:rFonts w:ascii="Times New Roman" w:eastAsia="仿宋_GB2312" w:hAnsi="Times New Roman" w:cs="方正仿宋_GB2312" w:hint="eastAsia"/>
                <w:color w:val="000000" w:themeColor="text1"/>
                <w:sz w:val="24"/>
                <w:szCs w:val="24"/>
              </w:rPr>
              <w:t>分</w:t>
            </w:r>
          </w:p>
        </w:tc>
        <w:tc>
          <w:tcPr>
            <w:tcW w:w="5070"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藏品数量达到</w:t>
            </w:r>
            <w:r>
              <w:rPr>
                <w:rFonts w:ascii="Times New Roman" w:eastAsia="仿宋_GB2312" w:hAnsi="Times New Roman" w:cs="方正仿宋_GB2312" w:hint="eastAsia"/>
                <w:color w:val="000000" w:themeColor="text1"/>
                <w:sz w:val="24"/>
                <w:szCs w:val="24"/>
              </w:rPr>
              <w:t>1000</w:t>
            </w:r>
            <w:r>
              <w:rPr>
                <w:rFonts w:ascii="Times New Roman" w:eastAsia="仿宋_GB2312" w:hAnsi="Times New Roman" w:cs="方正仿宋_GB2312" w:hint="eastAsia"/>
                <w:color w:val="000000" w:themeColor="text1"/>
                <w:sz w:val="24"/>
                <w:szCs w:val="24"/>
              </w:rPr>
              <w:t>件（套）得</w:t>
            </w:r>
            <w:r>
              <w:rPr>
                <w:rFonts w:ascii="Times New Roman" w:eastAsia="仿宋_GB2312" w:hAnsi="Times New Roman" w:cs="方正仿宋_GB2312" w:hint="eastAsia"/>
                <w:color w:val="000000" w:themeColor="text1"/>
                <w:sz w:val="24"/>
                <w:szCs w:val="24"/>
              </w:rPr>
              <w:t>5</w:t>
            </w:r>
            <w:r>
              <w:rPr>
                <w:rFonts w:ascii="Times New Roman" w:eastAsia="仿宋_GB2312" w:hAnsi="Times New Roman" w:cs="方正仿宋_GB2312" w:hint="eastAsia"/>
                <w:color w:val="000000" w:themeColor="text1"/>
                <w:sz w:val="24"/>
                <w:szCs w:val="24"/>
              </w:rPr>
              <w:t>分，每增加</w:t>
            </w:r>
            <w:r>
              <w:rPr>
                <w:rFonts w:ascii="Times New Roman" w:eastAsia="仿宋_GB2312" w:hAnsi="Times New Roman" w:cs="方正仿宋_GB2312" w:hint="eastAsia"/>
                <w:color w:val="000000" w:themeColor="text1"/>
                <w:sz w:val="24"/>
                <w:szCs w:val="24"/>
              </w:rPr>
              <w:t>100</w:t>
            </w:r>
            <w:r>
              <w:rPr>
                <w:rFonts w:ascii="Times New Roman" w:eastAsia="仿宋_GB2312" w:hAnsi="Times New Roman" w:cs="方正仿宋_GB2312" w:hint="eastAsia"/>
                <w:color w:val="000000" w:themeColor="text1"/>
                <w:sz w:val="24"/>
                <w:szCs w:val="24"/>
              </w:rPr>
              <w:t>件加</w:t>
            </w:r>
            <w:r>
              <w:rPr>
                <w:rFonts w:ascii="Times New Roman" w:eastAsia="仿宋_GB2312" w:hAnsi="Times New Roman" w:cs="方正仿宋_GB2312" w:hint="eastAsia"/>
                <w:color w:val="000000" w:themeColor="text1"/>
                <w:sz w:val="24"/>
                <w:szCs w:val="24"/>
              </w:rPr>
              <w:t>1</w:t>
            </w:r>
            <w:r>
              <w:rPr>
                <w:rFonts w:ascii="Times New Roman" w:eastAsia="仿宋_GB2312" w:hAnsi="Times New Roman" w:cs="方正仿宋_GB2312" w:hint="eastAsia"/>
                <w:color w:val="000000" w:themeColor="text1"/>
                <w:sz w:val="24"/>
                <w:szCs w:val="24"/>
              </w:rPr>
              <w:t>分，最高</w:t>
            </w:r>
            <w:r>
              <w:rPr>
                <w:rFonts w:ascii="Times New Roman" w:eastAsia="仿宋_GB2312" w:hAnsi="Times New Roman" w:cs="方正仿宋_GB2312" w:hint="eastAsia"/>
                <w:color w:val="000000" w:themeColor="text1"/>
                <w:sz w:val="24"/>
                <w:szCs w:val="24"/>
              </w:rPr>
              <w:t>10</w:t>
            </w:r>
            <w:r>
              <w:rPr>
                <w:rFonts w:ascii="Times New Roman" w:eastAsia="仿宋_GB2312" w:hAnsi="Times New Roman" w:cs="方正仿宋_GB2312" w:hint="eastAsia"/>
                <w:color w:val="000000" w:themeColor="text1"/>
                <w:sz w:val="24"/>
                <w:szCs w:val="24"/>
              </w:rPr>
              <w:t>分。</w:t>
            </w:r>
          </w:p>
        </w:tc>
        <w:tc>
          <w:tcPr>
            <w:tcW w:w="1307" w:type="dxa"/>
            <w:vMerge/>
            <w:tcBorders>
              <w:left w:val="nil"/>
              <w:right w:val="single" w:sz="4" w:space="0" w:color="000000"/>
            </w:tcBorders>
            <w:noWrap/>
            <w:vAlign w:val="center"/>
          </w:tcPr>
          <w:p w:rsidR="0018700C" w:rsidRDefault="0018700C">
            <w:pPr>
              <w:snapToGrid w:val="0"/>
              <w:spacing w:line="300" w:lineRule="exact"/>
              <w:rPr>
                <w:rFonts w:ascii="Times New Roman" w:eastAsia="仿宋_GB2312" w:hAnsi="Times New Roman" w:cs="方正仿宋_GB2312"/>
                <w:color w:val="000000" w:themeColor="text1"/>
                <w:sz w:val="24"/>
                <w:szCs w:val="24"/>
              </w:rPr>
            </w:pPr>
          </w:p>
        </w:tc>
      </w:tr>
      <w:tr w:rsidR="0018700C">
        <w:trPr>
          <w:trHeight w:val="696"/>
          <w:jc w:val="center"/>
        </w:trPr>
        <w:tc>
          <w:tcPr>
            <w:tcW w:w="726" w:type="dxa"/>
            <w:vMerge/>
            <w:tcBorders>
              <w:left w:val="single" w:sz="4" w:space="0" w:color="000000"/>
              <w:right w:val="single" w:sz="4" w:space="0" w:color="000000"/>
            </w:tcBorders>
            <w:noWrap/>
            <w:vAlign w:val="center"/>
          </w:tcPr>
          <w:p w:rsidR="0018700C" w:rsidRDefault="0018700C">
            <w:pPr>
              <w:spacing w:line="300" w:lineRule="exact"/>
              <w:ind w:firstLineChars="71" w:firstLine="170"/>
              <w:jc w:val="left"/>
              <w:rPr>
                <w:rFonts w:ascii="Times New Roman" w:eastAsia="仿宋_GB2312" w:hAnsi="Times New Roman" w:cs="方正仿宋_GB2312"/>
                <w:color w:val="000000" w:themeColor="text1"/>
                <w:sz w:val="24"/>
                <w:szCs w:val="24"/>
              </w:rPr>
            </w:pPr>
          </w:p>
        </w:tc>
        <w:tc>
          <w:tcPr>
            <w:tcW w:w="1395" w:type="dxa"/>
            <w:tcBorders>
              <w:top w:val="single" w:sz="4" w:space="0" w:color="auto"/>
              <w:left w:val="nil"/>
              <w:bottom w:val="single" w:sz="4" w:space="0" w:color="000000"/>
              <w:right w:val="single" w:sz="4" w:space="0" w:color="000000"/>
            </w:tcBorders>
            <w:noWrap/>
            <w:vAlign w:val="center"/>
          </w:tcPr>
          <w:p w:rsidR="0018700C" w:rsidRDefault="00431B16">
            <w:pPr>
              <w:spacing w:line="300" w:lineRule="exact"/>
              <w:ind w:firstLineChars="50" w:firstLine="120"/>
              <w:jc w:val="lef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藏品质量</w:t>
            </w:r>
          </w:p>
        </w:tc>
        <w:tc>
          <w:tcPr>
            <w:tcW w:w="840" w:type="dxa"/>
            <w:tcBorders>
              <w:top w:val="single" w:sz="4" w:space="0" w:color="auto"/>
              <w:left w:val="nil"/>
              <w:bottom w:val="single" w:sz="4" w:space="0" w:color="000000"/>
              <w:right w:val="single" w:sz="4" w:space="0" w:color="000000"/>
            </w:tcBorders>
            <w:noWrap/>
            <w:vAlign w:val="center"/>
          </w:tcPr>
          <w:p w:rsidR="0018700C" w:rsidRDefault="00431B16">
            <w:pPr>
              <w:snapToGrid w:val="0"/>
              <w:spacing w:line="300" w:lineRule="exact"/>
              <w:jc w:val="center"/>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5</w:t>
            </w:r>
            <w:r>
              <w:rPr>
                <w:rFonts w:ascii="Times New Roman" w:eastAsia="仿宋_GB2312" w:hAnsi="Times New Roman" w:cs="方正仿宋_GB2312" w:hint="eastAsia"/>
                <w:color w:val="000000" w:themeColor="text1"/>
                <w:sz w:val="24"/>
                <w:szCs w:val="24"/>
              </w:rPr>
              <w:t>分</w:t>
            </w:r>
          </w:p>
        </w:tc>
        <w:tc>
          <w:tcPr>
            <w:tcW w:w="5070"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拥有国家三级以上文物</w:t>
            </w:r>
            <w:r>
              <w:rPr>
                <w:rFonts w:ascii="Times New Roman" w:eastAsia="仿宋_GB2312" w:hAnsi="Times New Roman" w:cs="方正仿宋_GB2312" w:hint="eastAsia"/>
                <w:color w:val="000000" w:themeColor="text1"/>
                <w:sz w:val="24"/>
                <w:szCs w:val="24"/>
              </w:rPr>
              <w:t>3</w:t>
            </w:r>
            <w:r>
              <w:rPr>
                <w:rFonts w:ascii="Times New Roman" w:eastAsia="仿宋_GB2312" w:hAnsi="Times New Roman" w:cs="方正仿宋_GB2312" w:hint="eastAsia"/>
                <w:color w:val="000000" w:themeColor="text1"/>
                <w:sz w:val="24"/>
                <w:szCs w:val="24"/>
              </w:rPr>
              <w:t>件（套），或市级工艺美术大师、市级非遗代表性传承人作品</w:t>
            </w:r>
            <w:r>
              <w:rPr>
                <w:rFonts w:ascii="Times New Roman" w:eastAsia="仿宋_GB2312" w:hAnsi="Times New Roman" w:cs="方正仿宋_GB2312" w:hint="eastAsia"/>
                <w:color w:val="000000" w:themeColor="text1"/>
                <w:sz w:val="24"/>
                <w:szCs w:val="24"/>
              </w:rPr>
              <w:t>10</w:t>
            </w:r>
            <w:r>
              <w:rPr>
                <w:rFonts w:ascii="Times New Roman" w:eastAsia="仿宋_GB2312" w:hAnsi="Times New Roman" w:cs="方正仿宋_GB2312" w:hint="eastAsia"/>
                <w:color w:val="000000" w:themeColor="text1"/>
                <w:sz w:val="24"/>
                <w:szCs w:val="24"/>
              </w:rPr>
              <w:t>件得</w:t>
            </w:r>
            <w:r>
              <w:rPr>
                <w:rFonts w:ascii="Times New Roman" w:eastAsia="仿宋_GB2312" w:hAnsi="Times New Roman" w:cs="方正仿宋_GB2312" w:hint="eastAsia"/>
                <w:color w:val="000000" w:themeColor="text1"/>
                <w:sz w:val="24"/>
                <w:szCs w:val="24"/>
              </w:rPr>
              <w:t>3</w:t>
            </w:r>
            <w:r>
              <w:rPr>
                <w:rFonts w:ascii="Times New Roman" w:eastAsia="仿宋_GB2312" w:hAnsi="Times New Roman" w:cs="方正仿宋_GB2312" w:hint="eastAsia"/>
                <w:color w:val="000000" w:themeColor="text1"/>
                <w:sz w:val="24"/>
                <w:szCs w:val="24"/>
              </w:rPr>
              <w:t>分，每增加</w:t>
            </w:r>
            <w:r>
              <w:rPr>
                <w:rFonts w:ascii="Times New Roman" w:eastAsia="仿宋_GB2312" w:hAnsi="Times New Roman" w:cs="方正仿宋_GB2312" w:hint="eastAsia"/>
                <w:color w:val="000000" w:themeColor="text1"/>
                <w:sz w:val="24"/>
                <w:szCs w:val="24"/>
              </w:rPr>
              <w:t>1</w:t>
            </w:r>
            <w:r>
              <w:rPr>
                <w:rFonts w:ascii="Times New Roman" w:eastAsia="仿宋_GB2312" w:hAnsi="Times New Roman" w:cs="方正仿宋_GB2312" w:hint="eastAsia"/>
                <w:color w:val="000000" w:themeColor="text1"/>
                <w:sz w:val="24"/>
                <w:szCs w:val="24"/>
              </w:rPr>
              <w:t>件（套）加</w:t>
            </w:r>
            <w:r>
              <w:rPr>
                <w:rFonts w:ascii="Times New Roman" w:eastAsia="仿宋_GB2312" w:hAnsi="Times New Roman" w:cs="方正仿宋_GB2312" w:hint="eastAsia"/>
                <w:color w:val="000000" w:themeColor="text1"/>
                <w:sz w:val="24"/>
                <w:szCs w:val="24"/>
              </w:rPr>
              <w:t>1</w:t>
            </w:r>
            <w:r>
              <w:rPr>
                <w:rFonts w:ascii="Times New Roman" w:eastAsia="仿宋_GB2312" w:hAnsi="Times New Roman" w:cs="方正仿宋_GB2312" w:hint="eastAsia"/>
                <w:color w:val="000000" w:themeColor="text1"/>
                <w:sz w:val="24"/>
                <w:szCs w:val="24"/>
              </w:rPr>
              <w:t>分，最高</w:t>
            </w:r>
            <w:r>
              <w:rPr>
                <w:rFonts w:ascii="Times New Roman" w:eastAsia="仿宋_GB2312" w:hAnsi="Times New Roman" w:cs="方正仿宋_GB2312" w:hint="eastAsia"/>
                <w:color w:val="000000" w:themeColor="text1"/>
                <w:sz w:val="24"/>
                <w:szCs w:val="24"/>
              </w:rPr>
              <w:t>5</w:t>
            </w:r>
            <w:r>
              <w:rPr>
                <w:rFonts w:ascii="Times New Roman" w:eastAsia="仿宋_GB2312" w:hAnsi="Times New Roman" w:cs="方正仿宋_GB2312" w:hint="eastAsia"/>
                <w:color w:val="000000" w:themeColor="text1"/>
                <w:sz w:val="24"/>
                <w:szCs w:val="24"/>
              </w:rPr>
              <w:t>分。</w:t>
            </w:r>
          </w:p>
        </w:tc>
        <w:tc>
          <w:tcPr>
            <w:tcW w:w="1307" w:type="dxa"/>
            <w:vMerge/>
            <w:tcBorders>
              <w:left w:val="nil"/>
              <w:right w:val="single" w:sz="4" w:space="0" w:color="000000"/>
            </w:tcBorders>
            <w:noWrap/>
            <w:vAlign w:val="center"/>
          </w:tcPr>
          <w:p w:rsidR="0018700C" w:rsidRDefault="0018700C">
            <w:pPr>
              <w:snapToGrid w:val="0"/>
              <w:spacing w:line="300" w:lineRule="exact"/>
              <w:rPr>
                <w:rFonts w:ascii="Times New Roman" w:eastAsia="仿宋_GB2312" w:hAnsi="Times New Roman" w:cs="方正仿宋_GB2312"/>
                <w:color w:val="000000" w:themeColor="text1"/>
                <w:sz w:val="24"/>
                <w:szCs w:val="24"/>
              </w:rPr>
            </w:pPr>
          </w:p>
        </w:tc>
      </w:tr>
      <w:tr w:rsidR="0018700C">
        <w:trPr>
          <w:trHeight w:val="837"/>
          <w:jc w:val="center"/>
        </w:trPr>
        <w:tc>
          <w:tcPr>
            <w:tcW w:w="726" w:type="dxa"/>
            <w:vMerge/>
            <w:tcBorders>
              <w:left w:val="single" w:sz="4" w:space="0" w:color="000000"/>
              <w:right w:val="single" w:sz="4" w:space="0" w:color="000000"/>
            </w:tcBorders>
            <w:noWrap/>
            <w:vAlign w:val="center"/>
          </w:tcPr>
          <w:p w:rsidR="0018700C" w:rsidRDefault="0018700C">
            <w:pPr>
              <w:snapToGrid w:val="0"/>
              <w:spacing w:line="300" w:lineRule="exact"/>
              <w:jc w:val="center"/>
              <w:rPr>
                <w:rFonts w:ascii="Times New Roman" w:eastAsia="仿宋_GB2312" w:hAnsi="Times New Roman" w:cs="方正仿宋_GB2312"/>
                <w:color w:val="000000" w:themeColor="text1"/>
                <w:sz w:val="24"/>
                <w:szCs w:val="24"/>
              </w:rPr>
            </w:pPr>
          </w:p>
        </w:tc>
        <w:tc>
          <w:tcPr>
            <w:tcW w:w="1395" w:type="dxa"/>
            <w:tcBorders>
              <w:top w:val="nil"/>
              <w:left w:val="nil"/>
              <w:bottom w:val="single" w:sz="4" w:space="0" w:color="auto"/>
              <w:right w:val="single" w:sz="4" w:space="0" w:color="000000"/>
            </w:tcBorders>
            <w:noWrap/>
            <w:vAlign w:val="center"/>
          </w:tcPr>
          <w:p w:rsidR="0018700C" w:rsidRDefault="00431B16">
            <w:pPr>
              <w:snapToGrid w:val="0"/>
              <w:spacing w:line="300" w:lineRule="exact"/>
              <w:jc w:val="center"/>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管理团队</w:t>
            </w:r>
          </w:p>
        </w:tc>
        <w:tc>
          <w:tcPr>
            <w:tcW w:w="840" w:type="dxa"/>
            <w:tcBorders>
              <w:top w:val="single" w:sz="4" w:space="0" w:color="000000"/>
              <w:left w:val="nil"/>
              <w:bottom w:val="single" w:sz="4" w:space="0" w:color="auto"/>
              <w:right w:val="single" w:sz="4" w:space="0" w:color="000000"/>
            </w:tcBorders>
            <w:noWrap/>
            <w:vAlign w:val="center"/>
          </w:tcPr>
          <w:p w:rsidR="0018700C" w:rsidRDefault="00431B16">
            <w:pPr>
              <w:snapToGrid w:val="0"/>
              <w:spacing w:line="300" w:lineRule="exact"/>
              <w:jc w:val="center"/>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5</w:t>
            </w:r>
            <w:r>
              <w:rPr>
                <w:rFonts w:ascii="Times New Roman" w:eastAsia="仿宋_GB2312" w:hAnsi="Times New Roman" w:cs="方正仿宋_GB2312" w:hint="eastAsia"/>
                <w:color w:val="000000" w:themeColor="text1"/>
                <w:sz w:val="24"/>
                <w:szCs w:val="24"/>
              </w:rPr>
              <w:t>分</w:t>
            </w:r>
          </w:p>
        </w:tc>
        <w:tc>
          <w:tcPr>
            <w:tcW w:w="5070" w:type="dxa"/>
            <w:tcBorders>
              <w:top w:val="single" w:sz="4" w:space="0" w:color="000000"/>
              <w:left w:val="nil"/>
              <w:bottom w:val="single" w:sz="4" w:space="0" w:color="auto"/>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具有组织完备的管理运营队伍，专职人员不少于</w:t>
            </w:r>
            <w:r>
              <w:rPr>
                <w:rFonts w:ascii="Times New Roman" w:eastAsia="仿宋_GB2312" w:hAnsi="Times New Roman" w:cs="方正仿宋_GB2312" w:hint="eastAsia"/>
                <w:color w:val="000000" w:themeColor="text1"/>
                <w:sz w:val="24"/>
                <w:szCs w:val="24"/>
              </w:rPr>
              <w:t>3</w:t>
            </w:r>
            <w:r>
              <w:rPr>
                <w:rFonts w:ascii="Times New Roman" w:eastAsia="仿宋_GB2312" w:hAnsi="Times New Roman" w:cs="方正仿宋_GB2312" w:hint="eastAsia"/>
                <w:color w:val="000000" w:themeColor="text1"/>
                <w:sz w:val="24"/>
                <w:szCs w:val="24"/>
              </w:rPr>
              <w:t>人，团队人员拥有相关学术专业学历，大专以上，得</w:t>
            </w:r>
            <w:r>
              <w:rPr>
                <w:rFonts w:ascii="Times New Roman" w:eastAsia="仿宋_GB2312" w:hAnsi="Times New Roman" w:cs="方正仿宋_GB2312" w:hint="eastAsia"/>
                <w:color w:val="000000" w:themeColor="text1"/>
                <w:sz w:val="24"/>
                <w:szCs w:val="24"/>
              </w:rPr>
              <w:t>3</w:t>
            </w:r>
            <w:r>
              <w:rPr>
                <w:rFonts w:ascii="Times New Roman" w:eastAsia="仿宋_GB2312" w:hAnsi="Times New Roman" w:cs="方正仿宋_GB2312" w:hint="eastAsia"/>
                <w:color w:val="000000" w:themeColor="text1"/>
                <w:sz w:val="24"/>
                <w:szCs w:val="24"/>
              </w:rPr>
              <w:t>分。每增加</w:t>
            </w:r>
            <w:r>
              <w:rPr>
                <w:rFonts w:ascii="Times New Roman" w:eastAsia="仿宋_GB2312" w:hAnsi="Times New Roman" w:cs="方正仿宋_GB2312" w:hint="eastAsia"/>
                <w:color w:val="000000" w:themeColor="text1"/>
                <w:sz w:val="24"/>
                <w:szCs w:val="24"/>
              </w:rPr>
              <w:t>1</w:t>
            </w:r>
            <w:r>
              <w:rPr>
                <w:rFonts w:ascii="Times New Roman" w:eastAsia="仿宋_GB2312" w:hAnsi="Times New Roman" w:cs="方正仿宋_GB2312" w:hint="eastAsia"/>
                <w:color w:val="000000" w:themeColor="text1"/>
                <w:sz w:val="24"/>
                <w:szCs w:val="24"/>
              </w:rPr>
              <w:t>人加</w:t>
            </w:r>
            <w:r>
              <w:rPr>
                <w:rFonts w:ascii="Times New Roman" w:eastAsia="仿宋_GB2312" w:hAnsi="Times New Roman" w:cs="方正仿宋_GB2312" w:hint="eastAsia"/>
                <w:color w:val="000000" w:themeColor="text1"/>
                <w:sz w:val="24"/>
                <w:szCs w:val="24"/>
              </w:rPr>
              <w:t>1</w:t>
            </w:r>
            <w:r>
              <w:rPr>
                <w:rFonts w:ascii="Times New Roman" w:eastAsia="仿宋_GB2312" w:hAnsi="Times New Roman" w:cs="方正仿宋_GB2312" w:hint="eastAsia"/>
                <w:color w:val="000000" w:themeColor="text1"/>
                <w:sz w:val="24"/>
                <w:szCs w:val="24"/>
              </w:rPr>
              <w:t>分，最高</w:t>
            </w:r>
            <w:r>
              <w:rPr>
                <w:rFonts w:ascii="Times New Roman" w:eastAsia="仿宋_GB2312" w:hAnsi="Times New Roman" w:cs="方正仿宋_GB2312" w:hint="eastAsia"/>
                <w:color w:val="000000" w:themeColor="text1"/>
                <w:sz w:val="24"/>
                <w:szCs w:val="24"/>
              </w:rPr>
              <w:t>5</w:t>
            </w:r>
            <w:r>
              <w:rPr>
                <w:rFonts w:ascii="Times New Roman" w:eastAsia="仿宋_GB2312" w:hAnsi="Times New Roman" w:cs="方正仿宋_GB2312" w:hint="eastAsia"/>
                <w:color w:val="000000" w:themeColor="text1"/>
                <w:sz w:val="24"/>
                <w:szCs w:val="24"/>
              </w:rPr>
              <w:t>分。</w:t>
            </w:r>
          </w:p>
        </w:tc>
        <w:tc>
          <w:tcPr>
            <w:tcW w:w="1307" w:type="dxa"/>
            <w:vMerge/>
            <w:tcBorders>
              <w:left w:val="nil"/>
              <w:right w:val="single" w:sz="4" w:space="0" w:color="000000"/>
            </w:tcBorders>
            <w:noWrap/>
            <w:vAlign w:val="center"/>
          </w:tcPr>
          <w:p w:rsidR="0018700C" w:rsidRDefault="0018700C">
            <w:pPr>
              <w:snapToGrid w:val="0"/>
              <w:spacing w:line="300" w:lineRule="exact"/>
              <w:rPr>
                <w:rFonts w:ascii="Times New Roman" w:eastAsia="仿宋_GB2312" w:hAnsi="Times New Roman" w:cs="方正仿宋_GB2312"/>
                <w:color w:val="000000" w:themeColor="text1"/>
                <w:sz w:val="24"/>
                <w:szCs w:val="24"/>
              </w:rPr>
            </w:pPr>
          </w:p>
        </w:tc>
      </w:tr>
      <w:tr w:rsidR="0018700C">
        <w:trPr>
          <w:trHeight w:val="1196"/>
          <w:jc w:val="center"/>
        </w:trPr>
        <w:tc>
          <w:tcPr>
            <w:tcW w:w="726" w:type="dxa"/>
            <w:vMerge/>
            <w:tcBorders>
              <w:left w:val="single" w:sz="4" w:space="0" w:color="000000"/>
              <w:right w:val="single" w:sz="4" w:space="0" w:color="000000"/>
            </w:tcBorders>
            <w:noWrap/>
            <w:vAlign w:val="center"/>
          </w:tcPr>
          <w:p w:rsidR="0018700C" w:rsidRDefault="0018700C">
            <w:pPr>
              <w:snapToGrid w:val="0"/>
              <w:spacing w:line="300" w:lineRule="exact"/>
              <w:jc w:val="center"/>
              <w:rPr>
                <w:rFonts w:ascii="Times New Roman" w:eastAsia="仿宋_GB2312" w:hAnsi="Times New Roman" w:cs="方正仿宋_GB2312"/>
                <w:color w:val="000000" w:themeColor="text1"/>
                <w:sz w:val="24"/>
                <w:szCs w:val="24"/>
              </w:rPr>
            </w:pPr>
          </w:p>
        </w:tc>
        <w:tc>
          <w:tcPr>
            <w:tcW w:w="1395" w:type="dxa"/>
            <w:tcBorders>
              <w:top w:val="single" w:sz="4" w:space="0" w:color="000000"/>
              <w:left w:val="nil"/>
              <w:right w:val="single" w:sz="4" w:space="0" w:color="000000"/>
            </w:tcBorders>
            <w:noWrap/>
            <w:vAlign w:val="center"/>
          </w:tcPr>
          <w:p w:rsidR="0018700C" w:rsidRDefault="00431B16">
            <w:pPr>
              <w:snapToGrid w:val="0"/>
              <w:spacing w:line="300" w:lineRule="exact"/>
              <w:jc w:val="center"/>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学术研究</w:t>
            </w:r>
          </w:p>
        </w:tc>
        <w:tc>
          <w:tcPr>
            <w:tcW w:w="840" w:type="dxa"/>
            <w:tcBorders>
              <w:top w:val="single" w:sz="4" w:space="0" w:color="000000"/>
              <w:left w:val="nil"/>
              <w:right w:val="single" w:sz="4" w:space="0" w:color="000000"/>
            </w:tcBorders>
            <w:noWrap/>
            <w:vAlign w:val="center"/>
          </w:tcPr>
          <w:p w:rsidR="0018700C" w:rsidRDefault="00431B16">
            <w:pPr>
              <w:snapToGrid w:val="0"/>
              <w:spacing w:line="300" w:lineRule="exact"/>
              <w:jc w:val="center"/>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5</w:t>
            </w:r>
            <w:r>
              <w:rPr>
                <w:rFonts w:ascii="Times New Roman" w:eastAsia="仿宋_GB2312" w:hAnsi="Times New Roman" w:cs="方正仿宋_GB2312" w:hint="eastAsia"/>
                <w:color w:val="000000" w:themeColor="text1"/>
                <w:sz w:val="24"/>
                <w:szCs w:val="24"/>
              </w:rPr>
              <w:t>分</w:t>
            </w:r>
          </w:p>
        </w:tc>
        <w:tc>
          <w:tcPr>
            <w:tcW w:w="5070" w:type="dxa"/>
            <w:tcBorders>
              <w:top w:val="single" w:sz="4" w:space="0" w:color="000000"/>
              <w:left w:val="nil"/>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具备学术研究能力，在业内有一定知名度。开馆以来编撰出版专业书籍</w:t>
            </w:r>
            <w:r>
              <w:rPr>
                <w:rFonts w:ascii="Times New Roman" w:eastAsia="仿宋_GB2312" w:hAnsi="Times New Roman" w:cs="方正仿宋_GB2312" w:hint="eastAsia"/>
                <w:color w:val="000000" w:themeColor="text1"/>
                <w:sz w:val="24"/>
                <w:szCs w:val="24"/>
              </w:rPr>
              <w:t>1</w:t>
            </w:r>
            <w:r>
              <w:rPr>
                <w:rFonts w:ascii="Times New Roman" w:eastAsia="仿宋_GB2312" w:hAnsi="Times New Roman" w:cs="方正仿宋_GB2312" w:hint="eastAsia"/>
                <w:color w:val="000000" w:themeColor="text1"/>
                <w:sz w:val="24"/>
                <w:szCs w:val="24"/>
              </w:rPr>
              <w:t>本以上或完成课题研究</w:t>
            </w:r>
            <w:r>
              <w:rPr>
                <w:rFonts w:ascii="Times New Roman" w:eastAsia="仿宋_GB2312" w:hAnsi="Times New Roman" w:cs="方正仿宋_GB2312" w:hint="eastAsia"/>
                <w:color w:val="000000" w:themeColor="text1"/>
                <w:sz w:val="24"/>
                <w:szCs w:val="24"/>
              </w:rPr>
              <w:t>1</w:t>
            </w:r>
            <w:r>
              <w:rPr>
                <w:rFonts w:ascii="Times New Roman" w:eastAsia="仿宋_GB2312" w:hAnsi="Times New Roman" w:cs="方正仿宋_GB2312" w:hint="eastAsia"/>
                <w:color w:val="000000" w:themeColor="text1"/>
                <w:sz w:val="24"/>
                <w:szCs w:val="24"/>
              </w:rPr>
              <w:t>个或拥有文创专利</w:t>
            </w:r>
            <w:r>
              <w:rPr>
                <w:rFonts w:ascii="Times New Roman" w:eastAsia="仿宋_GB2312" w:hAnsi="Times New Roman" w:cs="方正仿宋_GB2312" w:hint="eastAsia"/>
                <w:color w:val="000000" w:themeColor="text1"/>
                <w:sz w:val="24"/>
                <w:szCs w:val="24"/>
              </w:rPr>
              <w:t>1</w:t>
            </w:r>
            <w:r>
              <w:rPr>
                <w:rFonts w:ascii="Times New Roman" w:eastAsia="仿宋_GB2312" w:hAnsi="Times New Roman" w:cs="方正仿宋_GB2312" w:hint="eastAsia"/>
                <w:color w:val="000000" w:themeColor="text1"/>
                <w:sz w:val="24"/>
                <w:szCs w:val="24"/>
              </w:rPr>
              <w:t>个以上得</w:t>
            </w:r>
            <w:r>
              <w:rPr>
                <w:rFonts w:ascii="Times New Roman" w:eastAsia="仿宋_GB2312" w:hAnsi="Times New Roman" w:cs="方正仿宋_GB2312" w:hint="eastAsia"/>
                <w:color w:val="000000" w:themeColor="text1"/>
                <w:sz w:val="24"/>
                <w:szCs w:val="24"/>
              </w:rPr>
              <w:t>3</w:t>
            </w:r>
            <w:r>
              <w:rPr>
                <w:rFonts w:ascii="Times New Roman" w:eastAsia="仿宋_GB2312" w:hAnsi="Times New Roman" w:cs="方正仿宋_GB2312" w:hint="eastAsia"/>
                <w:color w:val="000000" w:themeColor="text1"/>
                <w:sz w:val="24"/>
                <w:szCs w:val="24"/>
              </w:rPr>
              <w:t>分，每增加一本（个）加</w:t>
            </w:r>
            <w:r>
              <w:rPr>
                <w:rFonts w:ascii="Times New Roman" w:eastAsia="仿宋_GB2312" w:hAnsi="Times New Roman" w:cs="方正仿宋_GB2312" w:hint="eastAsia"/>
                <w:color w:val="000000" w:themeColor="text1"/>
                <w:sz w:val="24"/>
                <w:szCs w:val="24"/>
              </w:rPr>
              <w:t>1</w:t>
            </w:r>
            <w:r>
              <w:rPr>
                <w:rFonts w:ascii="Times New Roman" w:eastAsia="仿宋_GB2312" w:hAnsi="Times New Roman" w:cs="方正仿宋_GB2312" w:hint="eastAsia"/>
                <w:color w:val="000000" w:themeColor="text1"/>
                <w:sz w:val="24"/>
                <w:szCs w:val="24"/>
              </w:rPr>
              <w:t>分，最高</w:t>
            </w:r>
            <w:r>
              <w:rPr>
                <w:rFonts w:ascii="Times New Roman" w:eastAsia="仿宋_GB2312" w:hAnsi="Times New Roman" w:cs="方正仿宋_GB2312" w:hint="eastAsia"/>
                <w:color w:val="000000" w:themeColor="text1"/>
                <w:sz w:val="24"/>
                <w:szCs w:val="24"/>
              </w:rPr>
              <w:t>5</w:t>
            </w:r>
            <w:r>
              <w:rPr>
                <w:rFonts w:ascii="Times New Roman" w:eastAsia="仿宋_GB2312" w:hAnsi="Times New Roman" w:cs="方正仿宋_GB2312" w:hint="eastAsia"/>
                <w:color w:val="000000" w:themeColor="text1"/>
                <w:sz w:val="24"/>
                <w:szCs w:val="24"/>
              </w:rPr>
              <w:t>分。</w:t>
            </w:r>
          </w:p>
        </w:tc>
        <w:tc>
          <w:tcPr>
            <w:tcW w:w="1307" w:type="dxa"/>
            <w:vMerge/>
            <w:tcBorders>
              <w:left w:val="nil"/>
              <w:right w:val="single" w:sz="4" w:space="0" w:color="000000"/>
            </w:tcBorders>
            <w:noWrap/>
            <w:vAlign w:val="center"/>
          </w:tcPr>
          <w:p w:rsidR="0018700C" w:rsidRDefault="0018700C">
            <w:pPr>
              <w:snapToGrid w:val="0"/>
              <w:spacing w:line="300" w:lineRule="exact"/>
              <w:rPr>
                <w:rFonts w:ascii="Times New Roman" w:eastAsia="仿宋_GB2312" w:hAnsi="Times New Roman" w:cs="方正仿宋_GB2312"/>
                <w:color w:val="000000" w:themeColor="text1"/>
                <w:sz w:val="24"/>
                <w:szCs w:val="24"/>
              </w:rPr>
            </w:pPr>
          </w:p>
        </w:tc>
      </w:tr>
      <w:tr w:rsidR="0018700C">
        <w:trPr>
          <w:trHeight w:val="851"/>
          <w:jc w:val="center"/>
        </w:trPr>
        <w:tc>
          <w:tcPr>
            <w:tcW w:w="726" w:type="dxa"/>
            <w:vMerge/>
            <w:tcBorders>
              <w:left w:val="single" w:sz="4" w:space="0" w:color="000000"/>
              <w:bottom w:val="single" w:sz="4" w:space="0" w:color="000000"/>
              <w:right w:val="single" w:sz="4" w:space="0" w:color="000000"/>
            </w:tcBorders>
            <w:noWrap/>
            <w:vAlign w:val="center"/>
          </w:tcPr>
          <w:p w:rsidR="0018700C" w:rsidRDefault="0018700C">
            <w:pPr>
              <w:snapToGrid w:val="0"/>
              <w:spacing w:line="300" w:lineRule="exact"/>
              <w:ind w:firstLineChars="71" w:firstLine="170"/>
              <w:rPr>
                <w:rFonts w:ascii="Times New Roman" w:eastAsia="仿宋_GB2312" w:hAnsi="Times New Roman" w:cs="方正仿宋_GB2312"/>
                <w:color w:val="000000" w:themeColor="text1"/>
                <w:sz w:val="24"/>
                <w:szCs w:val="24"/>
              </w:rPr>
            </w:pPr>
          </w:p>
        </w:tc>
        <w:tc>
          <w:tcPr>
            <w:tcW w:w="1395" w:type="dxa"/>
            <w:tcBorders>
              <w:top w:val="single" w:sz="4" w:space="0" w:color="auto"/>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活动品牌</w:t>
            </w:r>
          </w:p>
        </w:tc>
        <w:tc>
          <w:tcPr>
            <w:tcW w:w="840" w:type="dxa"/>
            <w:tcBorders>
              <w:top w:val="single" w:sz="4" w:space="0" w:color="auto"/>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5</w:t>
            </w:r>
            <w:r>
              <w:rPr>
                <w:rFonts w:ascii="Times New Roman" w:eastAsia="仿宋_GB2312" w:hAnsi="Times New Roman" w:cs="方正仿宋_GB2312" w:hint="eastAsia"/>
                <w:color w:val="000000" w:themeColor="text1"/>
                <w:sz w:val="24"/>
                <w:szCs w:val="24"/>
              </w:rPr>
              <w:t>分</w:t>
            </w:r>
          </w:p>
        </w:tc>
        <w:tc>
          <w:tcPr>
            <w:tcW w:w="5070" w:type="dxa"/>
            <w:tcBorders>
              <w:top w:val="single" w:sz="4" w:space="0" w:color="auto"/>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拥有</w:t>
            </w:r>
            <w:r>
              <w:rPr>
                <w:rFonts w:ascii="Times New Roman" w:eastAsia="仿宋_GB2312" w:hAnsi="Times New Roman" w:cs="方正仿宋_GB2312" w:hint="eastAsia"/>
                <w:color w:val="000000" w:themeColor="text1"/>
                <w:sz w:val="24"/>
                <w:szCs w:val="24"/>
              </w:rPr>
              <w:t>1</w:t>
            </w:r>
            <w:r>
              <w:rPr>
                <w:rFonts w:ascii="Times New Roman" w:eastAsia="仿宋_GB2312" w:hAnsi="Times New Roman" w:cs="方正仿宋_GB2312" w:hint="eastAsia"/>
                <w:color w:val="000000" w:themeColor="text1"/>
                <w:sz w:val="24"/>
                <w:szCs w:val="24"/>
              </w:rPr>
              <w:t>个以上品牌得</w:t>
            </w:r>
            <w:r>
              <w:rPr>
                <w:rFonts w:ascii="Times New Roman" w:eastAsia="仿宋_GB2312" w:hAnsi="Times New Roman" w:cs="方正仿宋_GB2312" w:hint="eastAsia"/>
                <w:color w:val="000000" w:themeColor="text1"/>
                <w:sz w:val="24"/>
                <w:szCs w:val="24"/>
              </w:rPr>
              <w:t>3</w:t>
            </w:r>
            <w:r>
              <w:rPr>
                <w:rFonts w:ascii="Times New Roman" w:eastAsia="仿宋_GB2312" w:hAnsi="Times New Roman" w:cs="方正仿宋_GB2312" w:hint="eastAsia"/>
                <w:color w:val="000000" w:themeColor="text1"/>
                <w:sz w:val="24"/>
                <w:szCs w:val="24"/>
              </w:rPr>
              <w:t>分，每增加</w:t>
            </w:r>
            <w:r>
              <w:rPr>
                <w:rFonts w:ascii="Times New Roman" w:eastAsia="仿宋_GB2312" w:hAnsi="Times New Roman" w:cs="方正仿宋_GB2312" w:hint="eastAsia"/>
                <w:color w:val="000000" w:themeColor="text1"/>
                <w:sz w:val="24"/>
                <w:szCs w:val="24"/>
              </w:rPr>
              <w:t>1</w:t>
            </w:r>
            <w:r>
              <w:rPr>
                <w:rFonts w:ascii="Times New Roman" w:eastAsia="仿宋_GB2312" w:hAnsi="Times New Roman" w:cs="方正仿宋_GB2312" w:hint="eastAsia"/>
                <w:color w:val="000000" w:themeColor="text1"/>
                <w:sz w:val="24"/>
                <w:szCs w:val="24"/>
              </w:rPr>
              <w:t>个加</w:t>
            </w:r>
            <w:r>
              <w:rPr>
                <w:rFonts w:ascii="Times New Roman" w:eastAsia="仿宋_GB2312" w:hAnsi="Times New Roman" w:cs="方正仿宋_GB2312" w:hint="eastAsia"/>
                <w:color w:val="000000" w:themeColor="text1"/>
                <w:sz w:val="24"/>
                <w:szCs w:val="24"/>
              </w:rPr>
              <w:t>1</w:t>
            </w:r>
            <w:r>
              <w:rPr>
                <w:rFonts w:ascii="Times New Roman" w:eastAsia="仿宋_GB2312" w:hAnsi="Times New Roman" w:cs="方正仿宋_GB2312" w:hint="eastAsia"/>
                <w:color w:val="000000" w:themeColor="text1"/>
                <w:sz w:val="24"/>
                <w:szCs w:val="24"/>
              </w:rPr>
              <w:t>分，最高</w:t>
            </w:r>
            <w:r>
              <w:rPr>
                <w:rFonts w:ascii="Times New Roman" w:eastAsia="仿宋_GB2312" w:hAnsi="Times New Roman" w:cs="方正仿宋_GB2312" w:hint="eastAsia"/>
                <w:color w:val="000000" w:themeColor="text1"/>
                <w:sz w:val="24"/>
                <w:szCs w:val="24"/>
              </w:rPr>
              <w:t>5</w:t>
            </w:r>
            <w:r>
              <w:rPr>
                <w:rFonts w:ascii="Times New Roman" w:eastAsia="仿宋_GB2312" w:hAnsi="Times New Roman" w:cs="方正仿宋_GB2312" w:hint="eastAsia"/>
                <w:color w:val="000000" w:themeColor="text1"/>
                <w:sz w:val="24"/>
                <w:szCs w:val="24"/>
              </w:rPr>
              <w:t>分。</w:t>
            </w:r>
          </w:p>
        </w:tc>
        <w:tc>
          <w:tcPr>
            <w:tcW w:w="1307" w:type="dxa"/>
            <w:vMerge/>
            <w:tcBorders>
              <w:left w:val="nil"/>
              <w:bottom w:val="single" w:sz="4" w:space="0" w:color="000000"/>
              <w:right w:val="single" w:sz="4" w:space="0" w:color="000000"/>
            </w:tcBorders>
            <w:noWrap/>
            <w:vAlign w:val="center"/>
          </w:tcPr>
          <w:p w:rsidR="0018700C" w:rsidRDefault="0018700C">
            <w:pPr>
              <w:snapToGrid w:val="0"/>
              <w:spacing w:line="300" w:lineRule="exact"/>
              <w:rPr>
                <w:rFonts w:ascii="Times New Roman" w:eastAsia="仿宋_GB2312" w:hAnsi="Times New Roman" w:cs="方正仿宋_GB2312"/>
                <w:color w:val="000000" w:themeColor="text1"/>
                <w:sz w:val="24"/>
                <w:szCs w:val="24"/>
              </w:rPr>
            </w:pPr>
          </w:p>
        </w:tc>
      </w:tr>
      <w:tr w:rsidR="0018700C">
        <w:trPr>
          <w:trHeight w:val="851"/>
          <w:jc w:val="center"/>
        </w:trPr>
        <w:tc>
          <w:tcPr>
            <w:tcW w:w="726" w:type="dxa"/>
            <w:vMerge w:val="restart"/>
            <w:tcBorders>
              <w:top w:val="single" w:sz="4" w:space="0" w:color="auto"/>
              <w:left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项目</w:t>
            </w:r>
          </w:p>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方案</w:t>
            </w:r>
          </w:p>
        </w:tc>
        <w:tc>
          <w:tcPr>
            <w:tcW w:w="1395" w:type="dxa"/>
            <w:tcBorders>
              <w:top w:val="single" w:sz="4" w:space="0" w:color="auto"/>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宗旨与定位</w:t>
            </w:r>
          </w:p>
        </w:tc>
        <w:tc>
          <w:tcPr>
            <w:tcW w:w="840" w:type="dxa"/>
            <w:tcBorders>
              <w:top w:val="single" w:sz="4" w:space="0" w:color="auto"/>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10</w:t>
            </w:r>
            <w:r>
              <w:rPr>
                <w:rFonts w:ascii="Times New Roman" w:eastAsia="仿宋_GB2312" w:hAnsi="Times New Roman" w:cs="方正仿宋_GB2312" w:hint="eastAsia"/>
                <w:color w:val="000000" w:themeColor="text1"/>
                <w:sz w:val="24"/>
                <w:szCs w:val="24"/>
              </w:rPr>
              <w:t>分</w:t>
            </w:r>
          </w:p>
        </w:tc>
        <w:tc>
          <w:tcPr>
            <w:tcW w:w="5070" w:type="dxa"/>
            <w:tcBorders>
              <w:top w:val="single" w:sz="4" w:space="0" w:color="auto"/>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场馆定位清晰，发展目标明确；与上城区文化发展相契合，能提升街区文化品位。</w:t>
            </w:r>
          </w:p>
        </w:tc>
        <w:tc>
          <w:tcPr>
            <w:tcW w:w="1307" w:type="dxa"/>
            <w:vMerge w:val="restart"/>
            <w:tcBorders>
              <w:left w:val="nil"/>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提供方案，现场答辩，评审组评审。</w:t>
            </w:r>
          </w:p>
        </w:tc>
      </w:tr>
      <w:tr w:rsidR="0018700C">
        <w:trPr>
          <w:trHeight w:val="851"/>
          <w:jc w:val="center"/>
        </w:trPr>
        <w:tc>
          <w:tcPr>
            <w:tcW w:w="726" w:type="dxa"/>
            <w:vMerge/>
            <w:tcBorders>
              <w:left w:val="single" w:sz="4" w:space="0" w:color="000000"/>
              <w:right w:val="single" w:sz="4" w:space="0" w:color="000000"/>
            </w:tcBorders>
            <w:noWrap/>
            <w:vAlign w:val="center"/>
          </w:tcPr>
          <w:p w:rsidR="0018700C" w:rsidRDefault="0018700C">
            <w:pPr>
              <w:snapToGrid w:val="0"/>
              <w:spacing w:line="300" w:lineRule="exact"/>
              <w:ind w:firstLineChars="71" w:firstLine="170"/>
              <w:rPr>
                <w:rFonts w:ascii="Times New Roman" w:eastAsia="仿宋_GB2312" w:hAnsi="Times New Roman" w:cs="方正仿宋_GB2312"/>
                <w:color w:val="000000" w:themeColor="text1"/>
                <w:sz w:val="24"/>
                <w:szCs w:val="24"/>
              </w:rPr>
            </w:pPr>
          </w:p>
        </w:tc>
        <w:tc>
          <w:tcPr>
            <w:tcW w:w="1395" w:type="dxa"/>
            <w:tcBorders>
              <w:top w:val="single" w:sz="4" w:space="0" w:color="auto"/>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基本保障</w:t>
            </w:r>
          </w:p>
        </w:tc>
        <w:tc>
          <w:tcPr>
            <w:tcW w:w="840" w:type="dxa"/>
            <w:tcBorders>
              <w:top w:val="single" w:sz="4" w:space="0" w:color="auto"/>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5</w:t>
            </w:r>
            <w:r>
              <w:rPr>
                <w:rFonts w:ascii="Times New Roman" w:eastAsia="仿宋_GB2312" w:hAnsi="Times New Roman" w:cs="方正仿宋_GB2312" w:hint="eastAsia"/>
                <w:color w:val="000000" w:themeColor="text1"/>
                <w:sz w:val="24"/>
                <w:szCs w:val="24"/>
              </w:rPr>
              <w:t>分</w:t>
            </w:r>
          </w:p>
        </w:tc>
        <w:tc>
          <w:tcPr>
            <w:tcW w:w="5070" w:type="dxa"/>
            <w:tcBorders>
              <w:top w:val="single" w:sz="4" w:space="0" w:color="auto"/>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具备布展、开放运营的经费投入和专业人才的保障。</w:t>
            </w:r>
          </w:p>
        </w:tc>
        <w:tc>
          <w:tcPr>
            <w:tcW w:w="1307" w:type="dxa"/>
            <w:vMerge/>
            <w:tcBorders>
              <w:left w:val="nil"/>
              <w:right w:val="single" w:sz="4" w:space="0" w:color="000000"/>
            </w:tcBorders>
            <w:noWrap/>
            <w:vAlign w:val="center"/>
          </w:tcPr>
          <w:p w:rsidR="0018700C" w:rsidRDefault="0018700C">
            <w:pPr>
              <w:snapToGrid w:val="0"/>
              <w:spacing w:line="300" w:lineRule="exact"/>
              <w:rPr>
                <w:rFonts w:ascii="Times New Roman" w:eastAsia="仿宋_GB2312" w:hAnsi="Times New Roman" w:cs="方正仿宋_GB2312"/>
                <w:color w:val="000000" w:themeColor="text1"/>
                <w:sz w:val="24"/>
                <w:szCs w:val="24"/>
              </w:rPr>
            </w:pPr>
          </w:p>
        </w:tc>
      </w:tr>
      <w:tr w:rsidR="0018700C">
        <w:trPr>
          <w:trHeight w:val="851"/>
          <w:jc w:val="center"/>
        </w:trPr>
        <w:tc>
          <w:tcPr>
            <w:tcW w:w="726" w:type="dxa"/>
            <w:vMerge/>
            <w:tcBorders>
              <w:left w:val="single" w:sz="4" w:space="0" w:color="000000"/>
              <w:right w:val="single" w:sz="4" w:space="0" w:color="000000"/>
            </w:tcBorders>
            <w:noWrap/>
            <w:vAlign w:val="center"/>
          </w:tcPr>
          <w:p w:rsidR="0018700C" w:rsidRDefault="0018700C">
            <w:pPr>
              <w:snapToGrid w:val="0"/>
              <w:spacing w:line="300" w:lineRule="exact"/>
              <w:ind w:firstLineChars="71" w:firstLine="170"/>
              <w:rPr>
                <w:rFonts w:ascii="Times New Roman" w:eastAsia="仿宋_GB2312" w:hAnsi="Times New Roman" w:cs="方正仿宋_GB2312"/>
                <w:color w:val="000000" w:themeColor="text1"/>
                <w:sz w:val="24"/>
                <w:szCs w:val="24"/>
              </w:rPr>
            </w:pPr>
          </w:p>
        </w:tc>
        <w:tc>
          <w:tcPr>
            <w:tcW w:w="1395" w:type="dxa"/>
            <w:tcBorders>
              <w:top w:val="single" w:sz="4" w:space="0" w:color="auto"/>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馆舍设计</w:t>
            </w:r>
          </w:p>
        </w:tc>
        <w:tc>
          <w:tcPr>
            <w:tcW w:w="840" w:type="dxa"/>
            <w:tcBorders>
              <w:top w:val="single" w:sz="4" w:space="0" w:color="auto"/>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10</w:t>
            </w:r>
            <w:r>
              <w:rPr>
                <w:rFonts w:ascii="Times New Roman" w:eastAsia="仿宋_GB2312" w:hAnsi="Times New Roman" w:cs="方正仿宋_GB2312" w:hint="eastAsia"/>
                <w:color w:val="000000" w:themeColor="text1"/>
                <w:sz w:val="24"/>
                <w:szCs w:val="24"/>
              </w:rPr>
              <w:t>分</w:t>
            </w:r>
          </w:p>
        </w:tc>
        <w:tc>
          <w:tcPr>
            <w:tcW w:w="5070" w:type="dxa"/>
            <w:tcBorders>
              <w:top w:val="single" w:sz="4" w:space="0" w:color="auto"/>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场馆设计与场馆宗旨类型相吻合，具有艺术性和创新性，能与周边环境形成文化气场。</w:t>
            </w:r>
          </w:p>
        </w:tc>
        <w:tc>
          <w:tcPr>
            <w:tcW w:w="1307" w:type="dxa"/>
            <w:vMerge/>
            <w:tcBorders>
              <w:left w:val="nil"/>
              <w:right w:val="single" w:sz="4" w:space="0" w:color="000000"/>
            </w:tcBorders>
            <w:noWrap/>
            <w:vAlign w:val="center"/>
          </w:tcPr>
          <w:p w:rsidR="0018700C" w:rsidRDefault="0018700C">
            <w:pPr>
              <w:snapToGrid w:val="0"/>
              <w:spacing w:line="300" w:lineRule="exact"/>
              <w:rPr>
                <w:rFonts w:ascii="Times New Roman" w:eastAsia="仿宋_GB2312" w:hAnsi="Times New Roman" w:cs="方正仿宋_GB2312"/>
                <w:color w:val="000000" w:themeColor="text1"/>
                <w:sz w:val="24"/>
                <w:szCs w:val="24"/>
              </w:rPr>
            </w:pPr>
          </w:p>
        </w:tc>
      </w:tr>
      <w:tr w:rsidR="0018700C">
        <w:trPr>
          <w:trHeight w:val="851"/>
          <w:jc w:val="center"/>
        </w:trPr>
        <w:tc>
          <w:tcPr>
            <w:tcW w:w="726" w:type="dxa"/>
            <w:vMerge/>
            <w:tcBorders>
              <w:left w:val="single" w:sz="4" w:space="0" w:color="000000"/>
              <w:right w:val="single" w:sz="4" w:space="0" w:color="000000"/>
            </w:tcBorders>
            <w:noWrap/>
            <w:vAlign w:val="center"/>
          </w:tcPr>
          <w:p w:rsidR="0018700C" w:rsidRDefault="0018700C">
            <w:pPr>
              <w:snapToGrid w:val="0"/>
              <w:spacing w:line="300" w:lineRule="exact"/>
              <w:ind w:firstLineChars="71" w:firstLine="170"/>
              <w:rPr>
                <w:rFonts w:ascii="Times New Roman" w:eastAsia="仿宋_GB2312" w:hAnsi="Times New Roman" w:cs="方正仿宋_GB2312"/>
                <w:color w:val="000000" w:themeColor="text1"/>
                <w:sz w:val="24"/>
                <w:szCs w:val="24"/>
              </w:rPr>
            </w:pPr>
          </w:p>
        </w:tc>
        <w:tc>
          <w:tcPr>
            <w:tcW w:w="1395" w:type="dxa"/>
            <w:tcBorders>
              <w:top w:val="single" w:sz="4" w:space="0" w:color="auto"/>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展陈方案</w:t>
            </w:r>
          </w:p>
        </w:tc>
        <w:tc>
          <w:tcPr>
            <w:tcW w:w="840" w:type="dxa"/>
            <w:tcBorders>
              <w:top w:val="single" w:sz="4" w:space="0" w:color="auto"/>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10</w:t>
            </w:r>
            <w:r>
              <w:rPr>
                <w:rFonts w:ascii="Times New Roman" w:eastAsia="仿宋_GB2312" w:hAnsi="Times New Roman" w:cs="方正仿宋_GB2312" w:hint="eastAsia"/>
                <w:color w:val="000000" w:themeColor="text1"/>
                <w:sz w:val="24"/>
                <w:szCs w:val="24"/>
              </w:rPr>
              <w:t>分</w:t>
            </w:r>
          </w:p>
        </w:tc>
        <w:tc>
          <w:tcPr>
            <w:tcW w:w="5070" w:type="dxa"/>
            <w:tcBorders>
              <w:top w:val="single" w:sz="4" w:space="0" w:color="auto"/>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展陈设计科学合理，内容清晰准确，具有感染力，有多种形式讲解和互动体验内容。</w:t>
            </w:r>
          </w:p>
        </w:tc>
        <w:tc>
          <w:tcPr>
            <w:tcW w:w="1307" w:type="dxa"/>
            <w:vMerge/>
            <w:tcBorders>
              <w:left w:val="nil"/>
              <w:right w:val="single" w:sz="4" w:space="0" w:color="000000"/>
            </w:tcBorders>
            <w:noWrap/>
            <w:vAlign w:val="center"/>
          </w:tcPr>
          <w:p w:rsidR="0018700C" w:rsidRDefault="0018700C">
            <w:pPr>
              <w:snapToGrid w:val="0"/>
              <w:spacing w:line="300" w:lineRule="exact"/>
              <w:rPr>
                <w:rFonts w:ascii="Times New Roman" w:eastAsia="仿宋_GB2312" w:hAnsi="Times New Roman" w:cs="方正仿宋_GB2312"/>
                <w:color w:val="000000" w:themeColor="text1"/>
                <w:sz w:val="24"/>
                <w:szCs w:val="24"/>
              </w:rPr>
            </w:pPr>
          </w:p>
        </w:tc>
      </w:tr>
      <w:tr w:rsidR="0018700C">
        <w:trPr>
          <w:trHeight w:val="1100"/>
          <w:jc w:val="center"/>
        </w:trPr>
        <w:tc>
          <w:tcPr>
            <w:tcW w:w="726" w:type="dxa"/>
            <w:vMerge/>
            <w:tcBorders>
              <w:left w:val="single" w:sz="4" w:space="0" w:color="000000"/>
              <w:bottom w:val="single" w:sz="4" w:space="0" w:color="000000"/>
              <w:right w:val="single" w:sz="4" w:space="0" w:color="000000"/>
            </w:tcBorders>
            <w:noWrap/>
            <w:vAlign w:val="center"/>
          </w:tcPr>
          <w:p w:rsidR="0018700C" w:rsidRDefault="0018700C">
            <w:pPr>
              <w:snapToGrid w:val="0"/>
              <w:spacing w:line="300" w:lineRule="exact"/>
              <w:ind w:firstLineChars="71" w:firstLine="170"/>
              <w:rPr>
                <w:rFonts w:ascii="Times New Roman" w:eastAsia="仿宋_GB2312" w:hAnsi="Times New Roman" w:cs="方正仿宋_GB2312"/>
                <w:color w:val="000000" w:themeColor="text1"/>
                <w:sz w:val="24"/>
                <w:szCs w:val="24"/>
              </w:rPr>
            </w:pPr>
          </w:p>
        </w:tc>
        <w:tc>
          <w:tcPr>
            <w:tcW w:w="1395" w:type="dxa"/>
            <w:tcBorders>
              <w:top w:val="single" w:sz="4" w:space="0" w:color="auto"/>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开放运营方案</w:t>
            </w:r>
          </w:p>
        </w:tc>
        <w:tc>
          <w:tcPr>
            <w:tcW w:w="840" w:type="dxa"/>
            <w:tcBorders>
              <w:top w:val="single" w:sz="4" w:space="0" w:color="auto"/>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30</w:t>
            </w:r>
            <w:r>
              <w:rPr>
                <w:rFonts w:ascii="Times New Roman" w:eastAsia="仿宋_GB2312" w:hAnsi="Times New Roman" w:cs="方正仿宋_GB2312" w:hint="eastAsia"/>
                <w:color w:val="000000" w:themeColor="text1"/>
                <w:sz w:val="24"/>
                <w:szCs w:val="24"/>
              </w:rPr>
              <w:t>分</w:t>
            </w:r>
          </w:p>
        </w:tc>
        <w:tc>
          <w:tcPr>
            <w:tcW w:w="5070" w:type="dxa"/>
            <w:tcBorders>
              <w:top w:val="single" w:sz="4" w:space="0" w:color="auto"/>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方案科学合理，有长效规划和近期目标，充分考虑社会效益和经济效益的实现，有具体可落实的举措，具备引流吸纳的能力与具体举措。</w:t>
            </w:r>
          </w:p>
        </w:tc>
        <w:tc>
          <w:tcPr>
            <w:tcW w:w="1307" w:type="dxa"/>
            <w:vMerge/>
            <w:tcBorders>
              <w:left w:val="nil"/>
              <w:bottom w:val="single" w:sz="4" w:space="0" w:color="000000"/>
              <w:right w:val="single" w:sz="4" w:space="0" w:color="000000"/>
            </w:tcBorders>
            <w:noWrap/>
            <w:vAlign w:val="center"/>
          </w:tcPr>
          <w:p w:rsidR="0018700C" w:rsidRDefault="0018700C">
            <w:pPr>
              <w:snapToGrid w:val="0"/>
              <w:spacing w:line="300" w:lineRule="exact"/>
              <w:rPr>
                <w:rFonts w:ascii="Times New Roman" w:eastAsia="仿宋_GB2312" w:hAnsi="Times New Roman" w:cs="方正仿宋_GB2312"/>
                <w:color w:val="000000" w:themeColor="text1"/>
                <w:sz w:val="24"/>
                <w:szCs w:val="24"/>
              </w:rPr>
            </w:pPr>
          </w:p>
        </w:tc>
      </w:tr>
      <w:tr w:rsidR="0018700C">
        <w:trPr>
          <w:trHeight w:val="2880"/>
          <w:jc w:val="center"/>
        </w:trPr>
        <w:tc>
          <w:tcPr>
            <w:tcW w:w="726" w:type="dxa"/>
            <w:vMerge w:val="restart"/>
            <w:tcBorders>
              <w:top w:val="single" w:sz="4" w:space="0" w:color="000000"/>
              <w:left w:val="single" w:sz="4" w:space="0" w:color="000000"/>
              <w:right w:val="single" w:sz="4" w:space="0" w:color="000000"/>
            </w:tcBorders>
            <w:noWrap/>
            <w:vAlign w:val="center"/>
          </w:tcPr>
          <w:p w:rsidR="0018700C" w:rsidRDefault="00431B16">
            <w:pPr>
              <w:snapToGrid w:val="0"/>
              <w:spacing w:line="300" w:lineRule="exact"/>
              <w:jc w:val="center"/>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lastRenderedPageBreak/>
              <w:t>其他</w:t>
            </w:r>
          </w:p>
        </w:tc>
        <w:tc>
          <w:tcPr>
            <w:tcW w:w="1395"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300" w:lineRule="exact"/>
              <w:jc w:val="center"/>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加分项</w:t>
            </w:r>
          </w:p>
        </w:tc>
        <w:tc>
          <w:tcPr>
            <w:tcW w:w="840" w:type="dxa"/>
            <w:tcBorders>
              <w:top w:val="single" w:sz="4" w:space="0" w:color="000000"/>
              <w:left w:val="nil"/>
              <w:bottom w:val="single" w:sz="4" w:space="0" w:color="000000"/>
              <w:right w:val="single" w:sz="4" w:space="0" w:color="000000"/>
            </w:tcBorders>
            <w:noWrap/>
            <w:vAlign w:val="center"/>
          </w:tcPr>
          <w:p w:rsidR="0018700C" w:rsidRDefault="0018700C">
            <w:pPr>
              <w:snapToGrid w:val="0"/>
              <w:spacing w:line="300" w:lineRule="exact"/>
              <w:jc w:val="center"/>
              <w:rPr>
                <w:rFonts w:ascii="Times New Roman" w:eastAsia="仿宋_GB2312" w:hAnsi="Times New Roman" w:cs="方正仿宋_GB2312"/>
                <w:color w:val="000000" w:themeColor="text1"/>
                <w:sz w:val="24"/>
                <w:szCs w:val="24"/>
              </w:rPr>
            </w:pPr>
          </w:p>
        </w:tc>
        <w:tc>
          <w:tcPr>
            <w:tcW w:w="5070"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1</w:t>
            </w:r>
            <w:r>
              <w:rPr>
                <w:rFonts w:ascii="Times New Roman" w:eastAsia="仿宋_GB2312" w:hAnsi="Times New Roman" w:cs="方正仿宋_GB2312" w:hint="eastAsia"/>
                <w:color w:val="000000" w:themeColor="text1"/>
                <w:sz w:val="24"/>
                <w:szCs w:val="24"/>
              </w:rPr>
              <w:t>、国家一级馆加</w:t>
            </w:r>
            <w:r>
              <w:rPr>
                <w:rFonts w:ascii="Times New Roman" w:eastAsia="仿宋_GB2312" w:hAnsi="Times New Roman" w:cs="方正仿宋_GB2312" w:hint="eastAsia"/>
                <w:color w:val="000000" w:themeColor="text1"/>
                <w:sz w:val="24"/>
                <w:szCs w:val="24"/>
              </w:rPr>
              <w:t>20</w:t>
            </w:r>
            <w:r>
              <w:rPr>
                <w:rFonts w:ascii="Times New Roman" w:eastAsia="仿宋_GB2312" w:hAnsi="Times New Roman" w:cs="方正仿宋_GB2312" w:hint="eastAsia"/>
                <w:color w:val="000000" w:themeColor="text1"/>
                <w:sz w:val="24"/>
                <w:szCs w:val="24"/>
              </w:rPr>
              <w:t>分，二级馆加</w:t>
            </w:r>
            <w:r>
              <w:rPr>
                <w:rFonts w:ascii="Times New Roman" w:eastAsia="仿宋_GB2312" w:hAnsi="Times New Roman" w:cs="方正仿宋_GB2312" w:hint="eastAsia"/>
                <w:color w:val="000000" w:themeColor="text1"/>
                <w:sz w:val="24"/>
                <w:szCs w:val="24"/>
              </w:rPr>
              <w:t>15</w:t>
            </w:r>
            <w:r>
              <w:rPr>
                <w:rFonts w:ascii="Times New Roman" w:eastAsia="仿宋_GB2312" w:hAnsi="Times New Roman" w:cs="方正仿宋_GB2312" w:hint="eastAsia"/>
                <w:color w:val="000000" w:themeColor="text1"/>
                <w:sz w:val="24"/>
                <w:szCs w:val="24"/>
              </w:rPr>
              <w:t>分，三级馆加</w:t>
            </w:r>
            <w:r>
              <w:rPr>
                <w:rFonts w:ascii="Times New Roman" w:eastAsia="仿宋_GB2312" w:hAnsi="Times New Roman" w:cs="方正仿宋_GB2312" w:hint="eastAsia"/>
                <w:color w:val="000000" w:themeColor="text1"/>
                <w:sz w:val="24"/>
                <w:szCs w:val="24"/>
              </w:rPr>
              <w:t>10</w:t>
            </w:r>
            <w:r>
              <w:rPr>
                <w:rFonts w:ascii="Times New Roman" w:eastAsia="仿宋_GB2312" w:hAnsi="Times New Roman" w:cs="方正仿宋_GB2312" w:hint="eastAsia"/>
                <w:color w:val="000000" w:themeColor="text1"/>
                <w:sz w:val="24"/>
                <w:szCs w:val="24"/>
              </w:rPr>
              <w:t>分。</w:t>
            </w:r>
          </w:p>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2</w:t>
            </w:r>
            <w:r>
              <w:rPr>
                <w:rFonts w:ascii="Times New Roman" w:eastAsia="仿宋_GB2312" w:hAnsi="Times New Roman" w:cs="方正仿宋_GB2312" w:hint="eastAsia"/>
                <w:color w:val="000000" w:themeColor="text1"/>
                <w:sz w:val="24"/>
                <w:szCs w:val="24"/>
              </w:rPr>
              <w:t>、获得政府部门或行业表彰：区级加</w:t>
            </w:r>
            <w:r>
              <w:rPr>
                <w:rFonts w:ascii="Times New Roman" w:eastAsia="仿宋_GB2312" w:hAnsi="Times New Roman" w:cs="方正仿宋_GB2312"/>
                <w:color w:val="000000" w:themeColor="text1"/>
                <w:sz w:val="24"/>
                <w:szCs w:val="24"/>
              </w:rPr>
              <w:t>1</w:t>
            </w:r>
            <w:r>
              <w:rPr>
                <w:rFonts w:ascii="Times New Roman" w:eastAsia="仿宋_GB2312" w:hAnsi="Times New Roman" w:cs="方正仿宋_GB2312"/>
                <w:color w:val="000000" w:themeColor="text1"/>
                <w:sz w:val="24"/>
                <w:szCs w:val="24"/>
              </w:rPr>
              <w:t>分，</w:t>
            </w:r>
            <w:r>
              <w:rPr>
                <w:rFonts w:ascii="Times New Roman" w:eastAsia="仿宋_GB2312" w:hAnsi="Times New Roman" w:cs="方正仿宋_GB2312" w:hint="eastAsia"/>
                <w:color w:val="000000" w:themeColor="text1"/>
                <w:sz w:val="24"/>
                <w:szCs w:val="24"/>
              </w:rPr>
              <w:t>市级加</w:t>
            </w:r>
            <w:r>
              <w:rPr>
                <w:rFonts w:ascii="Times New Roman" w:eastAsia="仿宋_GB2312" w:hAnsi="Times New Roman" w:cs="方正仿宋_GB2312" w:hint="eastAsia"/>
                <w:color w:val="000000" w:themeColor="text1"/>
                <w:sz w:val="24"/>
                <w:szCs w:val="24"/>
              </w:rPr>
              <w:t>3</w:t>
            </w:r>
            <w:r>
              <w:rPr>
                <w:rFonts w:ascii="Times New Roman" w:eastAsia="仿宋_GB2312" w:hAnsi="Times New Roman" w:cs="方正仿宋_GB2312" w:hint="eastAsia"/>
                <w:color w:val="000000" w:themeColor="text1"/>
                <w:sz w:val="24"/>
                <w:szCs w:val="24"/>
              </w:rPr>
              <w:t>分，省级加</w:t>
            </w:r>
            <w:r>
              <w:rPr>
                <w:rFonts w:ascii="Times New Roman" w:eastAsia="仿宋_GB2312" w:hAnsi="Times New Roman" w:cs="方正仿宋_GB2312" w:hint="eastAsia"/>
                <w:color w:val="000000" w:themeColor="text1"/>
                <w:sz w:val="24"/>
                <w:szCs w:val="24"/>
              </w:rPr>
              <w:t>5</w:t>
            </w:r>
            <w:r>
              <w:rPr>
                <w:rFonts w:ascii="Times New Roman" w:eastAsia="仿宋_GB2312" w:hAnsi="Times New Roman" w:cs="方正仿宋_GB2312" w:hint="eastAsia"/>
                <w:color w:val="000000" w:themeColor="text1"/>
                <w:sz w:val="24"/>
                <w:szCs w:val="24"/>
              </w:rPr>
              <w:t>分，国家级及以上加</w:t>
            </w:r>
            <w:r>
              <w:rPr>
                <w:rFonts w:ascii="Times New Roman" w:eastAsia="仿宋_GB2312" w:hAnsi="Times New Roman" w:cs="方正仿宋_GB2312" w:hint="eastAsia"/>
                <w:color w:val="000000" w:themeColor="text1"/>
                <w:sz w:val="24"/>
                <w:szCs w:val="24"/>
              </w:rPr>
              <w:t>10</w:t>
            </w:r>
            <w:r>
              <w:rPr>
                <w:rFonts w:ascii="Times New Roman" w:eastAsia="仿宋_GB2312" w:hAnsi="Times New Roman" w:cs="方正仿宋_GB2312" w:hint="eastAsia"/>
                <w:color w:val="000000" w:themeColor="text1"/>
                <w:sz w:val="24"/>
                <w:szCs w:val="24"/>
              </w:rPr>
              <w:t>分。不重复计分。</w:t>
            </w:r>
          </w:p>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3</w:t>
            </w:r>
            <w:r>
              <w:rPr>
                <w:rFonts w:ascii="Times New Roman" w:eastAsia="仿宋_GB2312" w:hAnsi="Times New Roman" w:cs="方正仿宋_GB2312" w:hint="eastAsia"/>
                <w:color w:val="000000" w:themeColor="text1"/>
                <w:sz w:val="24"/>
                <w:szCs w:val="24"/>
              </w:rPr>
              <w:t>、主流新闻媒体宣传报道。区级加</w:t>
            </w:r>
            <w:r>
              <w:rPr>
                <w:rFonts w:ascii="Times New Roman" w:eastAsia="仿宋_GB2312" w:hAnsi="Times New Roman" w:cs="方正仿宋_GB2312"/>
                <w:color w:val="000000" w:themeColor="text1"/>
                <w:sz w:val="24"/>
                <w:szCs w:val="24"/>
              </w:rPr>
              <w:t>1</w:t>
            </w:r>
            <w:r>
              <w:rPr>
                <w:rFonts w:ascii="Times New Roman" w:eastAsia="仿宋_GB2312" w:hAnsi="Times New Roman" w:cs="方正仿宋_GB2312"/>
                <w:color w:val="000000" w:themeColor="text1"/>
                <w:sz w:val="24"/>
                <w:szCs w:val="24"/>
              </w:rPr>
              <w:t>分，</w:t>
            </w:r>
            <w:r>
              <w:rPr>
                <w:rFonts w:ascii="Times New Roman" w:eastAsia="仿宋_GB2312" w:hAnsi="Times New Roman" w:cs="方正仿宋_GB2312" w:hint="eastAsia"/>
                <w:color w:val="000000" w:themeColor="text1"/>
                <w:sz w:val="24"/>
                <w:szCs w:val="24"/>
              </w:rPr>
              <w:t>市级加</w:t>
            </w:r>
            <w:r>
              <w:rPr>
                <w:rFonts w:ascii="Times New Roman" w:eastAsia="仿宋_GB2312" w:hAnsi="Times New Roman" w:cs="方正仿宋_GB2312" w:hint="eastAsia"/>
                <w:color w:val="000000" w:themeColor="text1"/>
                <w:sz w:val="24"/>
                <w:szCs w:val="24"/>
              </w:rPr>
              <w:t>2</w:t>
            </w:r>
            <w:r>
              <w:rPr>
                <w:rFonts w:ascii="Times New Roman" w:eastAsia="仿宋_GB2312" w:hAnsi="Times New Roman" w:cs="方正仿宋_GB2312" w:hint="eastAsia"/>
                <w:color w:val="000000" w:themeColor="text1"/>
                <w:sz w:val="24"/>
                <w:szCs w:val="24"/>
              </w:rPr>
              <w:t>分，省级加</w:t>
            </w:r>
            <w:r>
              <w:rPr>
                <w:rFonts w:ascii="Times New Roman" w:eastAsia="仿宋_GB2312" w:hAnsi="Times New Roman" w:cs="方正仿宋_GB2312" w:hint="eastAsia"/>
                <w:color w:val="000000" w:themeColor="text1"/>
                <w:sz w:val="24"/>
                <w:szCs w:val="24"/>
              </w:rPr>
              <w:t>3</w:t>
            </w:r>
            <w:r>
              <w:rPr>
                <w:rFonts w:ascii="Times New Roman" w:eastAsia="仿宋_GB2312" w:hAnsi="Times New Roman" w:cs="方正仿宋_GB2312" w:hint="eastAsia"/>
                <w:color w:val="000000" w:themeColor="text1"/>
                <w:sz w:val="24"/>
                <w:szCs w:val="24"/>
              </w:rPr>
              <w:t>分，国家级及以上加</w:t>
            </w:r>
            <w:r>
              <w:rPr>
                <w:rFonts w:ascii="Times New Roman" w:eastAsia="仿宋_GB2312" w:hAnsi="Times New Roman" w:cs="方正仿宋_GB2312" w:hint="eastAsia"/>
                <w:color w:val="000000" w:themeColor="text1"/>
                <w:sz w:val="24"/>
                <w:szCs w:val="24"/>
              </w:rPr>
              <w:t>5</w:t>
            </w:r>
            <w:r>
              <w:rPr>
                <w:rFonts w:ascii="Times New Roman" w:eastAsia="仿宋_GB2312" w:hAnsi="Times New Roman" w:cs="方正仿宋_GB2312" w:hint="eastAsia"/>
                <w:color w:val="000000" w:themeColor="text1"/>
                <w:sz w:val="24"/>
                <w:szCs w:val="24"/>
              </w:rPr>
              <w:t>分。不重复计分。</w:t>
            </w:r>
          </w:p>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4</w:t>
            </w:r>
            <w:r>
              <w:rPr>
                <w:rFonts w:ascii="Times New Roman" w:eastAsia="仿宋_GB2312" w:hAnsi="Times New Roman" w:cs="方正仿宋_GB2312" w:hint="eastAsia"/>
                <w:color w:val="000000" w:themeColor="text1"/>
                <w:sz w:val="24"/>
                <w:szCs w:val="24"/>
              </w:rPr>
              <w:t>、有成功运营案例加</w:t>
            </w:r>
            <w:r>
              <w:rPr>
                <w:rFonts w:ascii="Times New Roman" w:eastAsia="仿宋_GB2312" w:hAnsi="Times New Roman" w:cs="方正仿宋_GB2312"/>
                <w:color w:val="000000" w:themeColor="text1"/>
                <w:sz w:val="24"/>
                <w:szCs w:val="24"/>
              </w:rPr>
              <w:t>2</w:t>
            </w:r>
            <w:r>
              <w:rPr>
                <w:rFonts w:ascii="Times New Roman" w:eastAsia="仿宋_GB2312" w:hAnsi="Times New Roman" w:cs="方正仿宋_GB2312"/>
                <w:color w:val="000000" w:themeColor="text1"/>
                <w:sz w:val="24"/>
                <w:szCs w:val="24"/>
              </w:rPr>
              <w:t>分。</w:t>
            </w:r>
          </w:p>
        </w:tc>
        <w:tc>
          <w:tcPr>
            <w:tcW w:w="130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提供佐证资料，评审组审核</w:t>
            </w:r>
          </w:p>
        </w:tc>
      </w:tr>
      <w:tr w:rsidR="0018700C">
        <w:trPr>
          <w:trHeight w:val="688"/>
          <w:jc w:val="center"/>
        </w:trPr>
        <w:tc>
          <w:tcPr>
            <w:tcW w:w="726" w:type="dxa"/>
            <w:vMerge/>
            <w:tcBorders>
              <w:left w:val="single" w:sz="4" w:space="0" w:color="000000"/>
              <w:bottom w:val="single" w:sz="4" w:space="0" w:color="000000"/>
              <w:right w:val="single" w:sz="4" w:space="0" w:color="000000"/>
            </w:tcBorders>
            <w:noWrap/>
            <w:vAlign w:val="center"/>
          </w:tcPr>
          <w:p w:rsidR="0018700C" w:rsidRDefault="0018700C">
            <w:pPr>
              <w:snapToGrid w:val="0"/>
              <w:spacing w:line="300" w:lineRule="exact"/>
              <w:jc w:val="center"/>
              <w:rPr>
                <w:rFonts w:ascii="Times New Roman" w:eastAsia="仿宋_GB2312" w:hAnsi="Times New Roman" w:cs="方正仿宋_GB2312"/>
                <w:color w:val="000000" w:themeColor="text1"/>
                <w:sz w:val="24"/>
                <w:szCs w:val="24"/>
              </w:rPr>
            </w:pPr>
          </w:p>
        </w:tc>
        <w:tc>
          <w:tcPr>
            <w:tcW w:w="1395"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300" w:lineRule="exact"/>
              <w:jc w:val="center"/>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否决项</w:t>
            </w:r>
          </w:p>
        </w:tc>
        <w:tc>
          <w:tcPr>
            <w:tcW w:w="840" w:type="dxa"/>
            <w:tcBorders>
              <w:top w:val="single" w:sz="4" w:space="0" w:color="000000"/>
              <w:left w:val="nil"/>
              <w:bottom w:val="single" w:sz="4" w:space="0" w:color="000000"/>
              <w:right w:val="single" w:sz="4" w:space="0" w:color="000000"/>
            </w:tcBorders>
            <w:noWrap/>
            <w:vAlign w:val="center"/>
          </w:tcPr>
          <w:p w:rsidR="0018700C" w:rsidRDefault="0018700C">
            <w:pPr>
              <w:snapToGrid w:val="0"/>
              <w:spacing w:line="300" w:lineRule="exact"/>
              <w:jc w:val="center"/>
              <w:rPr>
                <w:rFonts w:ascii="Times New Roman" w:eastAsia="仿宋_GB2312" w:hAnsi="Times New Roman" w:cs="方正仿宋_GB2312"/>
                <w:color w:val="000000" w:themeColor="text1"/>
                <w:sz w:val="24"/>
                <w:szCs w:val="24"/>
              </w:rPr>
            </w:pPr>
          </w:p>
        </w:tc>
        <w:tc>
          <w:tcPr>
            <w:tcW w:w="5070"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发生过安全责任事故的，受相关部门或行业处罚的，有其他违法行为或数据资料造假的一票否决。</w:t>
            </w:r>
          </w:p>
        </w:tc>
        <w:tc>
          <w:tcPr>
            <w:tcW w:w="130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300" w:lineRule="exact"/>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评审组审核</w:t>
            </w:r>
          </w:p>
        </w:tc>
      </w:tr>
      <w:tr w:rsidR="0018700C">
        <w:trPr>
          <w:trHeight w:val="688"/>
          <w:jc w:val="center"/>
        </w:trPr>
        <w:tc>
          <w:tcPr>
            <w:tcW w:w="726" w:type="dxa"/>
            <w:tcBorders>
              <w:top w:val="single" w:sz="4" w:space="0" w:color="000000"/>
              <w:left w:val="single" w:sz="4" w:space="0" w:color="000000"/>
              <w:bottom w:val="single" w:sz="4" w:space="0" w:color="000000"/>
              <w:right w:val="single" w:sz="4" w:space="0" w:color="000000"/>
            </w:tcBorders>
            <w:noWrap/>
            <w:vAlign w:val="center"/>
          </w:tcPr>
          <w:p w:rsidR="0018700C" w:rsidRDefault="0018700C">
            <w:pPr>
              <w:snapToGrid w:val="0"/>
              <w:spacing w:line="300" w:lineRule="exact"/>
              <w:jc w:val="center"/>
              <w:rPr>
                <w:rFonts w:ascii="Times New Roman" w:eastAsia="仿宋_GB2312" w:hAnsi="Times New Roman" w:cs="方正仿宋_GB2312"/>
                <w:color w:val="000000" w:themeColor="text1"/>
                <w:sz w:val="24"/>
                <w:szCs w:val="24"/>
              </w:rPr>
            </w:pPr>
          </w:p>
        </w:tc>
        <w:tc>
          <w:tcPr>
            <w:tcW w:w="1395"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300" w:lineRule="exact"/>
              <w:jc w:val="center"/>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总分</w:t>
            </w:r>
          </w:p>
        </w:tc>
        <w:tc>
          <w:tcPr>
            <w:tcW w:w="840"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300" w:lineRule="exact"/>
              <w:jc w:val="center"/>
              <w:rPr>
                <w:rFonts w:ascii="Times New Roman" w:eastAsia="仿宋_GB2312" w:hAnsi="Times New Roman" w:cs="方正仿宋_GB2312"/>
                <w:color w:val="000000" w:themeColor="text1"/>
                <w:sz w:val="24"/>
                <w:szCs w:val="24"/>
              </w:rPr>
            </w:pPr>
            <w:r>
              <w:rPr>
                <w:rFonts w:ascii="Times New Roman" w:eastAsia="仿宋_GB2312" w:hAnsi="Times New Roman" w:cs="方正仿宋_GB2312" w:hint="eastAsia"/>
                <w:color w:val="000000" w:themeColor="text1"/>
                <w:sz w:val="24"/>
                <w:szCs w:val="24"/>
              </w:rPr>
              <w:t>100</w:t>
            </w:r>
            <w:r>
              <w:rPr>
                <w:rFonts w:ascii="Times New Roman" w:eastAsia="仿宋_GB2312" w:hAnsi="Times New Roman" w:cs="方正仿宋_GB2312" w:hint="eastAsia"/>
                <w:color w:val="000000" w:themeColor="text1"/>
                <w:sz w:val="24"/>
                <w:szCs w:val="24"/>
              </w:rPr>
              <w:t>分</w:t>
            </w:r>
          </w:p>
        </w:tc>
        <w:tc>
          <w:tcPr>
            <w:tcW w:w="5070" w:type="dxa"/>
            <w:tcBorders>
              <w:top w:val="single" w:sz="4" w:space="0" w:color="000000"/>
              <w:left w:val="nil"/>
              <w:bottom w:val="single" w:sz="4" w:space="0" w:color="000000"/>
              <w:right w:val="single" w:sz="4" w:space="0" w:color="000000"/>
            </w:tcBorders>
            <w:noWrap/>
            <w:vAlign w:val="center"/>
          </w:tcPr>
          <w:p w:rsidR="0018700C" w:rsidRDefault="0018700C">
            <w:pPr>
              <w:snapToGrid w:val="0"/>
              <w:spacing w:line="300" w:lineRule="exact"/>
              <w:rPr>
                <w:rFonts w:ascii="Times New Roman" w:eastAsia="仿宋_GB2312" w:hAnsi="Times New Roman" w:cs="方正仿宋_GB2312"/>
                <w:color w:val="000000" w:themeColor="text1"/>
                <w:sz w:val="24"/>
                <w:szCs w:val="24"/>
              </w:rPr>
            </w:pPr>
          </w:p>
        </w:tc>
        <w:tc>
          <w:tcPr>
            <w:tcW w:w="1307" w:type="dxa"/>
            <w:tcBorders>
              <w:top w:val="single" w:sz="4" w:space="0" w:color="000000"/>
              <w:left w:val="nil"/>
              <w:bottom w:val="single" w:sz="4" w:space="0" w:color="000000"/>
              <w:right w:val="single" w:sz="4" w:space="0" w:color="000000"/>
            </w:tcBorders>
            <w:noWrap/>
            <w:vAlign w:val="center"/>
          </w:tcPr>
          <w:p w:rsidR="0018700C" w:rsidRDefault="0018700C">
            <w:pPr>
              <w:snapToGrid w:val="0"/>
              <w:spacing w:line="300" w:lineRule="exact"/>
              <w:rPr>
                <w:rFonts w:ascii="Times New Roman" w:eastAsia="仿宋_GB2312" w:hAnsi="Times New Roman" w:cs="方正仿宋_GB2312"/>
                <w:color w:val="000000" w:themeColor="text1"/>
                <w:sz w:val="24"/>
                <w:szCs w:val="24"/>
              </w:rPr>
            </w:pPr>
          </w:p>
        </w:tc>
      </w:tr>
    </w:tbl>
    <w:p w:rsidR="0018700C" w:rsidRDefault="0018700C">
      <w:pPr>
        <w:spacing w:line="560" w:lineRule="exact"/>
        <w:rPr>
          <w:rFonts w:ascii="Times New Roman" w:hAnsi="Times New Roman"/>
          <w:color w:val="000000" w:themeColor="text1"/>
          <w:sz w:val="30"/>
          <w:szCs w:val="30"/>
        </w:rPr>
      </w:pPr>
    </w:p>
    <w:p w:rsidR="0018700C" w:rsidRDefault="0018700C">
      <w:pPr>
        <w:spacing w:line="560" w:lineRule="exact"/>
        <w:rPr>
          <w:rFonts w:ascii="Times New Roman" w:hAnsi="Times New Roman"/>
          <w:color w:val="000000" w:themeColor="text1"/>
          <w:sz w:val="30"/>
          <w:szCs w:val="30"/>
        </w:rPr>
      </w:pPr>
    </w:p>
    <w:p w:rsidR="0018700C" w:rsidRDefault="0018700C">
      <w:pPr>
        <w:spacing w:line="560" w:lineRule="exact"/>
        <w:rPr>
          <w:rFonts w:ascii="Times New Roman" w:hAnsi="Times New Roman"/>
          <w:color w:val="000000" w:themeColor="text1"/>
          <w:sz w:val="30"/>
          <w:szCs w:val="30"/>
        </w:rPr>
      </w:pPr>
    </w:p>
    <w:p w:rsidR="0018700C" w:rsidRDefault="0018700C">
      <w:pPr>
        <w:spacing w:line="560" w:lineRule="exact"/>
        <w:rPr>
          <w:rFonts w:ascii="Times New Roman" w:hAnsi="Times New Roman"/>
          <w:color w:val="000000" w:themeColor="text1"/>
          <w:sz w:val="30"/>
          <w:szCs w:val="30"/>
        </w:rPr>
      </w:pPr>
    </w:p>
    <w:p w:rsidR="0018700C" w:rsidRDefault="0018700C">
      <w:pPr>
        <w:spacing w:line="560" w:lineRule="exact"/>
        <w:rPr>
          <w:rFonts w:ascii="Times New Roman" w:hAnsi="Times New Roman"/>
          <w:color w:val="000000" w:themeColor="text1"/>
          <w:sz w:val="30"/>
          <w:szCs w:val="30"/>
        </w:rPr>
      </w:pPr>
    </w:p>
    <w:p w:rsidR="0018700C" w:rsidRDefault="0018700C">
      <w:pPr>
        <w:spacing w:line="560" w:lineRule="exact"/>
        <w:rPr>
          <w:rFonts w:ascii="Times New Roman" w:hAnsi="Times New Roman"/>
          <w:color w:val="000000" w:themeColor="text1"/>
          <w:sz w:val="30"/>
          <w:szCs w:val="30"/>
        </w:rPr>
      </w:pPr>
    </w:p>
    <w:p w:rsidR="0018700C" w:rsidRDefault="0018700C">
      <w:pPr>
        <w:spacing w:line="560" w:lineRule="exact"/>
        <w:rPr>
          <w:rFonts w:ascii="Times New Roman" w:hAnsi="Times New Roman"/>
          <w:color w:val="000000" w:themeColor="text1"/>
          <w:sz w:val="30"/>
          <w:szCs w:val="30"/>
        </w:rPr>
      </w:pPr>
    </w:p>
    <w:p w:rsidR="0018700C" w:rsidRDefault="0018700C">
      <w:pPr>
        <w:spacing w:line="560" w:lineRule="exact"/>
        <w:rPr>
          <w:rFonts w:ascii="Times New Roman" w:hAnsi="Times New Roman"/>
          <w:color w:val="000000" w:themeColor="text1"/>
          <w:sz w:val="30"/>
          <w:szCs w:val="30"/>
        </w:rPr>
      </w:pPr>
    </w:p>
    <w:p w:rsidR="0018700C" w:rsidRDefault="0018700C">
      <w:pPr>
        <w:spacing w:line="560" w:lineRule="exact"/>
        <w:rPr>
          <w:rFonts w:ascii="Times New Roman" w:hAnsi="Times New Roman"/>
          <w:color w:val="000000" w:themeColor="text1"/>
          <w:sz w:val="30"/>
          <w:szCs w:val="30"/>
        </w:rPr>
      </w:pPr>
    </w:p>
    <w:p w:rsidR="0018700C" w:rsidRDefault="0018700C">
      <w:pPr>
        <w:spacing w:line="560" w:lineRule="exact"/>
        <w:rPr>
          <w:rFonts w:ascii="Times New Roman" w:hAnsi="Times New Roman"/>
          <w:color w:val="000000" w:themeColor="text1"/>
          <w:sz w:val="30"/>
          <w:szCs w:val="30"/>
        </w:rPr>
      </w:pPr>
    </w:p>
    <w:p w:rsidR="0018700C" w:rsidRDefault="0018700C">
      <w:pPr>
        <w:spacing w:line="560" w:lineRule="exact"/>
        <w:rPr>
          <w:rFonts w:ascii="Times New Roman" w:hAnsi="Times New Roman"/>
          <w:color w:val="000000" w:themeColor="text1"/>
          <w:sz w:val="30"/>
          <w:szCs w:val="30"/>
        </w:rPr>
      </w:pPr>
    </w:p>
    <w:p w:rsidR="0018700C" w:rsidRDefault="0018700C">
      <w:pPr>
        <w:spacing w:line="560" w:lineRule="exact"/>
        <w:rPr>
          <w:rFonts w:ascii="Times New Roman" w:hAnsi="Times New Roman"/>
          <w:color w:val="000000" w:themeColor="text1"/>
          <w:sz w:val="30"/>
          <w:szCs w:val="30"/>
        </w:rPr>
      </w:pPr>
    </w:p>
    <w:p w:rsidR="0018700C" w:rsidRDefault="0018700C">
      <w:pPr>
        <w:spacing w:line="560" w:lineRule="exact"/>
        <w:rPr>
          <w:rFonts w:ascii="Times New Roman" w:hAnsi="Times New Roman"/>
          <w:color w:val="000000" w:themeColor="text1"/>
          <w:sz w:val="30"/>
          <w:szCs w:val="30"/>
        </w:rPr>
      </w:pPr>
    </w:p>
    <w:p w:rsidR="0018700C" w:rsidRDefault="0018700C">
      <w:pPr>
        <w:spacing w:line="560" w:lineRule="exact"/>
        <w:rPr>
          <w:rFonts w:ascii="Times New Roman" w:hAnsi="Times New Roman"/>
          <w:color w:val="000000" w:themeColor="text1"/>
          <w:sz w:val="30"/>
          <w:szCs w:val="30"/>
        </w:rPr>
      </w:pPr>
    </w:p>
    <w:p w:rsidR="0018700C" w:rsidRDefault="0018700C">
      <w:pPr>
        <w:spacing w:line="560" w:lineRule="exact"/>
        <w:rPr>
          <w:rFonts w:ascii="Times New Roman" w:hAnsi="Times New Roman"/>
          <w:color w:val="000000" w:themeColor="text1"/>
          <w:sz w:val="30"/>
          <w:szCs w:val="30"/>
        </w:rPr>
      </w:pPr>
    </w:p>
    <w:p w:rsidR="0018700C" w:rsidRDefault="0018700C">
      <w:pPr>
        <w:spacing w:line="560" w:lineRule="exact"/>
        <w:rPr>
          <w:rFonts w:ascii="Times New Roman" w:hAnsi="Times New Roman"/>
          <w:color w:val="000000" w:themeColor="text1"/>
          <w:sz w:val="30"/>
          <w:szCs w:val="30"/>
        </w:rPr>
      </w:pPr>
    </w:p>
    <w:p w:rsidR="0018700C" w:rsidRDefault="00431B16">
      <w:pPr>
        <w:spacing w:line="560" w:lineRule="exact"/>
        <w:rPr>
          <w:rFonts w:ascii="Times New Roman" w:hAnsi="Times New Roman"/>
          <w:color w:val="000000" w:themeColor="text1"/>
          <w:sz w:val="30"/>
          <w:szCs w:val="30"/>
        </w:rPr>
      </w:pPr>
      <w:r>
        <w:rPr>
          <w:rFonts w:ascii="Times New Roman" w:hAnsi="Times New Roman" w:hint="eastAsia"/>
          <w:color w:val="000000" w:themeColor="text1"/>
          <w:sz w:val="30"/>
          <w:szCs w:val="30"/>
        </w:rPr>
        <w:lastRenderedPageBreak/>
        <w:t>附件</w:t>
      </w:r>
      <w:r>
        <w:rPr>
          <w:rFonts w:ascii="Times New Roman" w:hAnsi="Times New Roman" w:hint="eastAsia"/>
          <w:color w:val="000000" w:themeColor="text1"/>
          <w:sz w:val="30"/>
          <w:szCs w:val="30"/>
        </w:rPr>
        <w:t>2</w:t>
      </w:r>
    </w:p>
    <w:p w:rsidR="0018700C" w:rsidRDefault="00431B16">
      <w:pPr>
        <w:ind w:firstLine="640"/>
        <w:jc w:val="center"/>
        <w:rPr>
          <w:rFonts w:ascii="Times New Roman" w:eastAsia="方正小标宋简体" w:hAnsi="Times New Roman"/>
          <w:b/>
          <w:color w:val="000000" w:themeColor="text1"/>
          <w:sz w:val="36"/>
          <w:szCs w:val="36"/>
        </w:rPr>
      </w:pPr>
      <w:r>
        <w:rPr>
          <w:rFonts w:ascii="Times New Roman" w:eastAsia="华文中宋" w:hAnsi="Times New Roman" w:cs="华文中宋" w:hint="eastAsia"/>
          <w:b/>
          <w:color w:val="000000" w:themeColor="text1"/>
          <w:sz w:val="36"/>
          <w:szCs w:val="36"/>
        </w:rPr>
        <w:t>上城区博物馆群落星级馆评定表</w:t>
      </w:r>
    </w:p>
    <w:tbl>
      <w:tblPr>
        <w:tblW w:w="9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912"/>
        <w:gridCol w:w="992"/>
        <w:gridCol w:w="5067"/>
        <w:gridCol w:w="1321"/>
      </w:tblGrid>
      <w:tr w:rsidR="0018700C">
        <w:trPr>
          <w:trHeight w:val="613"/>
          <w:jc w:val="center"/>
        </w:trPr>
        <w:tc>
          <w:tcPr>
            <w:tcW w:w="900" w:type="dxa"/>
            <w:tcBorders>
              <w:top w:val="single" w:sz="4" w:space="0" w:color="000000"/>
              <w:left w:val="single" w:sz="4" w:space="0" w:color="000000"/>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 w:hAnsi="Times New Roman" w:cs="仿宋"/>
                <w:b/>
                <w:color w:val="000000" w:themeColor="text1"/>
                <w:sz w:val="24"/>
                <w:szCs w:val="24"/>
              </w:rPr>
            </w:pPr>
            <w:r>
              <w:rPr>
                <w:rFonts w:ascii="Times New Roman" w:eastAsia="仿宋" w:hAnsi="Times New Roman" w:cs="仿宋" w:hint="eastAsia"/>
                <w:b/>
                <w:color w:val="000000" w:themeColor="text1"/>
                <w:sz w:val="24"/>
                <w:szCs w:val="24"/>
              </w:rPr>
              <w:t>序号</w:t>
            </w:r>
          </w:p>
        </w:tc>
        <w:tc>
          <w:tcPr>
            <w:tcW w:w="912"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 w:hAnsi="Times New Roman" w:cs="仿宋"/>
                <w:b/>
                <w:color w:val="000000" w:themeColor="text1"/>
                <w:sz w:val="24"/>
                <w:szCs w:val="24"/>
              </w:rPr>
            </w:pPr>
            <w:r>
              <w:rPr>
                <w:rFonts w:ascii="Times New Roman" w:eastAsia="仿宋" w:hAnsi="Times New Roman" w:cs="仿宋" w:hint="eastAsia"/>
                <w:b/>
                <w:color w:val="000000" w:themeColor="text1"/>
                <w:sz w:val="24"/>
                <w:szCs w:val="24"/>
              </w:rPr>
              <w:t>类别</w:t>
            </w:r>
          </w:p>
        </w:tc>
        <w:tc>
          <w:tcPr>
            <w:tcW w:w="992"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 w:hAnsi="Times New Roman" w:cs="仿宋"/>
                <w:b/>
                <w:color w:val="000000" w:themeColor="text1"/>
                <w:sz w:val="24"/>
                <w:szCs w:val="24"/>
              </w:rPr>
            </w:pPr>
            <w:r>
              <w:rPr>
                <w:rFonts w:ascii="Times New Roman" w:eastAsia="仿宋" w:hAnsi="Times New Roman" w:cs="仿宋" w:hint="eastAsia"/>
                <w:b/>
                <w:color w:val="000000" w:themeColor="text1"/>
                <w:sz w:val="24"/>
                <w:szCs w:val="24"/>
              </w:rPr>
              <w:t>分值</w:t>
            </w:r>
          </w:p>
        </w:tc>
        <w:tc>
          <w:tcPr>
            <w:tcW w:w="506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 w:hAnsi="Times New Roman" w:cs="仿宋"/>
                <w:b/>
                <w:color w:val="000000" w:themeColor="text1"/>
                <w:sz w:val="24"/>
                <w:szCs w:val="24"/>
              </w:rPr>
            </w:pPr>
            <w:r>
              <w:rPr>
                <w:rFonts w:ascii="Times New Roman" w:eastAsia="仿宋" w:hAnsi="Times New Roman" w:cs="仿宋" w:hint="eastAsia"/>
                <w:b/>
                <w:color w:val="000000" w:themeColor="text1"/>
                <w:sz w:val="24"/>
                <w:szCs w:val="24"/>
              </w:rPr>
              <w:t>内</w:t>
            </w:r>
            <w:r>
              <w:rPr>
                <w:rFonts w:ascii="Times New Roman" w:eastAsia="仿宋" w:hAnsi="Times New Roman" w:cs="仿宋" w:hint="eastAsia"/>
                <w:b/>
                <w:color w:val="000000" w:themeColor="text1"/>
                <w:sz w:val="24"/>
                <w:szCs w:val="24"/>
              </w:rPr>
              <w:t xml:space="preserve"> </w:t>
            </w:r>
            <w:r>
              <w:rPr>
                <w:rFonts w:ascii="Times New Roman" w:eastAsia="仿宋" w:hAnsi="Times New Roman" w:cs="仿宋" w:hint="eastAsia"/>
                <w:b/>
                <w:color w:val="000000" w:themeColor="text1"/>
                <w:sz w:val="24"/>
                <w:szCs w:val="24"/>
              </w:rPr>
              <w:t>容</w:t>
            </w:r>
          </w:p>
        </w:tc>
        <w:tc>
          <w:tcPr>
            <w:tcW w:w="1321"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 w:hAnsi="Times New Roman" w:cs="仿宋"/>
                <w:b/>
                <w:color w:val="000000" w:themeColor="text1"/>
                <w:sz w:val="24"/>
                <w:szCs w:val="24"/>
              </w:rPr>
            </w:pPr>
            <w:r>
              <w:rPr>
                <w:rFonts w:ascii="Times New Roman" w:eastAsia="仿宋" w:hAnsi="Times New Roman" w:cs="仿宋" w:hint="eastAsia"/>
                <w:b/>
                <w:color w:val="000000" w:themeColor="text1"/>
                <w:sz w:val="24"/>
                <w:szCs w:val="24"/>
              </w:rPr>
              <w:t>评审办法</w:t>
            </w:r>
          </w:p>
        </w:tc>
      </w:tr>
      <w:tr w:rsidR="0018700C">
        <w:trPr>
          <w:trHeight w:val="959"/>
          <w:jc w:val="center"/>
        </w:trPr>
        <w:tc>
          <w:tcPr>
            <w:tcW w:w="900" w:type="dxa"/>
            <w:vMerge w:val="restart"/>
            <w:tcBorders>
              <w:top w:val="nil"/>
              <w:left w:val="single" w:sz="4" w:space="0" w:color="000000"/>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1</w:t>
            </w:r>
          </w:p>
          <w:p w:rsidR="0018700C" w:rsidRDefault="0018700C">
            <w:pPr>
              <w:snapToGrid w:val="0"/>
              <w:spacing w:line="440" w:lineRule="exact"/>
              <w:jc w:val="center"/>
              <w:rPr>
                <w:rFonts w:ascii="Times New Roman" w:eastAsia="仿宋_GB2312" w:hAnsi="Times New Roman" w:cs="仿宋"/>
                <w:color w:val="000000" w:themeColor="text1"/>
                <w:sz w:val="24"/>
                <w:szCs w:val="24"/>
              </w:rPr>
            </w:pPr>
          </w:p>
        </w:tc>
        <w:tc>
          <w:tcPr>
            <w:tcW w:w="912" w:type="dxa"/>
            <w:vMerge w:val="restart"/>
            <w:tcBorders>
              <w:top w:val="nil"/>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硬件设施设备</w:t>
            </w:r>
          </w:p>
        </w:tc>
        <w:tc>
          <w:tcPr>
            <w:tcW w:w="992"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w:t>
            </w:r>
          </w:p>
        </w:tc>
        <w:tc>
          <w:tcPr>
            <w:tcW w:w="506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场馆面</w:t>
            </w:r>
            <w:r>
              <w:rPr>
                <w:rFonts w:ascii="Times New Roman" w:eastAsia="仿宋_GB2312" w:hAnsi="Times New Roman" w:cs="仿宋" w:hint="eastAsia"/>
                <w:color w:val="000000" w:themeColor="text1"/>
                <w:sz w:val="24"/>
                <w:szCs w:val="24"/>
              </w:rPr>
              <w:t>100</w:t>
            </w:r>
            <w:r>
              <w:rPr>
                <w:rFonts w:ascii="Times New Roman" w:eastAsia="仿宋_GB2312" w:hAnsi="Times New Roman" w:cs="仿宋" w:hint="eastAsia"/>
                <w:color w:val="000000" w:themeColor="text1"/>
                <w:sz w:val="24"/>
                <w:szCs w:val="24"/>
              </w:rPr>
              <w:t>平米以上</w:t>
            </w: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分，每增加</w:t>
            </w:r>
            <w:r>
              <w:rPr>
                <w:rFonts w:ascii="Times New Roman" w:eastAsia="仿宋_GB2312" w:hAnsi="Times New Roman" w:cs="仿宋" w:hint="eastAsia"/>
                <w:color w:val="000000" w:themeColor="text1"/>
                <w:sz w:val="24"/>
                <w:szCs w:val="24"/>
              </w:rPr>
              <w:t>50</w:t>
            </w:r>
            <w:r>
              <w:rPr>
                <w:rFonts w:ascii="Times New Roman" w:eastAsia="仿宋_GB2312" w:hAnsi="Times New Roman" w:cs="仿宋" w:hint="eastAsia"/>
                <w:color w:val="000000" w:themeColor="text1"/>
                <w:sz w:val="24"/>
                <w:szCs w:val="24"/>
              </w:rPr>
              <w:t>平方米加</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分，最高</w:t>
            </w: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w:t>
            </w:r>
          </w:p>
        </w:tc>
        <w:tc>
          <w:tcPr>
            <w:tcW w:w="1321" w:type="dxa"/>
            <w:vMerge w:val="restart"/>
            <w:tcBorders>
              <w:top w:val="nil"/>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现场查看</w:t>
            </w:r>
          </w:p>
        </w:tc>
      </w:tr>
      <w:tr w:rsidR="0018700C">
        <w:trPr>
          <w:trHeight w:val="723"/>
          <w:jc w:val="center"/>
        </w:trPr>
        <w:tc>
          <w:tcPr>
            <w:tcW w:w="900" w:type="dxa"/>
            <w:vMerge/>
            <w:tcBorders>
              <w:top w:val="nil"/>
              <w:left w:val="single" w:sz="4" w:space="0" w:color="000000"/>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color w:val="000000" w:themeColor="text1"/>
                <w:sz w:val="24"/>
                <w:szCs w:val="24"/>
              </w:rPr>
            </w:pPr>
          </w:p>
        </w:tc>
        <w:tc>
          <w:tcPr>
            <w:tcW w:w="912" w:type="dxa"/>
            <w:vMerge/>
            <w:tcBorders>
              <w:top w:val="nil"/>
              <w:left w:val="nil"/>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b/>
                <w:color w:val="000000" w:themeColor="text1"/>
                <w:sz w:val="24"/>
                <w:szCs w:val="24"/>
              </w:rPr>
            </w:pPr>
          </w:p>
        </w:tc>
        <w:tc>
          <w:tcPr>
            <w:tcW w:w="992"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分</w:t>
            </w:r>
          </w:p>
        </w:tc>
        <w:tc>
          <w:tcPr>
            <w:tcW w:w="506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具备合格完备的消防安全设施设备。</w:t>
            </w:r>
          </w:p>
        </w:tc>
        <w:tc>
          <w:tcPr>
            <w:tcW w:w="1321" w:type="dxa"/>
            <w:vMerge/>
            <w:tcBorders>
              <w:top w:val="nil"/>
              <w:left w:val="nil"/>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color w:val="000000" w:themeColor="text1"/>
                <w:sz w:val="24"/>
                <w:szCs w:val="24"/>
              </w:rPr>
            </w:pPr>
          </w:p>
        </w:tc>
      </w:tr>
      <w:tr w:rsidR="0018700C">
        <w:trPr>
          <w:trHeight w:val="923"/>
          <w:jc w:val="center"/>
        </w:trPr>
        <w:tc>
          <w:tcPr>
            <w:tcW w:w="900" w:type="dxa"/>
            <w:vMerge/>
            <w:tcBorders>
              <w:top w:val="nil"/>
              <w:left w:val="single" w:sz="4" w:space="0" w:color="000000"/>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color w:val="000000" w:themeColor="text1"/>
                <w:sz w:val="24"/>
                <w:szCs w:val="24"/>
              </w:rPr>
            </w:pPr>
          </w:p>
        </w:tc>
        <w:tc>
          <w:tcPr>
            <w:tcW w:w="912" w:type="dxa"/>
            <w:vMerge/>
            <w:tcBorders>
              <w:top w:val="nil"/>
              <w:left w:val="nil"/>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b/>
                <w:color w:val="000000" w:themeColor="text1"/>
                <w:sz w:val="24"/>
                <w:szCs w:val="24"/>
              </w:rPr>
            </w:pPr>
          </w:p>
        </w:tc>
        <w:tc>
          <w:tcPr>
            <w:tcW w:w="992"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分</w:t>
            </w:r>
          </w:p>
        </w:tc>
        <w:tc>
          <w:tcPr>
            <w:tcW w:w="506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具备展柜展板、灯光照明、导览讲解、预约参观基本设施设备，少</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类扣</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分。</w:t>
            </w:r>
          </w:p>
        </w:tc>
        <w:tc>
          <w:tcPr>
            <w:tcW w:w="1321" w:type="dxa"/>
            <w:vMerge/>
            <w:tcBorders>
              <w:top w:val="nil"/>
              <w:left w:val="nil"/>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color w:val="000000" w:themeColor="text1"/>
                <w:sz w:val="24"/>
                <w:szCs w:val="24"/>
              </w:rPr>
            </w:pPr>
          </w:p>
        </w:tc>
      </w:tr>
      <w:tr w:rsidR="0018700C">
        <w:trPr>
          <w:trHeight w:val="636"/>
          <w:jc w:val="center"/>
        </w:trPr>
        <w:tc>
          <w:tcPr>
            <w:tcW w:w="900" w:type="dxa"/>
            <w:vMerge w:val="restart"/>
            <w:tcBorders>
              <w:top w:val="nil"/>
              <w:left w:val="single" w:sz="4" w:space="0" w:color="000000"/>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3</w:t>
            </w:r>
          </w:p>
        </w:tc>
        <w:tc>
          <w:tcPr>
            <w:tcW w:w="912" w:type="dxa"/>
            <w:vMerge w:val="restart"/>
            <w:tcBorders>
              <w:top w:val="nil"/>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运营管理</w:t>
            </w:r>
          </w:p>
        </w:tc>
        <w:tc>
          <w:tcPr>
            <w:tcW w:w="992"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分</w:t>
            </w:r>
          </w:p>
        </w:tc>
        <w:tc>
          <w:tcPr>
            <w:tcW w:w="506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馆名、标识清楚；责任人公示完备；</w:t>
            </w:r>
          </w:p>
        </w:tc>
        <w:tc>
          <w:tcPr>
            <w:tcW w:w="1321" w:type="dxa"/>
            <w:vMerge/>
            <w:tcBorders>
              <w:top w:val="nil"/>
              <w:left w:val="nil"/>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color w:val="000000" w:themeColor="text1"/>
                <w:sz w:val="24"/>
                <w:szCs w:val="24"/>
              </w:rPr>
            </w:pPr>
          </w:p>
        </w:tc>
      </w:tr>
      <w:tr w:rsidR="0018700C">
        <w:trPr>
          <w:trHeight w:val="1245"/>
          <w:jc w:val="center"/>
        </w:trPr>
        <w:tc>
          <w:tcPr>
            <w:tcW w:w="900" w:type="dxa"/>
            <w:vMerge/>
            <w:tcBorders>
              <w:top w:val="nil"/>
              <w:left w:val="single" w:sz="4" w:space="0" w:color="000000"/>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color w:val="000000" w:themeColor="text1"/>
                <w:sz w:val="24"/>
                <w:szCs w:val="24"/>
              </w:rPr>
            </w:pPr>
          </w:p>
        </w:tc>
        <w:tc>
          <w:tcPr>
            <w:tcW w:w="912" w:type="dxa"/>
            <w:vMerge/>
            <w:tcBorders>
              <w:top w:val="nil"/>
              <w:left w:val="nil"/>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b/>
                <w:color w:val="000000" w:themeColor="text1"/>
                <w:sz w:val="24"/>
                <w:szCs w:val="24"/>
              </w:rPr>
            </w:pPr>
          </w:p>
        </w:tc>
        <w:tc>
          <w:tcPr>
            <w:tcW w:w="992"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分</w:t>
            </w:r>
          </w:p>
        </w:tc>
        <w:tc>
          <w:tcPr>
            <w:tcW w:w="506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规章制度完备，有年度计划（总结）、开馆（参观）须知、活动方案、安全预案、疫情防控方案，得</w:t>
            </w: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分；少</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类扣</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分。</w:t>
            </w:r>
          </w:p>
        </w:tc>
        <w:tc>
          <w:tcPr>
            <w:tcW w:w="1321" w:type="dxa"/>
            <w:vMerge w:val="restart"/>
            <w:tcBorders>
              <w:top w:val="nil"/>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查看台账</w:t>
            </w:r>
          </w:p>
        </w:tc>
      </w:tr>
      <w:tr w:rsidR="0018700C">
        <w:trPr>
          <w:trHeight w:val="923"/>
          <w:jc w:val="center"/>
        </w:trPr>
        <w:tc>
          <w:tcPr>
            <w:tcW w:w="900" w:type="dxa"/>
            <w:vMerge/>
            <w:tcBorders>
              <w:top w:val="nil"/>
              <w:left w:val="single" w:sz="4" w:space="0" w:color="000000"/>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color w:val="000000" w:themeColor="text1"/>
                <w:sz w:val="24"/>
                <w:szCs w:val="24"/>
              </w:rPr>
            </w:pPr>
          </w:p>
        </w:tc>
        <w:tc>
          <w:tcPr>
            <w:tcW w:w="912" w:type="dxa"/>
            <w:vMerge/>
            <w:tcBorders>
              <w:top w:val="nil"/>
              <w:left w:val="nil"/>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b/>
                <w:color w:val="000000" w:themeColor="text1"/>
                <w:sz w:val="24"/>
                <w:szCs w:val="24"/>
              </w:rPr>
            </w:pPr>
          </w:p>
        </w:tc>
        <w:tc>
          <w:tcPr>
            <w:tcW w:w="992"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分</w:t>
            </w:r>
          </w:p>
        </w:tc>
        <w:tc>
          <w:tcPr>
            <w:tcW w:w="506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具有组织完备的管理运营队伍。人数</w:t>
            </w:r>
            <w:r>
              <w:rPr>
                <w:rFonts w:ascii="Times New Roman" w:eastAsia="仿宋_GB2312" w:hAnsi="Times New Roman" w:cs="仿宋" w:hint="eastAsia"/>
                <w:color w:val="000000" w:themeColor="text1"/>
                <w:sz w:val="24"/>
                <w:szCs w:val="24"/>
              </w:rPr>
              <w:t>3</w:t>
            </w:r>
            <w:r>
              <w:rPr>
                <w:rFonts w:ascii="Times New Roman" w:eastAsia="仿宋_GB2312" w:hAnsi="Times New Roman" w:cs="仿宋" w:hint="eastAsia"/>
                <w:color w:val="000000" w:themeColor="text1"/>
                <w:sz w:val="24"/>
                <w:szCs w:val="24"/>
              </w:rPr>
              <w:t>人以上得</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分，每增加</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人加</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分，最高</w:t>
            </w: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分。</w:t>
            </w:r>
          </w:p>
        </w:tc>
        <w:tc>
          <w:tcPr>
            <w:tcW w:w="1321" w:type="dxa"/>
            <w:vMerge/>
            <w:tcBorders>
              <w:top w:val="nil"/>
              <w:left w:val="nil"/>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color w:val="000000" w:themeColor="text1"/>
                <w:sz w:val="24"/>
                <w:szCs w:val="24"/>
              </w:rPr>
            </w:pPr>
          </w:p>
        </w:tc>
      </w:tr>
      <w:tr w:rsidR="0018700C">
        <w:trPr>
          <w:trHeight w:val="923"/>
          <w:jc w:val="center"/>
        </w:trPr>
        <w:tc>
          <w:tcPr>
            <w:tcW w:w="900" w:type="dxa"/>
            <w:vMerge/>
            <w:tcBorders>
              <w:top w:val="nil"/>
              <w:left w:val="single" w:sz="4" w:space="0" w:color="000000"/>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color w:val="000000" w:themeColor="text1"/>
                <w:sz w:val="24"/>
                <w:szCs w:val="24"/>
              </w:rPr>
            </w:pPr>
          </w:p>
        </w:tc>
        <w:tc>
          <w:tcPr>
            <w:tcW w:w="912" w:type="dxa"/>
            <w:vMerge/>
            <w:tcBorders>
              <w:top w:val="nil"/>
              <w:left w:val="nil"/>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b/>
                <w:color w:val="000000" w:themeColor="text1"/>
                <w:sz w:val="24"/>
                <w:szCs w:val="24"/>
              </w:rPr>
            </w:pPr>
          </w:p>
        </w:tc>
        <w:tc>
          <w:tcPr>
            <w:tcW w:w="992"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分</w:t>
            </w:r>
          </w:p>
        </w:tc>
        <w:tc>
          <w:tcPr>
            <w:tcW w:w="506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拥有</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名讲解员得</w:t>
            </w:r>
            <w:r>
              <w:rPr>
                <w:rFonts w:ascii="Times New Roman" w:eastAsia="仿宋_GB2312" w:hAnsi="Times New Roman" w:cs="仿宋" w:hint="eastAsia"/>
                <w:color w:val="000000" w:themeColor="text1"/>
                <w:sz w:val="24"/>
                <w:szCs w:val="24"/>
              </w:rPr>
              <w:t>3</w:t>
            </w:r>
            <w:r>
              <w:rPr>
                <w:rFonts w:ascii="Times New Roman" w:eastAsia="仿宋_GB2312" w:hAnsi="Times New Roman" w:cs="仿宋" w:hint="eastAsia"/>
                <w:color w:val="000000" w:themeColor="text1"/>
                <w:sz w:val="24"/>
                <w:szCs w:val="24"/>
              </w:rPr>
              <w:t>分，每增加</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人加</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分，最高</w:t>
            </w: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分。</w:t>
            </w:r>
          </w:p>
        </w:tc>
        <w:tc>
          <w:tcPr>
            <w:tcW w:w="1321"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现场讲解</w:t>
            </w:r>
          </w:p>
        </w:tc>
      </w:tr>
      <w:tr w:rsidR="0018700C">
        <w:trPr>
          <w:trHeight w:val="923"/>
          <w:jc w:val="center"/>
        </w:trPr>
        <w:tc>
          <w:tcPr>
            <w:tcW w:w="900" w:type="dxa"/>
            <w:vMerge w:val="restart"/>
            <w:tcBorders>
              <w:top w:val="nil"/>
              <w:left w:val="single" w:sz="4" w:space="0" w:color="000000"/>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4</w:t>
            </w:r>
          </w:p>
        </w:tc>
        <w:tc>
          <w:tcPr>
            <w:tcW w:w="912" w:type="dxa"/>
            <w:vMerge w:val="restart"/>
            <w:tcBorders>
              <w:top w:val="nil"/>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陈列展览</w:t>
            </w:r>
          </w:p>
        </w:tc>
        <w:tc>
          <w:tcPr>
            <w:tcW w:w="992"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w:t>
            </w:r>
          </w:p>
        </w:tc>
        <w:tc>
          <w:tcPr>
            <w:tcW w:w="506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有不少于</w:t>
            </w:r>
            <w:r>
              <w:rPr>
                <w:rFonts w:ascii="Times New Roman" w:eastAsia="仿宋_GB2312" w:hAnsi="Times New Roman" w:cs="仿宋" w:hint="eastAsia"/>
                <w:color w:val="000000" w:themeColor="text1"/>
                <w:sz w:val="24"/>
                <w:szCs w:val="24"/>
              </w:rPr>
              <w:t>100</w:t>
            </w:r>
            <w:r>
              <w:rPr>
                <w:rFonts w:ascii="Times New Roman" w:eastAsia="仿宋_GB2312" w:hAnsi="Times New Roman" w:cs="仿宋" w:hint="eastAsia"/>
                <w:color w:val="000000" w:themeColor="text1"/>
                <w:sz w:val="24"/>
                <w:szCs w:val="24"/>
              </w:rPr>
              <w:t>米的展线，展陈内容准确清晰，得</w:t>
            </w: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分；每增加</w:t>
            </w:r>
            <w:r>
              <w:rPr>
                <w:rFonts w:ascii="Times New Roman" w:eastAsia="仿宋_GB2312" w:hAnsi="Times New Roman" w:cs="仿宋" w:hint="eastAsia"/>
                <w:color w:val="000000" w:themeColor="text1"/>
                <w:sz w:val="24"/>
                <w:szCs w:val="24"/>
              </w:rPr>
              <w:t>50</w:t>
            </w:r>
            <w:r>
              <w:rPr>
                <w:rFonts w:ascii="Times New Roman" w:eastAsia="仿宋_GB2312" w:hAnsi="Times New Roman" w:cs="仿宋" w:hint="eastAsia"/>
                <w:color w:val="000000" w:themeColor="text1"/>
                <w:sz w:val="24"/>
                <w:szCs w:val="24"/>
              </w:rPr>
              <w:t>米加</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分，最高</w:t>
            </w: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w:t>
            </w:r>
          </w:p>
        </w:tc>
        <w:tc>
          <w:tcPr>
            <w:tcW w:w="1321" w:type="dxa"/>
            <w:vMerge w:val="restart"/>
            <w:tcBorders>
              <w:top w:val="nil"/>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现场查看</w:t>
            </w:r>
          </w:p>
        </w:tc>
      </w:tr>
      <w:tr w:rsidR="0018700C">
        <w:trPr>
          <w:trHeight w:val="923"/>
          <w:jc w:val="center"/>
        </w:trPr>
        <w:tc>
          <w:tcPr>
            <w:tcW w:w="900" w:type="dxa"/>
            <w:vMerge/>
            <w:tcBorders>
              <w:top w:val="nil"/>
              <w:left w:val="single" w:sz="4" w:space="0" w:color="000000"/>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color w:val="000000" w:themeColor="text1"/>
                <w:sz w:val="24"/>
                <w:szCs w:val="24"/>
              </w:rPr>
            </w:pPr>
          </w:p>
        </w:tc>
        <w:tc>
          <w:tcPr>
            <w:tcW w:w="912" w:type="dxa"/>
            <w:vMerge/>
            <w:tcBorders>
              <w:top w:val="nil"/>
              <w:left w:val="nil"/>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b/>
                <w:color w:val="000000" w:themeColor="text1"/>
                <w:sz w:val="24"/>
                <w:szCs w:val="24"/>
              </w:rPr>
            </w:pPr>
          </w:p>
        </w:tc>
        <w:tc>
          <w:tcPr>
            <w:tcW w:w="992"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w:t>
            </w:r>
          </w:p>
        </w:tc>
        <w:tc>
          <w:tcPr>
            <w:tcW w:w="506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有不少于</w:t>
            </w:r>
            <w:r>
              <w:rPr>
                <w:rFonts w:ascii="Times New Roman" w:eastAsia="仿宋_GB2312" w:hAnsi="Times New Roman" w:cs="仿宋" w:hint="eastAsia"/>
                <w:color w:val="000000" w:themeColor="text1"/>
                <w:sz w:val="24"/>
                <w:szCs w:val="24"/>
              </w:rPr>
              <w:t>100</w:t>
            </w:r>
            <w:r>
              <w:rPr>
                <w:rFonts w:ascii="Times New Roman" w:eastAsia="仿宋_GB2312" w:hAnsi="Times New Roman" w:cs="仿宋" w:hint="eastAsia"/>
                <w:color w:val="000000" w:themeColor="text1"/>
                <w:sz w:val="24"/>
                <w:szCs w:val="24"/>
              </w:rPr>
              <w:t>件的展品，有规范的展标、展牌，得</w:t>
            </w: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分；每增加</w:t>
            </w:r>
            <w:r>
              <w:rPr>
                <w:rFonts w:ascii="Times New Roman" w:eastAsia="仿宋_GB2312" w:hAnsi="Times New Roman" w:cs="仿宋" w:hint="eastAsia"/>
                <w:color w:val="000000" w:themeColor="text1"/>
                <w:sz w:val="24"/>
                <w:szCs w:val="24"/>
              </w:rPr>
              <w:t>50</w:t>
            </w:r>
            <w:r>
              <w:rPr>
                <w:rFonts w:ascii="Times New Roman" w:eastAsia="仿宋_GB2312" w:hAnsi="Times New Roman" w:cs="仿宋" w:hint="eastAsia"/>
                <w:color w:val="000000" w:themeColor="text1"/>
                <w:sz w:val="24"/>
                <w:szCs w:val="24"/>
              </w:rPr>
              <w:t>件加</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分，最高</w:t>
            </w: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w:t>
            </w:r>
          </w:p>
        </w:tc>
        <w:tc>
          <w:tcPr>
            <w:tcW w:w="1321" w:type="dxa"/>
            <w:vMerge/>
            <w:tcBorders>
              <w:top w:val="nil"/>
              <w:left w:val="nil"/>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color w:val="000000" w:themeColor="text1"/>
                <w:sz w:val="24"/>
                <w:szCs w:val="24"/>
              </w:rPr>
            </w:pPr>
          </w:p>
        </w:tc>
      </w:tr>
      <w:tr w:rsidR="0018700C">
        <w:trPr>
          <w:trHeight w:val="923"/>
          <w:jc w:val="center"/>
        </w:trPr>
        <w:tc>
          <w:tcPr>
            <w:tcW w:w="900" w:type="dxa"/>
            <w:vMerge/>
            <w:tcBorders>
              <w:top w:val="nil"/>
              <w:left w:val="single" w:sz="4" w:space="0" w:color="000000"/>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color w:val="000000" w:themeColor="text1"/>
                <w:sz w:val="24"/>
                <w:szCs w:val="24"/>
              </w:rPr>
            </w:pPr>
          </w:p>
        </w:tc>
        <w:tc>
          <w:tcPr>
            <w:tcW w:w="912" w:type="dxa"/>
            <w:vMerge/>
            <w:tcBorders>
              <w:top w:val="nil"/>
              <w:left w:val="nil"/>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b/>
                <w:color w:val="000000" w:themeColor="text1"/>
                <w:sz w:val="24"/>
                <w:szCs w:val="24"/>
              </w:rPr>
            </w:pPr>
          </w:p>
        </w:tc>
        <w:tc>
          <w:tcPr>
            <w:tcW w:w="992"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分</w:t>
            </w:r>
          </w:p>
        </w:tc>
        <w:tc>
          <w:tcPr>
            <w:tcW w:w="506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展陈设计有特色，紧扣展览主题；灯光运用到位，整体氛围良好。</w:t>
            </w:r>
          </w:p>
        </w:tc>
        <w:tc>
          <w:tcPr>
            <w:tcW w:w="1321" w:type="dxa"/>
            <w:vMerge/>
            <w:tcBorders>
              <w:top w:val="nil"/>
              <w:left w:val="nil"/>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color w:val="000000" w:themeColor="text1"/>
                <w:sz w:val="24"/>
                <w:szCs w:val="24"/>
              </w:rPr>
            </w:pPr>
          </w:p>
        </w:tc>
      </w:tr>
      <w:tr w:rsidR="0018700C">
        <w:trPr>
          <w:trHeight w:val="673"/>
          <w:jc w:val="center"/>
        </w:trPr>
        <w:tc>
          <w:tcPr>
            <w:tcW w:w="900" w:type="dxa"/>
            <w:vMerge/>
            <w:tcBorders>
              <w:top w:val="nil"/>
              <w:left w:val="single" w:sz="4" w:space="0" w:color="000000"/>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color w:val="000000" w:themeColor="text1"/>
                <w:sz w:val="24"/>
                <w:szCs w:val="24"/>
              </w:rPr>
            </w:pPr>
          </w:p>
        </w:tc>
        <w:tc>
          <w:tcPr>
            <w:tcW w:w="912" w:type="dxa"/>
            <w:vMerge/>
            <w:tcBorders>
              <w:top w:val="nil"/>
              <w:left w:val="nil"/>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b/>
                <w:color w:val="000000" w:themeColor="text1"/>
                <w:sz w:val="24"/>
                <w:szCs w:val="24"/>
              </w:rPr>
            </w:pPr>
          </w:p>
        </w:tc>
        <w:tc>
          <w:tcPr>
            <w:tcW w:w="992"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分</w:t>
            </w:r>
          </w:p>
        </w:tc>
        <w:tc>
          <w:tcPr>
            <w:tcW w:w="506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参观游线清晰科学。</w:t>
            </w:r>
          </w:p>
        </w:tc>
        <w:tc>
          <w:tcPr>
            <w:tcW w:w="1321" w:type="dxa"/>
            <w:vMerge/>
            <w:tcBorders>
              <w:top w:val="nil"/>
              <w:left w:val="nil"/>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color w:val="000000" w:themeColor="text1"/>
                <w:sz w:val="24"/>
                <w:szCs w:val="24"/>
              </w:rPr>
            </w:pPr>
          </w:p>
        </w:tc>
      </w:tr>
      <w:tr w:rsidR="0018700C">
        <w:trPr>
          <w:trHeight w:val="923"/>
          <w:jc w:val="center"/>
        </w:trPr>
        <w:tc>
          <w:tcPr>
            <w:tcW w:w="900" w:type="dxa"/>
            <w:vMerge w:val="restart"/>
            <w:tcBorders>
              <w:top w:val="nil"/>
              <w:left w:val="single" w:sz="4" w:space="0" w:color="000000"/>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5</w:t>
            </w:r>
          </w:p>
        </w:tc>
        <w:tc>
          <w:tcPr>
            <w:tcW w:w="912" w:type="dxa"/>
            <w:vMerge w:val="restart"/>
            <w:tcBorders>
              <w:top w:val="nil"/>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参观体验</w:t>
            </w:r>
          </w:p>
        </w:tc>
        <w:tc>
          <w:tcPr>
            <w:tcW w:w="992"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20</w:t>
            </w:r>
            <w:r>
              <w:rPr>
                <w:rFonts w:ascii="Times New Roman" w:eastAsia="仿宋_GB2312" w:hAnsi="Times New Roman" w:cs="仿宋" w:hint="eastAsia"/>
                <w:color w:val="000000" w:themeColor="text1"/>
                <w:sz w:val="24"/>
                <w:szCs w:val="24"/>
              </w:rPr>
              <w:t>分</w:t>
            </w:r>
          </w:p>
        </w:tc>
        <w:tc>
          <w:tcPr>
            <w:tcW w:w="506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年度参观人数</w:t>
            </w:r>
            <w:r>
              <w:rPr>
                <w:rFonts w:ascii="Times New Roman" w:eastAsia="仿宋_GB2312" w:hAnsi="Times New Roman" w:cs="仿宋" w:hint="eastAsia"/>
                <w:color w:val="000000" w:themeColor="text1"/>
                <w:sz w:val="24"/>
                <w:szCs w:val="24"/>
              </w:rPr>
              <w:t>0.5</w:t>
            </w:r>
            <w:r>
              <w:rPr>
                <w:rFonts w:ascii="Times New Roman" w:eastAsia="仿宋_GB2312" w:hAnsi="Times New Roman" w:cs="仿宋" w:hint="eastAsia"/>
                <w:color w:val="000000" w:themeColor="text1"/>
                <w:sz w:val="24"/>
                <w:szCs w:val="24"/>
              </w:rPr>
              <w:t>万以上得</w:t>
            </w: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分，</w:t>
            </w:r>
            <w:r>
              <w:rPr>
                <w:rFonts w:ascii="Times New Roman" w:eastAsia="仿宋_GB2312" w:hAnsi="Times New Roman" w:cs="仿宋" w:hint="eastAsia"/>
                <w:color w:val="000000" w:themeColor="text1"/>
                <w:sz w:val="24"/>
                <w:szCs w:val="24"/>
              </w:rPr>
              <w:t>0.5</w:t>
            </w:r>
            <w:r>
              <w:rPr>
                <w:rFonts w:ascii="Times New Roman" w:eastAsia="仿宋_GB2312" w:hAnsi="Times New Roman" w:cs="仿宋" w:hint="eastAsia"/>
                <w:color w:val="000000" w:themeColor="text1"/>
                <w:sz w:val="24"/>
                <w:szCs w:val="24"/>
              </w:rPr>
              <w:t>万人次以下得</w:t>
            </w:r>
            <w:r>
              <w:rPr>
                <w:rFonts w:ascii="Times New Roman" w:eastAsia="仿宋_GB2312" w:hAnsi="Times New Roman" w:cs="仿宋" w:hint="eastAsia"/>
                <w:color w:val="000000" w:themeColor="text1"/>
                <w:sz w:val="24"/>
                <w:szCs w:val="24"/>
              </w:rPr>
              <w:t>0</w:t>
            </w:r>
            <w:r>
              <w:rPr>
                <w:rFonts w:ascii="Times New Roman" w:eastAsia="仿宋_GB2312" w:hAnsi="Times New Roman" w:cs="仿宋" w:hint="eastAsia"/>
                <w:color w:val="000000" w:themeColor="text1"/>
                <w:sz w:val="24"/>
                <w:szCs w:val="24"/>
              </w:rPr>
              <w:t>分；每增加</w:t>
            </w:r>
            <w:r>
              <w:rPr>
                <w:rFonts w:ascii="Times New Roman" w:eastAsia="仿宋_GB2312" w:hAnsi="Times New Roman" w:cs="仿宋" w:hint="eastAsia"/>
                <w:color w:val="000000" w:themeColor="text1"/>
                <w:sz w:val="24"/>
                <w:szCs w:val="24"/>
              </w:rPr>
              <w:t>0.1</w:t>
            </w:r>
            <w:r>
              <w:rPr>
                <w:rFonts w:ascii="Times New Roman" w:eastAsia="仿宋_GB2312" w:hAnsi="Times New Roman" w:cs="仿宋" w:hint="eastAsia"/>
                <w:color w:val="000000" w:themeColor="text1"/>
                <w:sz w:val="24"/>
                <w:szCs w:val="24"/>
              </w:rPr>
              <w:t>万人次加</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分，最高</w:t>
            </w:r>
            <w:r>
              <w:rPr>
                <w:rFonts w:ascii="Times New Roman" w:eastAsia="仿宋_GB2312" w:hAnsi="Times New Roman" w:cs="仿宋" w:hint="eastAsia"/>
                <w:color w:val="000000" w:themeColor="text1"/>
                <w:sz w:val="24"/>
                <w:szCs w:val="24"/>
              </w:rPr>
              <w:t>20</w:t>
            </w:r>
            <w:r>
              <w:rPr>
                <w:rFonts w:ascii="Times New Roman" w:eastAsia="仿宋_GB2312" w:hAnsi="Times New Roman" w:cs="仿宋" w:hint="eastAsia"/>
                <w:color w:val="000000" w:themeColor="text1"/>
                <w:sz w:val="24"/>
                <w:szCs w:val="24"/>
              </w:rPr>
              <w:t>分。</w:t>
            </w:r>
          </w:p>
        </w:tc>
        <w:tc>
          <w:tcPr>
            <w:tcW w:w="1321" w:type="dxa"/>
            <w:vMerge w:val="restart"/>
            <w:tcBorders>
              <w:top w:val="nil"/>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查看台账</w:t>
            </w:r>
          </w:p>
          <w:p w:rsidR="0018700C" w:rsidRDefault="0018700C">
            <w:pPr>
              <w:snapToGrid w:val="0"/>
              <w:spacing w:line="440" w:lineRule="exact"/>
              <w:rPr>
                <w:rFonts w:ascii="Times New Roman" w:eastAsia="仿宋_GB2312" w:hAnsi="Times New Roman" w:cs="仿宋"/>
                <w:color w:val="000000" w:themeColor="text1"/>
                <w:sz w:val="24"/>
                <w:szCs w:val="24"/>
              </w:rPr>
            </w:pPr>
          </w:p>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听取汇报</w:t>
            </w:r>
          </w:p>
        </w:tc>
      </w:tr>
      <w:tr w:rsidR="0018700C">
        <w:trPr>
          <w:trHeight w:val="923"/>
          <w:jc w:val="center"/>
        </w:trPr>
        <w:tc>
          <w:tcPr>
            <w:tcW w:w="900" w:type="dxa"/>
            <w:vMerge/>
            <w:tcBorders>
              <w:top w:val="nil"/>
              <w:left w:val="single" w:sz="4" w:space="0" w:color="000000"/>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color w:val="000000" w:themeColor="text1"/>
                <w:sz w:val="24"/>
                <w:szCs w:val="24"/>
              </w:rPr>
            </w:pPr>
          </w:p>
        </w:tc>
        <w:tc>
          <w:tcPr>
            <w:tcW w:w="912" w:type="dxa"/>
            <w:vMerge/>
            <w:tcBorders>
              <w:top w:val="nil"/>
              <w:left w:val="nil"/>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color w:val="000000" w:themeColor="text1"/>
                <w:sz w:val="24"/>
                <w:szCs w:val="24"/>
              </w:rPr>
            </w:pPr>
          </w:p>
        </w:tc>
        <w:tc>
          <w:tcPr>
            <w:tcW w:w="992"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w:t>
            </w:r>
          </w:p>
        </w:tc>
        <w:tc>
          <w:tcPr>
            <w:tcW w:w="506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年度组织各类开展活动</w:t>
            </w:r>
            <w:r>
              <w:rPr>
                <w:rFonts w:ascii="Times New Roman" w:eastAsia="仿宋_GB2312" w:hAnsi="Times New Roman" w:cs="仿宋" w:hint="eastAsia"/>
                <w:color w:val="000000" w:themeColor="text1"/>
                <w:sz w:val="24"/>
                <w:szCs w:val="24"/>
              </w:rPr>
              <w:t>3</w:t>
            </w:r>
            <w:r>
              <w:rPr>
                <w:rFonts w:ascii="Times New Roman" w:eastAsia="仿宋_GB2312" w:hAnsi="Times New Roman" w:cs="仿宋" w:hint="eastAsia"/>
                <w:color w:val="000000" w:themeColor="text1"/>
                <w:sz w:val="24"/>
                <w:szCs w:val="24"/>
              </w:rPr>
              <w:t>场次以上得</w:t>
            </w:r>
            <w:r>
              <w:rPr>
                <w:rFonts w:ascii="Times New Roman" w:eastAsia="仿宋_GB2312" w:hAnsi="Times New Roman" w:cs="仿宋" w:hint="eastAsia"/>
                <w:color w:val="000000" w:themeColor="text1"/>
                <w:sz w:val="24"/>
                <w:szCs w:val="24"/>
              </w:rPr>
              <w:t>3</w:t>
            </w:r>
            <w:r>
              <w:rPr>
                <w:rFonts w:ascii="Times New Roman" w:eastAsia="仿宋_GB2312" w:hAnsi="Times New Roman" w:cs="仿宋" w:hint="eastAsia"/>
                <w:color w:val="000000" w:themeColor="text1"/>
                <w:sz w:val="24"/>
                <w:szCs w:val="24"/>
              </w:rPr>
              <w:t>分，</w:t>
            </w:r>
            <w:r>
              <w:rPr>
                <w:rFonts w:ascii="Times New Roman" w:eastAsia="仿宋_GB2312" w:hAnsi="Times New Roman" w:cs="仿宋" w:hint="eastAsia"/>
                <w:color w:val="000000" w:themeColor="text1"/>
                <w:sz w:val="24"/>
                <w:szCs w:val="24"/>
              </w:rPr>
              <w:t>3</w:t>
            </w:r>
            <w:r>
              <w:rPr>
                <w:rFonts w:ascii="Times New Roman" w:eastAsia="仿宋_GB2312" w:hAnsi="Times New Roman" w:cs="仿宋" w:hint="eastAsia"/>
                <w:color w:val="000000" w:themeColor="text1"/>
                <w:sz w:val="24"/>
                <w:szCs w:val="24"/>
              </w:rPr>
              <w:t>场次以下得</w:t>
            </w:r>
            <w:r>
              <w:rPr>
                <w:rFonts w:ascii="Times New Roman" w:eastAsia="仿宋_GB2312" w:hAnsi="Times New Roman" w:cs="仿宋" w:hint="eastAsia"/>
                <w:color w:val="000000" w:themeColor="text1"/>
                <w:sz w:val="24"/>
                <w:szCs w:val="24"/>
              </w:rPr>
              <w:t>0</w:t>
            </w:r>
            <w:r>
              <w:rPr>
                <w:rFonts w:ascii="Times New Roman" w:eastAsia="仿宋_GB2312" w:hAnsi="Times New Roman" w:cs="仿宋" w:hint="eastAsia"/>
                <w:color w:val="000000" w:themeColor="text1"/>
                <w:sz w:val="24"/>
                <w:szCs w:val="24"/>
              </w:rPr>
              <w:t>分；每增加</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场次加</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分；最高</w:t>
            </w: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w:t>
            </w:r>
          </w:p>
        </w:tc>
        <w:tc>
          <w:tcPr>
            <w:tcW w:w="1321" w:type="dxa"/>
            <w:vMerge/>
            <w:tcBorders>
              <w:top w:val="nil"/>
              <w:left w:val="nil"/>
              <w:bottom w:val="single" w:sz="4" w:space="0" w:color="000000"/>
              <w:right w:val="single" w:sz="4" w:space="0" w:color="000000"/>
            </w:tcBorders>
            <w:noWrap/>
            <w:vAlign w:val="center"/>
          </w:tcPr>
          <w:p w:rsidR="0018700C" w:rsidRDefault="0018700C">
            <w:pPr>
              <w:widowControl/>
              <w:spacing w:line="440" w:lineRule="exact"/>
              <w:jc w:val="left"/>
              <w:rPr>
                <w:rFonts w:ascii="Times New Roman" w:eastAsia="仿宋_GB2312" w:hAnsi="Times New Roman" w:cs="仿宋"/>
                <w:color w:val="000000" w:themeColor="text1"/>
                <w:sz w:val="24"/>
                <w:szCs w:val="24"/>
              </w:rPr>
            </w:pPr>
          </w:p>
        </w:tc>
      </w:tr>
      <w:tr w:rsidR="0018700C">
        <w:trPr>
          <w:trHeight w:val="1235"/>
          <w:jc w:val="center"/>
        </w:trPr>
        <w:tc>
          <w:tcPr>
            <w:tcW w:w="900" w:type="dxa"/>
            <w:vMerge w:val="restart"/>
            <w:tcBorders>
              <w:top w:val="single" w:sz="4" w:space="0" w:color="000000"/>
              <w:left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6</w:t>
            </w:r>
          </w:p>
          <w:p w:rsidR="0018700C" w:rsidRDefault="0018700C">
            <w:pPr>
              <w:snapToGrid w:val="0"/>
              <w:spacing w:line="440" w:lineRule="exact"/>
              <w:jc w:val="center"/>
              <w:rPr>
                <w:rFonts w:ascii="Times New Roman" w:eastAsia="仿宋_GB2312" w:hAnsi="Times New Roman" w:cs="仿宋"/>
                <w:color w:val="000000" w:themeColor="text1"/>
                <w:sz w:val="24"/>
                <w:szCs w:val="24"/>
              </w:rPr>
            </w:pPr>
          </w:p>
        </w:tc>
        <w:tc>
          <w:tcPr>
            <w:tcW w:w="912" w:type="dxa"/>
            <w:vMerge w:val="restart"/>
            <w:tcBorders>
              <w:top w:val="single" w:sz="4" w:space="0" w:color="000000"/>
              <w:left w:val="nil"/>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加分项</w:t>
            </w:r>
          </w:p>
        </w:tc>
        <w:tc>
          <w:tcPr>
            <w:tcW w:w="992" w:type="dxa"/>
            <w:vMerge w:val="restart"/>
            <w:tcBorders>
              <w:top w:val="single" w:sz="4" w:space="0" w:color="000000"/>
              <w:left w:val="nil"/>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50</w:t>
            </w:r>
            <w:r>
              <w:rPr>
                <w:rFonts w:ascii="Times New Roman" w:eastAsia="仿宋_GB2312" w:hAnsi="Times New Roman" w:cs="仿宋" w:hint="eastAsia"/>
                <w:color w:val="000000" w:themeColor="text1"/>
                <w:sz w:val="24"/>
                <w:szCs w:val="24"/>
              </w:rPr>
              <w:t>分</w:t>
            </w:r>
          </w:p>
        </w:tc>
        <w:tc>
          <w:tcPr>
            <w:tcW w:w="506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开展学术研究、学术交流，承接课题、出版书籍、主题演讲，论文发表、专利等，一项加</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分，最高不超过</w:t>
            </w: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w:t>
            </w:r>
          </w:p>
        </w:tc>
        <w:tc>
          <w:tcPr>
            <w:tcW w:w="1321" w:type="dxa"/>
            <w:vMerge w:val="restart"/>
            <w:tcBorders>
              <w:top w:val="single" w:sz="4" w:space="0" w:color="000000"/>
              <w:left w:val="nil"/>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查看台账</w:t>
            </w:r>
          </w:p>
        </w:tc>
      </w:tr>
      <w:tr w:rsidR="0018700C">
        <w:trPr>
          <w:trHeight w:val="1235"/>
          <w:jc w:val="center"/>
        </w:trPr>
        <w:tc>
          <w:tcPr>
            <w:tcW w:w="900" w:type="dxa"/>
            <w:vMerge/>
            <w:tcBorders>
              <w:left w:val="single" w:sz="4" w:space="0" w:color="000000"/>
              <w:right w:val="single" w:sz="4" w:space="0" w:color="000000"/>
            </w:tcBorders>
            <w:noWrap/>
            <w:vAlign w:val="center"/>
          </w:tcPr>
          <w:p w:rsidR="0018700C" w:rsidRDefault="0018700C">
            <w:pPr>
              <w:snapToGrid w:val="0"/>
              <w:spacing w:line="440" w:lineRule="exact"/>
              <w:jc w:val="center"/>
              <w:rPr>
                <w:rFonts w:ascii="Times New Roman" w:eastAsia="仿宋_GB2312" w:hAnsi="Times New Roman" w:cs="仿宋"/>
                <w:color w:val="000000" w:themeColor="text1"/>
                <w:sz w:val="24"/>
                <w:szCs w:val="24"/>
              </w:rPr>
            </w:pPr>
          </w:p>
        </w:tc>
        <w:tc>
          <w:tcPr>
            <w:tcW w:w="912" w:type="dxa"/>
            <w:vMerge/>
            <w:tcBorders>
              <w:left w:val="nil"/>
              <w:right w:val="single" w:sz="4" w:space="0" w:color="000000"/>
            </w:tcBorders>
            <w:noWrap/>
            <w:vAlign w:val="center"/>
          </w:tcPr>
          <w:p w:rsidR="0018700C" w:rsidRDefault="0018700C">
            <w:pPr>
              <w:snapToGrid w:val="0"/>
              <w:spacing w:line="440" w:lineRule="exact"/>
              <w:jc w:val="center"/>
              <w:rPr>
                <w:rFonts w:ascii="Times New Roman" w:eastAsia="仿宋_GB2312" w:hAnsi="Times New Roman" w:cs="仿宋"/>
                <w:color w:val="000000" w:themeColor="text1"/>
                <w:sz w:val="24"/>
                <w:szCs w:val="24"/>
              </w:rPr>
            </w:pPr>
          </w:p>
        </w:tc>
        <w:tc>
          <w:tcPr>
            <w:tcW w:w="992" w:type="dxa"/>
            <w:vMerge/>
            <w:tcBorders>
              <w:left w:val="nil"/>
              <w:right w:val="single" w:sz="4" w:space="0" w:color="000000"/>
            </w:tcBorders>
            <w:noWrap/>
            <w:vAlign w:val="center"/>
          </w:tcPr>
          <w:p w:rsidR="0018700C" w:rsidRDefault="0018700C">
            <w:pPr>
              <w:snapToGrid w:val="0"/>
              <w:spacing w:line="440" w:lineRule="exact"/>
              <w:jc w:val="center"/>
              <w:rPr>
                <w:rFonts w:ascii="Times New Roman" w:eastAsia="仿宋_GB2312" w:hAnsi="Times New Roman" w:cs="仿宋"/>
                <w:color w:val="000000" w:themeColor="text1"/>
                <w:sz w:val="24"/>
                <w:szCs w:val="24"/>
              </w:rPr>
            </w:pPr>
          </w:p>
        </w:tc>
        <w:tc>
          <w:tcPr>
            <w:tcW w:w="506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在区级以上各类媒体进行宣传，一次得</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分，同一事件不重复计分，最高不超过</w:t>
            </w: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w:t>
            </w:r>
          </w:p>
        </w:tc>
        <w:tc>
          <w:tcPr>
            <w:tcW w:w="1321" w:type="dxa"/>
            <w:vMerge/>
            <w:tcBorders>
              <w:left w:val="nil"/>
              <w:right w:val="single" w:sz="4" w:space="0" w:color="000000"/>
            </w:tcBorders>
            <w:noWrap/>
            <w:vAlign w:val="center"/>
          </w:tcPr>
          <w:p w:rsidR="0018700C" w:rsidRDefault="0018700C">
            <w:pPr>
              <w:snapToGrid w:val="0"/>
              <w:spacing w:line="440" w:lineRule="exact"/>
              <w:rPr>
                <w:rFonts w:ascii="Times New Roman" w:eastAsia="仿宋_GB2312" w:hAnsi="Times New Roman" w:cs="仿宋"/>
                <w:color w:val="000000" w:themeColor="text1"/>
                <w:sz w:val="24"/>
                <w:szCs w:val="24"/>
              </w:rPr>
            </w:pPr>
          </w:p>
        </w:tc>
      </w:tr>
      <w:tr w:rsidR="0018700C">
        <w:trPr>
          <w:trHeight w:val="1235"/>
          <w:jc w:val="center"/>
        </w:trPr>
        <w:tc>
          <w:tcPr>
            <w:tcW w:w="900" w:type="dxa"/>
            <w:vMerge/>
            <w:tcBorders>
              <w:left w:val="single" w:sz="4" w:space="0" w:color="000000"/>
              <w:bottom w:val="single" w:sz="4" w:space="0" w:color="000000"/>
              <w:right w:val="single" w:sz="4" w:space="0" w:color="000000"/>
            </w:tcBorders>
            <w:noWrap/>
            <w:vAlign w:val="center"/>
          </w:tcPr>
          <w:p w:rsidR="0018700C" w:rsidRDefault="0018700C">
            <w:pPr>
              <w:snapToGrid w:val="0"/>
              <w:spacing w:line="440" w:lineRule="exact"/>
              <w:jc w:val="center"/>
              <w:rPr>
                <w:rFonts w:ascii="Times New Roman" w:eastAsia="仿宋_GB2312" w:hAnsi="Times New Roman" w:cs="仿宋"/>
                <w:color w:val="000000" w:themeColor="text1"/>
                <w:sz w:val="24"/>
                <w:szCs w:val="24"/>
              </w:rPr>
            </w:pPr>
          </w:p>
        </w:tc>
        <w:tc>
          <w:tcPr>
            <w:tcW w:w="912" w:type="dxa"/>
            <w:vMerge/>
            <w:tcBorders>
              <w:left w:val="nil"/>
              <w:bottom w:val="single" w:sz="4" w:space="0" w:color="000000"/>
              <w:right w:val="single" w:sz="4" w:space="0" w:color="000000"/>
            </w:tcBorders>
            <w:noWrap/>
            <w:vAlign w:val="center"/>
          </w:tcPr>
          <w:p w:rsidR="0018700C" w:rsidRDefault="0018700C">
            <w:pPr>
              <w:snapToGrid w:val="0"/>
              <w:spacing w:line="440" w:lineRule="exact"/>
              <w:jc w:val="center"/>
              <w:rPr>
                <w:rFonts w:ascii="Times New Roman" w:eastAsia="仿宋_GB2312" w:hAnsi="Times New Roman" w:cs="仿宋"/>
                <w:color w:val="000000" w:themeColor="text1"/>
                <w:sz w:val="24"/>
                <w:szCs w:val="24"/>
              </w:rPr>
            </w:pPr>
          </w:p>
        </w:tc>
        <w:tc>
          <w:tcPr>
            <w:tcW w:w="992" w:type="dxa"/>
            <w:vMerge/>
            <w:tcBorders>
              <w:left w:val="nil"/>
              <w:bottom w:val="single" w:sz="4" w:space="0" w:color="000000"/>
              <w:right w:val="single" w:sz="4" w:space="0" w:color="000000"/>
            </w:tcBorders>
            <w:noWrap/>
            <w:vAlign w:val="center"/>
          </w:tcPr>
          <w:p w:rsidR="0018700C" w:rsidRDefault="0018700C">
            <w:pPr>
              <w:snapToGrid w:val="0"/>
              <w:spacing w:line="440" w:lineRule="exact"/>
              <w:jc w:val="center"/>
              <w:rPr>
                <w:rFonts w:ascii="Times New Roman" w:eastAsia="仿宋_GB2312" w:hAnsi="Times New Roman" w:cs="仿宋"/>
                <w:color w:val="000000" w:themeColor="text1"/>
                <w:sz w:val="24"/>
                <w:szCs w:val="24"/>
              </w:rPr>
            </w:pPr>
          </w:p>
        </w:tc>
        <w:tc>
          <w:tcPr>
            <w:tcW w:w="506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获得区级以上政府部门或行业表彰的，区级得</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分，市级得</w:t>
            </w:r>
            <w:r>
              <w:rPr>
                <w:rFonts w:ascii="Times New Roman" w:eastAsia="仿宋_GB2312" w:hAnsi="Times New Roman" w:cs="仿宋" w:hint="eastAsia"/>
                <w:color w:val="000000" w:themeColor="text1"/>
                <w:sz w:val="24"/>
                <w:szCs w:val="24"/>
              </w:rPr>
              <w:t>3</w:t>
            </w:r>
            <w:r>
              <w:rPr>
                <w:rFonts w:ascii="Times New Roman" w:eastAsia="仿宋_GB2312" w:hAnsi="Times New Roman" w:cs="仿宋" w:hint="eastAsia"/>
                <w:color w:val="000000" w:themeColor="text1"/>
                <w:sz w:val="24"/>
                <w:szCs w:val="24"/>
              </w:rPr>
              <w:t>分，省级得</w:t>
            </w: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分，国际级得</w:t>
            </w: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分，国际级得</w:t>
            </w:r>
            <w:r>
              <w:rPr>
                <w:rFonts w:ascii="Times New Roman" w:eastAsia="仿宋_GB2312" w:hAnsi="Times New Roman" w:cs="仿宋" w:hint="eastAsia"/>
                <w:color w:val="000000" w:themeColor="text1"/>
                <w:sz w:val="24"/>
                <w:szCs w:val="24"/>
              </w:rPr>
              <w:t>20</w:t>
            </w:r>
            <w:r>
              <w:rPr>
                <w:rFonts w:ascii="Times New Roman" w:eastAsia="仿宋_GB2312" w:hAnsi="Times New Roman" w:cs="仿宋" w:hint="eastAsia"/>
                <w:color w:val="000000" w:themeColor="text1"/>
                <w:sz w:val="24"/>
                <w:szCs w:val="24"/>
              </w:rPr>
              <w:t>分。最高不超过</w:t>
            </w:r>
            <w:r>
              <w:rPr>
                <w:rFonts w:ascii="Times New Roman" w:eastAsia="仿宋_GB2312" w:hAnsi="Times New Roman" w:cs="仿宋" w:hint="eastAsia"/>
                <w:color w:val="000000" w:themeColor="text1"/>
                <w:sz w:val="24"/>
                <w:szCs w:val="24"/>
              </w:rPr>
              <w:t>30</w:t>
            </w:r>
            <w:r>
              <w:rPr>
                <w:rFonts w:ascii="Times New Roman" w:eastAsia="仿宋_GB2312" w:hAnsi="Times New Roman" w:cs="仿宋" w:hint="eastAsia"/>
                <w:color w:val="000000" w:themeColor="text1"/>
                <w:sz w:val="24"/>
                <w:szCs w:val="24"/>
              </w:rPr>
              <w:t>分。</w:t>
            </w:r>
          </w:p>
        </w:tc>
        <w:tc>
          <w:tcPr>
            <w:tcW w:w="1321" w:type="dxa"/>
            <w:vMerge/>
            <w:tcBorders>
              <w:left w:val="nil"/>
              <w:bottom w:val="single" w:sz="4" w:space="0" w:color="000000"/>
              <w:right w:val="single" w:sz="4" w:space="0" w:color="000000"/>
            </w:tcBorders>
            <w:noWrap/>
            <w:vAlign w:val="center"/>
          </w:tcPr>
          <w:p w:rsidR="0018700C" w:rsidRDefault="0018700C">
            <w:pPr>
              <w:snapToGrid w:val="0"/>
              <w:spacing w:line="440" w:lineRule="exact"/>
              <w:rPr>
                <w:rFonts w:ascii="Times New Roman" w:eastAsia="仿宋_GB2312" w:hAnsi="Times New Roman" w:cs="仿宋"/>
                <w:color w:val="000000" w:themeColor="text1"/>
                <w:sz w:val="24"/>
                <w:szCs w:val="24"/>
              </w:rPr>
            </w:pPr>
          </w:p>
        </w:tc>
      </w:tr>
      <w:tr w:rsidR="0018700C">
        <w:trPr>
          <w:trHeight w:val="1060"/>
          <w:jc w:val="center"/>
        </w:trPr>
        <w:tc>
          <w:tcPr>
            <w:tcW w:w="900" w:type="dxa"/>
            <w:tcBorders>
              <w:top w:val="single" w:sz="4" w:space="0" w:color="000000"/>
              <w:left w:val="single" w:sz="4" w:space="0" w:color="000000"/>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7</w:t>
            </w:r>
          </w:p>
        </w:tc>
        <w:tc>
          <w:tcPr>
            <w:tcW w:w="912"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扣分项</w:t>
            </w:r>
          </w:p>
        </w:tc>
        <w:tc>
          <w:tcPr>
            <w:tcW w:w="992" w:type="dxa"/>
            <w:tcBorders>
              <w:top w:val="single" w:sz="4" w:space="0" w:color="000000"/>
              <w:left w:val="nil"/>
              <w:bottom w:val="single" w:sz="4" w:space="0" w:color="000000"/>
              <w:right w:val="single" w:sz="4" w:space="0" w:color="000000"/>
            </w:tcBorders>
            <w:noWrap/>
            <w:vAlign w:val="center"/>
          </w:tcPr>
          <w:p w:rsidR="0018700C" w:rsidRDefault="0018700C">
            <w:pPr>
              <w:snapToGrid w:val="0"/>
              <w:spacing w:line="440" w:lineRule="exact"/>
              <w:jc w:val="center"/>
              <w:rPr>
                <w:rFonts w:ascii="Times New Roman" w:eastAsia="仿宋_GB2312" w:hAnsi="Times New Roman" w:cs="仿宋"/>
                <w:color w:val="000000" w:themeColor="text1"/>
                <w:sz w:val="24"/>
                <w:szCs w:val="24"/>
              </w:rPr>
            </w:pPr>
          </w:p>
        </w:tc>
        <w:tc>
          <w:tcPr>
            <w:tcW w:w="5067"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发生安全责任事故的，受相关部门或行业处罚的一次扣</w:t>
            </w: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分，有违法行为或数据资料造假的一票否决。</w:t>
            </w:r>
          </w:p>
        </w:tc>
        <w:tc>
          <w:tcPr>
            <w:tcW w:w="1321" w:type="dxa"/>
            <w:tcBorders>
              <w:top w:val="single" w:sz="4" w:space="0" w:color="000000"/>
              <w:left w:val="nil"/>
              <w:bottom w:val="single" w:sz="4" w:space="0" w:color="000000"/>
              <w:right w:val="single" w:sz="4" w:space="0" w:color="000000"/>
            </w:tcBorders>
            <w:noWrap/>
            <w:vAlign w:val="center"/>
          </w:tcPr>
          <w:p w:rsidR="0018700C" w:rsidRDefault="0018700C">
            <w:pPr>
              <w:snapToGrid w:val="0"/>
              <w:spacing w:line="440" w:lineRule="exact"/>
              <w:rPr>
                <w:rFonts w:ascii="Times New Roman" w:eastAsia="仿宋_GB2312" w:hAnsi="Times New Roman" w:cs="仿宋"/>
                <w:color w:val="000000" w:themeColor="text1"/>
                <w:sz w:val="24"/>
                <w:szCs w:val="24"/>
              </w:rPr>
            </w:pPr>
          </w:p>
        </w:tc>
      </w:tr>
      <w:tr w:rsidR="0018700C">
        <w:trPr>
          <w:trHeight w:val="620"/>
          <w:jc w:val="center"/>
        </w:trPr>
        <w:tc>
          <w:tcPr>
            <w:tcW w:w="900" w:type="dxa"/>
            <w:tcBorders>
              <w:top w:val="single" w:sz="4" w:space="0" w:color="000000"/>
              <w:left w:val="single" w:sz="4" w:space="0" w:color="000000"/>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总分</w:t>
            </w:r>
          </w:p>
        </w:tc>
        <w:tc>
          <w:tcPr>
            <w:tcW w:w="912" w:type="dxa"/>
            <w:tcBorders>
              <w:top w:val="single" w:sz="4" w:space="0" w:color="000000"/>
              <w:left w:val="nil"/>
              <w:bottom w:val="single" w:sz="4" w:space="0" w:color="000000"/>
              <w:right w:val="single" w:sz="4" w:space="0" w:color="000000"/>
            </w:tcBorders>
            <w:noWrap/>
            <w:vAlign w:val="center"/>
          </w:tcPr>
          <w:p w:rsidR="0018700C" w:rsidRDefault="0018700C">
            <w:pPr>
              <w:snapToGrid w:val="0"/>
              <w:spacing w:line="440" w:lineRule="exact"/>
              <w:jc w:val="center"/>
              <w:rPr>
                <w:rFonts w:ascii="Times New Roman" w:eastAsia="仿宋_GB2312" w:hAnsi="Times New Roman" w:cs="仿宋"/>
                <w:color w:val="000000" w:themeColor="text1"/>
                <w:sz w:val="24"/>
                <w:szCs w:val="24"/>
              </w:rPr>
            </w:pPr>
          </w:p>
        </w:tc>
        <w:tc>
          <w:tcPr>
            <w:tcW w:w="992" w:type="dxa"/>
            <w:tcBorders>
              <w:top w:val="single" w:sz="4" w:space="0" w:color="000000"/>
              <w:left w:val="nil"/>
              <w:bottom w:val="single" w:sz="4" w:space="0" w:color="000000"/>
              <w:right w:val="single" w:sz="4" w:space="0" w:color="000000"/>
            </w:tcBorders>
            <w:noWrap/>
            <w:vAlign w:val="center"/>
          </w:tcPr>
          <w:p w:rsidR="0018700C" w:rsidRDefault="00431B16">
            <w:pPr>
              <w:snapToGrid w:val="0"/>
              <w:spacing w:line="44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150</w:t>
            </w:r>
            <w:r>
              <w:rPr>
                <w:rFonts w:ascii="Times New Roman" w:eastAsia="仿宋_GB2312" w:hAnsi="Times New Roman" w:cs="仿宋" w:hint="eastAsia"/>
                <w:color w:val="000000" w:themeColor="text1"/>
                <w:sz w:val="24"/>
                <w:szCs w:val="24"/>
              </w:rPr>
              <w:t>分</w:t>
            </w:r>
          </w:p>
        </w:tc>
        <w:tc>
          <w:tcPr>
            <w:tcW w:w="5067" w:type="dxa"/>
            <w:tcBorders>
              <w:top w:val="single" w:sz="4" w:space="0" w:color="000000"/>
              <w:left w:val="nil"/>
              <w:bottom w:val="single" w:sz="4" w:space="0" w:color="000000"/>
              <w:right w:val="single" w:sz="4" w:space="0" w:color="000000"/>
            </w:tcBorders>
            <w:noWrap/>
            <w:vAlign w:val="center"/>
          </w:tcPr>
          <w:p w:rsidR="0018700C" w:rsidRDefault="0018700C">
            <w:pPr>
              <w:snapToGrid w:val="0"/>
              <w:spacing w:line="440" w:lineRule="exact"/>
              <w:rPr>
                <w:rFonts w:ascii="Times New Roman" w:eastAsia="仿宋_GB2312" w:hAnsi="Times New Roman" w:cs="仿宋"/>
                <w:color w:val="000000" w:themeColor="text1"/>
                <w:sz w:val="24"/>
                <w:szCs w:val="24"/>
              </w:rPr>
            </w:pPr>
          </w:p>
        </w:tc>
        <w:tc>
          <w:tcPr>
            <w:tcW w:w="1321" w:type="dxa"/>
            <w:tcBorders>
              <w:top w:val="single" w:sz="4" w:space="0" w:color="000000"/>
              <w:left w:val="nil"/>
              <w:bottom w:val="single" w:sz="4" w:space="0" w:color="000000"/>
              <w:right w:val="single" w:sz="4" w:space="0" w:color="000000"/>
            </w:tcBorders>
            <w:noWrap/>
            <w:vAlign w:val="center"/>
          </w:tcPr>
          <w:p w:rsidR="0018700C" w:rsidRDefault="0018700C">
            <w:pPr>
              <w:snapToGrid w:val="0"/>
              <w:spacing w:line="440" w:lineRule="exact"/>
              <w:rPr>
                <w:rFonts w:ascii="Times New Roman" w:eastAsia="仿宋_GB2312" w:hAnsi="Times New Roman" w:cs="仿宋"/>
                <w:color w:val="000000" w:themeColor="text1"/>
                <w:sz w:val="24"/>
                <w:szCs w:val="24"/>
              </w:rPr>
            </w:pPr>
          </w:p>
        </w:tc>
      </w:tr>
    </w:tbl>
    <w:p w:rsidR="0018700C" w:rsidRDefault="0018700C">
      <w:pPr>
        <w:widowControl/>
        <w:spacing w:line="20" w:lineRule="exact"/>
        <w:rPr>
          <w:rFonts w:ascii="Times New Roman" w:eastAsia="黑体" w:hAnsi="Times New Roman"/>
          <w:color w:val="000000" w:themeColor="text1"/>
        </w:rPr>
      </w:pPr>
    </w:p>
    <w:p w:rsidR="0018700C" w:rsidRDefault="0018700C">
      <w:pPr>
        <w:ind w:leftChars="-100" w:left="70" w:hangingChars="100" w:hanging="280"/>
        <w:jc w:val="left"/>
        <w:rPr>
          <w:rFonts w:ascii="Times New Roman" w:hAnsi="Times New Roman" w:cs="宋体"/>
          <w:color w:val="000000" w:themeColor="text1"/>
          <w:sz w:val="28"/>
          <w:szCs w:val="28"/>
        </w:rPr>
      </w:pPr>
    </w:p>
    <w:p w:rsidR="0018700C" w:rsidRDefault="0018700C">
      <w:pPr>
        <w:ind w:leftChars="-100" w:left="70" w:hangingChars="100" w:hanging="280"/>
        <w:jc w:val="left"/>
        <w:rPr>
          <w:rFonts w:ascii="Times New Roman" w:hAnsi="Times New Roman" w:cs="宋体"/>
          <w:color w:val="000000" w:themeColor="text1"/>
          <w:sz w:val="28"/>
          <w:szCs w:val="28"/>
        </w:rPr>
      </w:pPr>
    </w:p>
    <w:p w:rsidR="0018700C" w:rsidRDefault="0018700C">
      <w:pPr>
        <w:ind w:leftChars="-100" w:left="70" w:hangingChars="100" w:hanging="280"/>
        <w:jc w:val="left"/>
        <w:rPr>
          <w:rFonts w:ascii="Times New Roman" w:hAnsi="Times New Roman" w:cs="宋体"/>
          <w:color w:val="000000" w:themeColor="text1"/>
          <w:sz w:val="28"/>
          <w:szCs w:val="28"/>
        </w:rPr>
      </w:pPr>
    </w:p>
    <w:p w:rsidR="0018700C" w:rsidRDefault="0018700C">
      <w:pPr>
        <w:ind w:leftChars="-100" w:left="70" w:hangingChars="100" w:hanging="280"/>
        <w:jc w:val="left"/>
        <w:rPr>
          <w:rFonts w:ascii="Times New Roman" w:hAnsi="Times New Roman" w:cs="宋体"/>
          <w:color w:val="000000" w:themeColor="text1"/>
          <w:sz w:val="28"/>
          <w:szCs w:val="28"/>
        </w:rPr>
      </w:pPr>
    </w:p>
    <w:p w:rsidR="0018700C" w:rsidRDefault="0018700C">
      <w:pPr>
        <w:ind w:leftChars="-100" w:left="70" w:hangingChars="100" w:hanging="280"/>
        <w:jc w:val="left"/>
        <w:rPr>
          <w:rFonts w:ascii="Times New Roman" w:hAnsi="Times New Roman" w:cs="宋体"/>
          <w:color w:val="000000" w:themeColor="text1"/>
          <w:sz w:val="28"/>
          <w:szCs w:val="28"/>
        </w:rPr>
      </w:pPr>
    </w:p>
    <w:p w:rsidR="0018700C" w:rsidRDefault="0018700C">
      <w:pPr>
        <w:ind w:leftChars="-100" w:left="70" w:hangingChars="100" w:hanging="280"/>
        <w:jc w:val="left"/>
        <w:rPr>
          <w:rFonts w:ascii="Times New Roman" w:hAnsi="Times New Roman" w:cs="宋体"/>
          <w:color w:val="000000" w:themeColor="text1"/>
          <w:sz w:val="28"/>
          <w:szCs w:val="28"/>
        </w:rPr>
      </w:pPr>
    </w:p>
    <w:p w:rsidR="0018700C" w:rsidRDefault="0018700C">
      <w:pPr>
        <w:ind w:leftChars="-100" w:left="70" w:hangingChars="100" w:hanging="280"/>
        <w:jc w:val="left"/>
        <w:rPr>
          <w:rFonts w:ascii="Times New Roman" w:hAnsi="Times New Roman" w:cs="宋体"/>
          <w:color w:val="000000" w:themeColor="text1"/>
          <w:sz w:val="28"/>
          <w:szCs w:val="28"/>
        </w:rPr>
      </w:pPr>
    </w:p>
    <w:p w:rsidR="0018700C" w:rsidRDefault="0018700C">
      <w:pPr>
        <w:ind w:leftChars="-100" w:left="70" w:hangingChars="100" w:hanging="280"/>
        <w:jc w:val="left"/>
        <w:rPr>
          <w:rFonts w:ascii="Times New Roman" w:hAnsi="Times New Roman" w:cs="宋体"/>
          <w:color w:val="000000" w:themeColor="text1"/>
          <w:sz w:val="28"/>
          <w:szCs w:val="28"/>
        </w:rPr>
      </w:pPr>
    </w:p>
    <w:p w:rsidR="0018700C" w:rsidRDefault="0018700C">
      <w:pPr>
        <w:ind w:leftChars="-100" w:left="70" w:hangingChars="100" w:hanging="280"/>
        <w:jc w:val="left"/>
        <w:rPr>
          <w:rFonts w:ascii="Times New Roman" w:hAnsi="Times New Roman" w:cs="宋体"/>
          <w:color w:val="000000" w:themeColor="text1"/>
          <w:sz w:val="28"/>
          <w:szCs w:val="28"/>
        </w:rPr>
      </w:pPr>
    </w:p>
    <w:p w:rsidR="0018700C" w:rsidRDefault="0018700C">
      <w:pPr>
        <w:ind w:leftChars="-100" w:left="70" w:hangingChars="100" w:hanging="280"/>
        <w:jc w:val="left"/>
        <w:rPr>
          <w:rFonts w:ascii="Times New Roman" w:hAnsi="Times New Roman" w:cs="宋体"/>
          <w:color w:val="000000" w:themeColor="text1"/>
          <w:sz w:val="28"/>
          <w:szCs w:val="28"/>
        </w:rPr>
      </w:pPr>
    </w:p>
    <w:p w:rsidR="0018700C" w:rsidRDefault="0018700C">
      <w:pPr>
        <w:ind w:leftChars="-100" w:left="70" w:hangingChars="100" w:hanging="280"/>
        <w:jc w:val="left"/>
        <w:rPr>
          <w:rFonts w:ascii="Times New Roman" w:hAnsi="Times New Roman" w:cs="宋体"/>
          <w:color w:val="000000" w:themeColor="text1"/>
          <w:sz w:val="28"/>
          <w:szCs w:val="28"/>
        </w:rPr>
      </w:pPr>
    </w:p>
    <w:p w:rsidR="0018700C" w:rsidRDefault="00431B16">
      <w:pPr>
        <w:jc w:val="left"/>
        <w:rPr>
          <w:rFonts w:ascii="Times New Roman" w:hAnsi="Times New Roman" w:cs="宋体"/>
          <w:color w:val="000000" w:themeColor="text1"/>
          <w:sz w:val="28"/>
          <w:szCs w:val="28"/>
        </w:rPr>
      </w:pPr>
      <w:r>
        <w:rPr>
          <w:rFonts w:ascii="Times New Roman" w:hAnsi="Times New Roman" w:cs="宋体" w:hint="eastAsia"/>
          <w:color w:val="000000" w:themeColor="text1"/>
          <w:sz w:val="28"/>
          <w:szCs w:val="28"/>
        </w:rPr>
        <w:lastRenderedPageBreak/>
        <w:t>附件</w:t>
      </w:r>
      <w:r>
        <w:rPr>
          <w:rFonts w:ascii="Times New Roman" w:hAnsi="Times New Roman" w:cs="宋体" w:hint="eastAsia"/>
          <w:color w:val="000000" w:themeColor="text1"/>
          <w:sz w:val="28"/>
          <w:szCs w:val="28"/>
        </w:rPr>
        <w:t>3</w:t>
      </w:r>
    </w:p>
    <w:p w:rsidR="0018700C" w:rsidRDefault="00431B16">
      <w:pPr>
        <w:jc w:val="center"/>
        <w:rPr>
          <w:rFonts w:ascii="Times New Roman" w:hAnsi="Times New Roman" w:cs="宋体"/>
          <w:b/>
          <w:bCs/>
          <w:color w:val="000000" w:themeColor="text1"/>
          <w:sz w:val="32"/>
          <w:szCs w:val="32"/>
        </w:rPr>
      </w:pPr>
      <w:r>
        <w:rPr>
          <w:rFonts w:ascii="Times New Roman" w:eastAsia="华文中宋" w:hAnsi="Times New Roman" w:cs="华文中宋" w:hint="eastAsia"/>
          <w:b/>
          <w:bCs/>
          <w:color w:val="000000" w:themeColor="text1"/>
          <w:sz w:val="36"/>
          <w:szCs w:val="36"/>
        </w:rPr>
        <w:t>上城区博物馆群落特色活动项目评审表</w:t>
      </w:r>
    </w:p>
    <w:tbl>
      <w:tblPr>
        <w:tblStyle w:val="a7"/>
        <w:tblW w:w="9356" w:type="dxa"/>
        <w:tblInd w:w="-459" w:type="dxa"/>
        <w:tblLayout w:type="fixed"/>
        <w:tblLook w:val="04A0"/>
      </w:tblPr>
      <w:tblGrid>
        <w:gridCol w:w="851"/>
        <w:gridCol w:w="1559"/>
        <w:gridCol w:w="851"/>
        <w:gridCol w:w="4677"/>
        <w:gridCol w:w="1418"/>
      </w:tblGrid>
      <w:tr w:rsidR="0018700C">
        <w:tc>
          <w:tcPr>
            <w:tcW w:w="851" w:type="dxa"/>
          </w:tcPr>
          <w:p w:rsidR="0018700C" w:rsidRDefault="00431B16">
            <w:pPr>
              <w:spacing w:line="480" w:lineRule="exact"/>
              <w:jc w:val="center"/>
              <w:rPr>
                <w:rFonts w:ascii="Times New Roman" w:eastAsia="仿宋" w:hAnsi="Times New Roman" w:cs="仿宋"/>
                <w:b/>
                <w:color w:val="000000" w:themeColor="text1"/>
                <w:sz w:val="24"/>
                <w:szCs w:val="24"/>
              </w:rPr>
            </w:pPr>
            <w:r>
              <w:rPr>
                <w:rFonts w:ascii="Times New Roman" w:eastAsia="仿宋" w:hAnsi="Times New Roman" w:cs="仿宋" w:hint="eastAsia"/>
                <w:b/>
                <w:color w:val="000000" w:themeColor="text1"/>
                <w:sz w:val="24"/>
                <w:szCs w:val="24"/>
              </w:rPr>
              <w:t>序号</w:t>
            </w:r>
          </w:p>
        </w:tc>
        <w:tc>
          <w:tcPr>
            <w:tcW w:w="1559" w:type="dxa"/>
          </w:tcPr>
          <w:p w:rsidR="0018700C" w:rsidRDefault="00431B16">
            <w:pPr>
              <w:spacing w:line="480" w:lineRule="exact"/>
              <w:jc w:val="center"/>
              <w:rPr>
                <w:rFonts w:ascii="Times New Roman" w:eastAsia="仿宋" w:hAnsi="Times New Roman" w:cs="仿宋"/>
                <w:b/>
                <w:color w:val="000000" w:themeColor="text1"/>
                <w:sz w:val="24"/>
                <w:szCs w:val="24"/>
              </w:rPr>
            </w:pPr>
            <w:r>
              <w:rPr>
                <w:rFonts w:ascii="Times New Roman" w:eastAsia="仿宋" w:hAnsi="Times New Roman" w:cs="仿宋" w:hint="eastAsia"/>
                <w:b/>
                <w:color w:val="000000" w:themeColor="text1"/>
                <w:sz w:val="24"/>
                <w:szCs w:val="24"/>
              </w:rPr>
              <w:t>类别</w:t>
            </w:r>
          </w:p>
        </w:tc>
        <w:tc>
          <w:tcPr>
            <w:tcW w:w="851" w:type="dxa"/>
          </w:tcPr>
          <w:p w:rsidR="0018700C" w:rsidRDefault="00431B16">
            <w:pPr>
              <w:spacing w:line="480" w:lineRule="exact"/>
              <w:jc w:val="center"/>
              <w:rPr>
                <w:rFonts w:ascii="Times New Roman" w:eastAsia="仿宋" w:hAnsi="Times New Roman" w:cs="仿宋"/>
                <w:b/>
                <w:color w:val="000000" w:themeColor="text1"/>
                <w:sz w:val="24"/>
                <w:szCs w:val="24"/>
              </w:rPr>
            </w:pPr>
            <w:r>
              <w:rPr>
                <w:rFonts w:ascii="Times New Roman" w:eastAsia="仿宋" w:hAnsi="Times New Roman" w:cs="仿宋" w:hint="eastAsia"/>
                <w:b/>
                <w:color w:val="000000" w:themeColor="text1"/>
                <w:sz w:val="24"/>
                <w:szCs w:val="24"/>
              </w:rPr>
              <w:t>分值</w:t>
            </w:r>
          </w:p>
        </w:tc>
        <w:tc>
          <w:tcPr>
            <w:tcW w:w="4677" w:type="dxa"/>
          </w:tcPr>
          <w:p w:rsidR="0018700C" w:rsidRDefault="00431B16">
            <w:pPr>
              <w:spacing w:line="480" w:lineRule="exact"/>
              <w:jc w:val="center"/>
              <w:rPr>
                <w:rFonts w:ascii="Times New Roman" w:eastAsia="仿宋" w:hAnsi="Times New Roman" w:cs="仿宋"/>
                <w:b/>
                <w:color w:val="000000" w:themeColor="text1"/>
                <w:sz w:val="24"/>
                <w:szCs w:val="24"/>
              </w:rPr>
            </w:pPr>
            <w:r>
              <w:rPr>
                <w:rFonts w:ascii="Times New Roman" w:eastAsia="仿宋" w:hAnsi="Times New Roman" w:cs="仿宋" w:hint="eastAsia"/>
                <w:b/>
                <w:color w:val="000000" w:themeColor="text1"/>
                <w:sz w:val="24"/>
                <w:szCs w:val="24"/>
              </w:rPr>
              <w:t>内容</w:t>
            </w:r>
          </w:p>
        </w:tc>
        <w:tc>
          <w:tcPr>
            <w:tcW w:w="1418" w:type="dxa"/>
          </w:tcPr>
          <w:p w:rsidR="0018700C" w:rsidRDefault="00431B16">
            <w:pPr>
              <w:spacing w:line="480" w:lineRule="exact"/>
              <w:jc w:val="center"/>
              <w:rPr>
                <w:rFonts w:ascii="Times New Roman" w:eastAsia="仿宋" w:hAnsi="Times New Roman" w:cs="仿宋"/>
                <w:b/>
                <w:color w:val="000000" w:themeColor="text1"/>
                <w:sz w:val="24"/>
                <w:szCs w:val="24"/>
              </w:rPr>
            </w:pPr>
            <w:r>
              <w:rPr>
                <w:rFonts w:ascii="Times New Roman" w:eastAsia="仿宋" w:hAnsi="Times New Roman" w:cs="仿宋" w:hint="eastAsia"/>
                <w:b/>
                <w:color w:val="000000" w:themeColor="text1"/>
                <w:sz w:val="24"/>
                <w:szCs w:val="24"/>
              </w:rPr>
              <w:t>评审办法</w:t>
            </w:r>
          </w:p>
        </w:tc>
      </w:tr>
      <w:tr w:rsidR="0018700C">
        <w:trPr>
          <w:trHeight w:val="992"/>
        </w:trPr>
        <w:tc>
          <w:tcPr>
            <w:tcW w:w="851" w:type="dxa"/>
            <w:vMerge w:val="restart"/>
            <w:vAlign w:val="center"/>
          </w:tcPr>
          <w:p w:rsidR="0018700C" w:rsidRDefault="00431B16">
            <w:pPr>
              <w:spacing w:line="48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1</w:t>
            </w:r>
          </w:p>
        </w:tc>
        <w:tc>
          <w:tcPr>
            <w:tcW w:w="1559" w:type="dxa"/>
            <w:vMerge w:val="restart"/>
            <w:vAlign w:val="center"/>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在传播区域文化品牌上有重大贡献</w:t>
            </w:r>
          </w:p>
        </w:tc>
        <w:tc>
          <w:tcPr>
            <w:tcW w:w="851"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20</w:t>
            </w:r>
            <w:r>
              <w:rPr>
                <w:rFonts w:ascii="Times New Roman" w:eastAsia="仿宋_GB2312" w:hAnsi="Times New Roman" w:cs="仿宋" w:hint="eastAsia"/>
                <w:color w:val="000000" w:themeColor="text1"/>
                <w:sz w:val="24"/>
                <w:szCs w:val="24"/>
              </w:rPr>
              <w:t>分</w:t>
            </w:r>
          </w:p>
        </w:tc>
        <w:tc>
          <w:tcPr>
            <w:tcW w:w="4677"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积极承办政府主办的品牌性文化活动，且有一定的投入，形成良好社会反响。区级</w:t>
            </w: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分，市级</w:t>
            </w: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分，省级</w:t>
            </w:r>
            <w:r>
              <w:rPr>
                <w:rFonts w:ascii="Times New Roman" w:eastAsia="仿宋_GB2312" w:hAnsi="Times New Roman" w:cs="仿宋" w:hint="eastAsia"/>
                <w:color w:val="000000" w:themeColor="text1"/>
                <w:sz w:val="24"/>
                <w:szCs w:val="24"/>
              </w:rPr>
              <w:t>15</w:t>
            </w:r>
            <w:r>
              <w:rPr>
                <w:rFonts w:ascii="Times New Roman" w:eastAsia="仿宋_GB2312" w:hAnsi="Times New Roman" w:cs="仿宋" w:hint="eastAsia"/>
                <w:color w:val="000000" w:themeColor="text1"/>
                <w:sz w:val="24"/>
                <w:szCs w:val="24"/>
              </w:rPr>
              <w:t>分，国家级</w:t>
            </w:r>
            <w:r>
              <w:rPr>
                <w:rFonts w:ascii="Times New Roman" w:eastAsia="仿宋_GB2312" w:hAnsi="Times New Roman" w:cs="仿宋" w:hint="eastAsia"/>
                <w:color w:val="000000" w:themeColor="text1"/>
                <w:sz w:val="24"/>
                <w:szCs w:val="24"/>
              </w:rPr>
              <w:t>20</w:t>
            </w:r>
            <w:r>
              <w:rPr>
                <w:rFonts w:ascii="Times New Roman" w:eastAsia="仿宋_GB2312" w:hAnsi="Times New Roman" w:cs="仿宋" w:hint="eastAsia"/>
                <w:color w:val="000000" w:themeColor="text1"/>
                <w:sz w:val="24"/>
                <w:szCs w:val="24"/>
              </w:rPr>
              <w:t>分。</w:t>
            </w:r>
          </w:p>
        </w:tc>
        <w:tc>
          <w:tcPr>
            <w:tcW w:w="1418"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查看台账、听取汇报</w:t>
            </w:r>
          </w:p>
        </w:tc>
      </w:tr>
      <w:tr w:rsidR="0018700C">
        <w:trPr>
          <w:trHeight w:val="750"/>
        </w:trPr>
        <w:tc>
          <w:tcPr>
            <w:tcW w:w="851" w:type="dxa"/>
            <w:vMerge/>
            <w:vAlign w:val="center"/>
          </w:tcPr>
          <w:p w:rsidR="0018700C" w:rsidRDefault="0018700C">
            <w:pPr>
              <w:spacing w:line="480" w:lineRule="exact"/>
              <w:jc w:val="center"/>
              <w:rPr>
                <w:rFonts w:ascii="Times New Roman" w:eastAsia="仿宋_GB2312" w:hAnsi="Times New Roman" w:cs="仿宋"/>
                <w:color w:val="000000" w:themeColor="text1"/>
                <w:sz w:val="24"/>
                <w:szCs w:val="24"/>
              </w:rPr>
            </w:pPr>
          </w:p>
        </w:tc>
        <w:tc>
          <w:tcPr>
            <w:tcW w:w="1559" w:type="dxa"/>
            <w:vMerge/>
            <w:vAlign w:val="center"/>
          </w:tcPr>
          <w:p w:rsidR="0018700C" w:rsidRDefault="0018700C">
            <w:pPr>
              <w:spacing w:line="480" w:lineRule="exact"/>
              <w:rPr>
                <w:rFonts w:ascii="Times New Roman" w:eastAsia="仿宋_GB2312" w:hAnsi="Times New Roman" w:cs="仿宋"/>
                <w:color w:val="000000" w:themeColor="text1"/>
                <w:sz w:val="24"/>
                <w:szCs w:val="24"/>
              </w:rPr>
            </w:pPr>
          </w:p>
        </w:tc>
        <w:tc>
          <w:tcPr>
            <w:tcW w:w="851"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w:t>
            </w:r>
          </w:p>
        </w:tc>
        <w:tc>
          <w:tcPr>
            <w:tcW w:w="4677"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活动形成一定的文化成果，编辑成书籍、形成影像资料、形成课题、形成文创产品等。</w:t>
            </w:r>
          </w:p>
        </w:tc>
        <w:tc>
          <w:tcPr>
            <w:tcW w:w="1418"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实物查看</w:t>
            </w:r>
          </w:p>
        </w:tc>
      </w:tr>
      <w:tr w:rsidR="0018700C">
        <w:tc>
          <w:tcPr>
            <w:tcW w:w="851" w:type="dxa"/>
            <w:vMerge w:val="restart"/>
            <w:vAlign w:val="center"/>
          </w:tcPr>
          <w:p w:rsidR="0018700C" w:rsidRDefault="00431B16">
            <w:pPr>
              <w:spacing w:line="48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2</w:t>
            </w:r>
          </w:p>
        </w:tc>
        <w:tc>
          <w:tcPr>
            <w:tcW w:w="1559" w:type="dxa"/>
            <w:vMerge w:val="restart"/>
            <w:vAlign w:val="center"/>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对区域文化形象提升显著</w:t>
            </w:r>
          </w:p>
        </w:tc>
        <w:tc>
          <w:tcPr>
            <w:tcW w:w="851"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20</w:t>
            </w:r>
            <w:r>
              <w:rPr>
                <w:rFonts w:ascii="Times New Roman" w:eastAsia="仿宋_GB2312" w:hAnsi="Times New Roman" w:cs="仿宋" w:hint="eastAsia"/>
                <w:color w:val="000000" w:themeColor="text1"/>
                <w:sz w:val="24"/>
                <w:szCs w:val="24"/>
              </w:rPr>
              <w:t>分</w:t>
            </w:r>
          </w:p>
        </w:tc>
        <w:tc>
          <w:tcPr>
            <w:tcW w:w="4677"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活动书面经验交流或情况介绍等文章在区级以上政务类平台刊登或发表。区级</w:t>
            </w: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分，市级</w:t>
            </w: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分，省级</w:t>
            </w:r>
            <w:r>
              <w:rPr>
                <w:rFonts w:ascii="Times New Roman" w:eastAsia="仿宋_GB2312" w:hAnsi="Times New Roman" w:cs="仿宋" w:hint="eastAsia"/>
                <w:color w:val="000000" w:themeColor="text1"/>
                <w:sz w:val="24"/>
                <w:szCs w:val="24"/>
              </w:rPr>
              <w:t>20</w:t>
            </w:r>
            <w:r>
              <w:rPr>
                <w:rFonts w:ascii="Times New Roman" w:eastAsia="仿宋_GB2312" w:hAnsi="Times New Roman" w:cs="仿宋" w:hint="eastAsia"/>
                <w:color w:val="000000" w:themeColor="text1"/>
                <w:sz w:val="24"/>
                <w:szCs w:val="24"/>
              </w:rPr>
              <w:t>分。</w:t>
            </w:r>
          </w:p>
        </w:tc>
        <w:tc>
          <w:tcPr>
            <w:tcW w:w="1418"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提供刊物或链接</w:t>
            </w:r>
          </w:p>
        </w:tc>
      </w:tr>
      <w:tr w:rsidR="0018700C">
        <w:tc>
          <w:tcPr>
            <w:tcW w:w="851" w:type="dxa"/>
            <w:vMerge/>
            <w:vAlign w:val="center"/>
          </w:tcPr>
          <w:p w:rsidR="0018700C" w:rsidRDefault="0018700C">
            <w:pPr>
              <w:spacing w:line="480" w:lineRule="exact"/>
              <w:jc w:val="center"/>
              <w:rPr>
                <w:rFonts w:ascii="Times New Roman" w:eastAsia="仿宋_GB2312" w:hAnsi="Times New Roman" w:cs="仿宋"/>
                <w:color w:val="000000" w:themeColor="text1"/>
                <w:sz w:val="24"/>
                <w:szCs w:val="24"/>
              </w:rPr>
            </w:pPr>
          </w:p>
        </w:tc>
        <w:tc>
          <w:tcPr>
            <w:tcW w:w="1559" w:type="dxa"/>
            <w:vMerge/>
            <w:vAlign w:val="center"/>
          </w:tcPr>
          <w:p w:rsidR="0018700C" w:rsidRDefault="0018700C">
            <w:pPr>
              <w:spacing w:line="480" w:lineRule="exact"/>
              <w:rPr>
                <w:rFonts w:ascii="Times New Roman" w:eastAsia="仿宋_GB2312" w:hAnsi="Times New Roman" w:cs="仿宋"/>
                <w:color w:val="000000" w:themeColor="text1"/>
                <w:sz w:val="24"/>
                <w:szCs w:val="24"/>
              </w:rPr>
            </w:pPr>
          </w:p>
        </w:tc>
        <w:tc>
          <w:tcPr>
            <w:tcW w:w="851"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w:t>
            </w:r>
          </w:p>
        </w:tc>
        <w:tc>
          <w:tcPr>
            <w:tcW w:w="4677"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获得主流媒体宣传报导</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篇以上或在抖音、微博等新媒体平台正面宣传</w:t>
            </w:r>
            <w:r>
              <w:rPr>
                <w:rFonts w:ascii="Times New Roman" w:eastAsia="仿宋_GB2312" w:hAnsi="Times New Roman" w:cs="仿宋" w:hint="eastAsia"/>
                <w:color w:val="000000" w:themeColor="text1"/>
                <w:sz w:val="24"/>
                <w:szCs w:val="24"/>
              </w:rPr>
              <w:t>2</w:t>
            </w:r>
            <w:r>
              <w:rPr>
                <w:rFonts w:ascii="Times New Roman" w:eastAsia="仿宋_GB2312" w:hAnsi="Times New Roman" w:cs="仿宋" w:hint="eastAsia"/>
                <w:color w:val="000000" w:themeColor="text1"/>
                <w:sz w:val="24"/>
                <w:szCs w:val="24"/>
              </w:rPr>
              <w:t>个以上得</w:t>
            </w: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分，每增加</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篇（</w:t>
            </w:r>
            <w:r>
              <w:rPr>
                <w:rFonts w:ascii="Times New Roman" w:eastAsia="仿宋_GB2312" w:hAnsi="Times New Roman" w:cs="仿宋" w:hint="eastAsia"/>
                <w:color w:val="000000" w:themeColor="text1"/>
                <w:sz w:val="24"/>
                <w:szCs w:val="24"/>
              </w:rPr>
              <w:t>2</w:t>
            </w:r>
            <w:r>
              <w:rPr>
                <w:rFonts w:ascii="Times New Roman" w:eastAsia="仿宋_GB2312" w:hAnsi="Times New Roman" w:cs="仿宋" w:hint="eastAsia"/>
                <w:color w:val="000000" w:themeColor="text1"/>
                <w:sz w:val="24"/>
                <w:szCs w:val="24"/>
              </w:rPr>
              <w:t>个）加</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分，最高</w:t>
            </w: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w:t>
            </w:r>
          </w:p>
        </w:tc>
        <w:tc>
          <w:tcPr>
            <w:tcW w:w="1418"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提供具体链接</w:t>
            </w:r>
          </w:p>
        </w:tc>
      </w:tr>
      <w:tr w:rsidR="0018700C">
        <w:trPr>
          <w:trHeight w:val="1338"/>
        </w:trPr>
        <w:tc>
          <w:tcPr>
            <w:tcW w:w="851" w:type="dxa"/>
            <w:vMerge w:val="restart"/>
            <w:vAlign w:val="center"/>
          </w:tcPr>
          <w:p w:rsidR="0018700C" w:rsidRDefault="00431B16">
            <w:pPr>
              <w:spacing w:line="48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3</w:t>
            </w:r>
          </w:p>
        </w:tc>
        <w:tc>
          <w:tcPr>
            <w:tcW w:w="1559" w:type="dxa"/>
            <w:vMerge w:val="restart"/>
            <w:vAlign w:val="center"/>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对区域群众文化福祉有促进作用</w:t>
            </w:r>
          </w:p>
        </w:tc>
        <w:tc>
          <w:tcPr>
            <w:tcW w:w="851"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20</w:t>
            </w:r>
            <w:r>
              <w:rPr>
                <w:rFonts w:ascii="Times New Roman" w:eastAsia="仿宋_GB2312" w:hAnsi="Times New Roman" w:cs="仿宋" w:hint="eastAsia"/>
                <w:color w:val="000000" w:themeColor="text1"/>
                <w:sz w:val="24"/>
                <w:szCs w:val="24"/>
              </w:rPr>
              <w:t>分</w:t>
            </w:r>
          </w:p>
        </w:tc>
        <w:tc>
          <w:tcPr>
            <w:tcW w:w="4677"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项目总参与人数线上线下</w:t>
            </w:r>
            <w:r>
              <w:rPr>
                <w:rFonts w:ascii="Times New Roman" w:eastAsia="仿宋_GB2312" w:hAnsi="Times New Roman" w:cs="仿宋" w:hint="eastAsia"/>
                <w:color w:val="000000" w:themeColor="text1"/>
                <w:sz w:val="24"/>
                <w:szCs w:val="24"/>
              </w:rPr>
              <w:t>20</w:t>
            </w:r>
            <w:r>
              <w:rPr>
                <w:rFonts w:ascii="Times New Roman" w:eastAsia="仿宋_GB2312" w:hAnsi="Times New Roman" w:cs="仿宋" w:hint="eastAsia"/>
                <w:color w:val="000000" w:themeColor="text1"/>
                <w:sz w:val="24"/>
                <w:szCs w:val="24"/>
              </w:rPr>
              <w:t>万人次以上，线下不少于</w:t>
            </w:r>
            <w:r>
              <w:rPr>
                <w:rFonts w:ascii="Times New Roman" w:eastAsia="仿宋_GB2312" w:hAnsi="Times New Roman" w:cs="仿宋" w:hint="eastAsia"/>
                <w:color w:val="000000" w:themeColor="text1"/>
                <w:sz w:val="24"/>
                <w:szCs w:val="24"/>
              </w:rPr>
              <w:t>50</w:t>
            </w:r>
            <w:r>
              <w:rPr>
                <w:rFonts w:ascii="Times New Roman" w:eastAsia="仿宋_GB2312" w:hAnsi="Times New Roman" w:cs="仿宋" w:hint="eastAsia"/>
                <w:color w:val="000000" w:themeColor="text1"/>
                <w:sz w:val="24"/>
                <w:szCs w:val="24"/>
              </w:rPr>
              <w:t>人得</w:t>
            </w: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分；无线下人数不得分；总人次每增加</w:t>
            </w:r>
            <w:r>
              <w:rPr>
                <w:rFonts w:ascii="Times New Roman" w:eastAsia="仿宋_GB2312" w:hAnsi="Times New Roman" w:cs="仿宋" w:hint="eastAsia"/>
                <w:color w:val="000000" w:themeColor="text1"/>
                <w:sz w:val="24"/>
                <w:szCs w:val="24"/>
              </w:rPr>
              <w:t>5</w:t>
            </w:r>
            <w:r>
              <w:rPr>
                <w:rFonts w:ascii="Times New Roman" w:eastAsia="仿宋_GB2312" w:hAnsi="Times New Roman" w:cs="仿宋" w:hint="eastAsia"/>
                <w:color w:val="000000" w:themeColor="text1"/>
                <w:sz w:val="24"/>
                <w:szCs w:val="24"/>
              </w:rPr>
              <w:t>万人次加</w:t>
            </w: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分，最高</w:t>
            </w:r>
            <w:r>
              <w:rPr>
                <w:rFonts w:ascii="Times New Roman" w:eastAsia="仿宋_GB2312" w:hAnsi="Times New Roman" w:cs="仿宋" w:hint="eastAsia"/>
                <w:color w:val="000000" w:themeColor="text1"/>
                <w:sz w:val="24"/>
                <w:szCs w:val="24"/>
              </w:rPr>
              <w:t>20</w:t>
            </w:r>
            <w:r>
              <w:rPr>
                <w:rFonts w:ascii="Times New Roman" w:eastAsia="仿宋_GB2312" w:hAnsi="Times New Roman" w:cs="仿宋" w:hint="eastAsia"/>
                <w:color w:val="000000" w:themeColor="text1"/>
                <w:sz w:val="24"/>
                <w:szCs w:val="24"/>
              </w:rPr>
              <w:t>分。</w:t>
            </w:r>
          </w:p>
        </w:tc>
        <w:tc>
          <w:tcPr>
            <w:tcW w:w="1418"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查看台账</w:t>
            </w:r>
          </w:p>
        </w:tc>
      </w:tr>
      <w:tr w:rsidR="0018700C">
        <w:tc>
          <w:tcPr>
            <w:tcW w:w="851" w:type="dxa"/>
            <w:vMerge/>
            <w:vAlign w:val="center"/>
          </w:tcPr>
          <w:p w:rsidR="0018700C" w:rsidRDefault="0018700C">
            <w:pPr>
              <w:spacing w:line="480" w:lineRule="exact"/>
              <w:jc w:val="center"/>
              <w:rPr>
                <w:rFonts w:ascii="Times New Roman" w:eastAsia="仿宋_GB2312" w:hAnsi="Times New Roman" w:cs="仿宋"/>
                <w:color w:val="000000" w:themeColor="text1"/>
                <w:sz w:val="24"/>
                <w:szCs w:val="24"/>
              </w:rPr>
            </w:pPr>
          </w:p>
        </w:tc>
        <w:tc>
          <w:tcPr>
            <w:tcW w:w="1559" w:type="dxa"/>
            <w:vMerge/>
            <w:vAlign w:val="center"/>
          </w:tcPr>
          <w:p w:rsidR="0018700C" w:rsidRDefault="0018700C">
            <w:pPr>
              <w:spacing w:line="480" w:lineRule="exact"/>
              <w:rPr>
                <w:rFonts w:ascii="Times New Roman" w:eastAsia="仿宋_GB2312" w:hAnsi="Times New Roman" w:cs="仿宋"/>
                <w:color w:val="000000" w:themeColor="text1"/>
                <w:sz w:val="24"/>
                <w:szCs w:val="24"/>
              </w:rPr>
            </w:pPr>
          </w:p>
        </w:tc>
        <w:tc>
          <w:tcPr>
            <w:tcW w:w="851"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w:t>
            </w:r>
          </w:p>
        </w:tc>
        <w:tc>
          <w:tcPr>
            <w:tcW w:w="4677"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活动体现公益性，有针对青少年、老人、弱势群体的公益内容。</w:t>
            </w:r>
          </w:p>
        </w:tc>
        <w:tc>
          <w:tcPr>
            <w:tcW w:w="1418"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查看台账</w:t>
            </w:r>
          </w:p>
        </w:tc>
      </w:tr>
      <w:tr w:rsidR="0018700C">
        <w:trPr>
          <w:trHeight w:val="480"/>
        </w:trPr>
        <w:tc>
          <w:tcPr>
            <w:tcW w:w="851" w:type="dxa"/>
            <w:vAlign w:val="center"/>
          </w:tcPr>
          <w:p w:rsidR="0018700C" w:rsidRDefault="00431B16">
            <w:pPr>
              <w:spacing w:line="480" w:lineRule="exact"/>
              <w:jc w:val="center"/>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4</w:t>
            </w:r>
          </w:p>
        </w:tc>
        <w:tc>
          <w:tcPr>
            <w:tcW w:w="1559" w:type="dxa"/>
            <w:vAlign w:val="center"/>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个性鲜明、文化印记深刻</w:t>
            </w:r>
          </w:p>
        </w:tc>
        <w:tc>
          <w:tcPr>
            <w:tcW w:w="851"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10</w:t>
            </w:r>
            <w:r>
              <w:rPr>
                <w:rFonts w:ascii="Times New Roman" w:eastAsia="仿宋_GB2312" w:hAnsi="Times New Roman" w:cs="仿宋" w:hint="eastAsia"/>
                <w:color w:val="000000" w:themeColor="text1"/>
                <w:sz w:val="24"/>
                <w:szCs w:val="24"/>
              </w:rPr>
              <w:t>分</w:t>
            </w:r>
          </w:p>
        </w:tc>
        <w:tc>
          <w:tcPr>
            <w:tcW w:w="4677"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结合场馆藏品或资源优势，项目特色明显，有较高的艺术水准和专业号召力。</w:t>
            </w:r>
          </w:p>
        </w:tc>
        <w:tc>
          <w:tcPr>
            <w:tcW w:w="1418" w:type="dxa"/>
          </w:tcPr>
          <w:p w:rsidR="0018700C" w:rsidRDefault="00431B16">
            <w:pPr>
              <w:spacing w:line="480" w:lineRule="exact"/>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查看台账、听取汇报</w:t>
            </w:r>
          </w:p>
        </w:tc>
      </w:tr>
      <w:tr w:rsidR="0018700C">
        <w:trPr>
          <w:trHeight w:val="479"/>
        </w:trPr>
        <w:tc>
          <w:tcPr>
            <w:tcW w:w="2410" w:type="dxa"/>
            <w:gridSpan w:val="2"/>
          </w:tcPr>
          <w:p w:rsidR="0018700C" w:rsidRDefault="00431B16">
            <w:pPr>
              <w:rPr>
                <w:rFonts w:ascii="Times New Roman" w:eastAsia="仿宋_GB2312" w:hAnsi="Times New Roman" w:cs="宋体"/>
                <w:color w:val="000000" w:themeColor="text1"/>
                <w:sz w:val="24"/>
                <w:szCs w:val="24"/>
              </w:rPr>
            </w:pPr>
            <w:r>
              <w:rPr>
                <w:rFonts w:ascii="Times New Roman" w:eastAsia="仿宋_GB2312" w:hAnsi="Times New Roman" w:cs="宋体" w:hint="eastAsia"/>
                <w:color w:val="000000" w:themeColor="text1"/>
                <w:sz w:val="24"/>
                <w:szCs w:val="24"/>
              </w:rPr>
              <w:t>总分</w:t>
            </w:r>
          </w:p>
        </w:tc>
        <w:tc>
          <w:tcPr>
            <w:tcW w:w="851" w:type="dxa"/>
          </w:tcPr>
          <w:p w:rsidR="0018700C" w:rsidRDefault="00431B16">
            <w:pPr>
              <w:rPr>
                <w:rFonts w:ascii="Times New Roman" w:eastAsia="仿宋_GB2312" w:hAnsi="Times New Roman" w:cs="宋体"/>
                <w:color w:val="000000" w:themeColor="text1"/>
                <w:sz w:val="24"/>
                <w:szCs w:val="24"/>
              </w:rPr>
            </w:pPr>
            <w:r>
              <w:rPr>
                <w:rFonts w:ascii="Times New Roman" w:eastAsia="仿宋_GB2312" w:hAnsi="Times New Roman" w:cs="宋体" w:hint="eastAsia"/>
                <w:color w:val="000000" w:themeColor="text1"/>
                <w:sz w:val="24"/>
                <w:szCs w:val="24"/>
              </w:rPr>
              <w:t>100</w:t>
            </w:r>
            <w:r>
              <w:rPr>
                <w:rFonts w:ascii="Times New Roman" w:eastAsia="仿宋_GB2312" w:hAnsi="Times New Roman" w:cs="宋体" w:hint="eastAsia"/>
                <w:color w:val="000000" w:themeColor="text1"/>
                <w:sz w:val="24"/>
                <w:szCs w:val="24"/>
              </w:rPr>
              <w:t>分</w:t>
            </w:r>
          </w:p>
        </w:tc>
        <w:tc>
          <w:tcPr>
            <w:tcW w:w="4677" w:type="dxa"/>
          </w:tcPr>
          <w:p w:rsidR="0018700C" w:rsidRDefault="0018700C">
            <w:pPr>
              <w:rPr>
                <w:rFonts w:ascii="Times New Roman" w:eastAsia="仿宋_GB2312" w:hAnsi="Times New Roman" w:cs="宋体"/>
                <w:color w:val="000000" w:themeColor="text1"/>
                <w:sz w:val="24"/>
                <w:szCs w:val="24"/>
              </w:rPr>
            </w:pPr>
          </w:p>
        </w:tc>
        <w:tc>
          <w:tcPr>
            <w:tcW w:w="1418" w:type="dxa"/>
          </w:tcPr>
          <w:p w:rsidR="0018700C" w:rsidRDefault="0018700C">
            <w:pPr>
              <w:rPr>
                <w:rFonts w:ascii="Times New Roman" w:eastAsia="仿宋_GB2312" w:hAnsi="Times New Roman" w:cs="宋体"/>
                <w:color w:val="000000" w:themeColor="text1"/>
                <w:sz w:val="28"/>
                <w:szCs w:val="28"/>
              </w:rPr>
            </w:pPr>
          </w:p>
        </w:tc>
      </w:tr>
    </w:tbl>
    <w:p w:rsidR="0018700C" w:rsidRDefault="0018700C">
      <w:pPr>
        <w:spacing w:line="560" w:lineRule="exact"/>
        <w:ind w:firstLine="640"/>
        <w:rPr>
          <w:rFonts w:ascii="Times New Roman" w:hAnsi="Times New Roman"/>
          <w:color w:val="000000" w:themeColor="text1"/>
          <w:sz w:val="30"/>
          <w:szCs w:val="30"/>
        </w:rPr>
      </w:pPr>
    </w:p>
    <w:p w:rsidR="0018700C" w:rsidRDefault="0018700C">
      <w:pPr>
        <w:rPr>
          <w:rFonts w:ascii="Times New Roman" w:hAnsi="Times New Roman"/>
          <w:color w:val="000000" w:themeColor="text1"/>
        </w:rPr>
      </w:pPr>
    </w:p>
    <w:sectPr w:rsidR="0018700C" w:rsidSect="0018700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DEF" w:rsidRDefault="00C11DEF" w:rsidP="0018700C">
      <w:r>
        <w:separator/>
      </w:r>
    </w:p>
  </w:endnote>
  <w:endnote w:type="continuationSeparator" w:id="1">
    <w:p w:rsidR="00C11DEF" w:rsidRDefault="00C11DEF" w:rsidP="00187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_GB2312">
    <w:altName w:val="仿宋"/>
    <w:charset w:val="86"/>
    <w:family w:val="auto"/>
    <w:pitch w:val="default"/>
    <w:sig w:usb0="00000000" w:usb1="00000000" w:usb2="00000012"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079"/>
    </w:sdtPr>
    <w:sdtContent>
      <w:sdt>
        <w:sdtPr>
          <w:id w:val="171357217"/>
        </w:sdtPr>
        <w:sdtContent>
          <w:p w:rsidR="0018700C" w:rsidRDefault="00431B16">
            <w:pPr>
              <w:pStyle w:val="a4"/>
              <w:jc w:val="center"/>
            </w:pPr>
            <w:r>
              <w:rPr>
                <w:lang w:val="zh-CN"/>
              </w:rPr>
              <w:t xml:space="preserve"> </w:t>
            </w:r>
            <w:r w:rsidR="00595C3B">
              <w:rPr>
                <w:b/>
                <w:sz w:val="24"/>
                <w:szCs w:val="24"/>
              </w:rPr>
              <w:fldChar w:fldCharType="begin"/>
            </w:r>
            <w:r>
              <w:rPr>
                <w:b/>
              </w:rPr>
              <w:instrText>PAGE</w:instrText>
            </w:r>
            <w:r w:rsidR="00595C3B">
              <w:rPr>
                <w:b/>
                <w:sz w:val="24"/>
                <w:szCs w:val="24"/>
              </w:rPr>
              <w:fldChar w:fldCharType="separate"/>
            </w:r>
            <w:r w:rsidR="006A1BCE">
              <w:rPr>
                <w:b/>
                <w:noProof/>
              </w:rPr>
              <w:t>9</w:t>
            </w:r>
            <w:r w:rsidR="00595C3B">
              <w:rPr>
                <w:b/>
                <w:sz w:val="24"/>
                <w:szCs w:val="24"/>
              </w:rPr>
              <w:fldChar w:fldCharType="end"/>
            </w:r>
            <w:r>
              <w:rPr>
                <w:lang w:val="zh-CN"/>
              </w:rPr>
              <w:t xml:space="preserve"> / </w:t>
            </w:r>
            <w:r w:rsidR="00595C3B">
              <w:rPr>
                <w:b/>
                <w:sz w:val="24"/>
                <w:szCs w:val="24"/>
              </w:rPr>
              <w:fldChar w:fldCharType="begin"/>
            </w:r>
            <w:r>
              <w:rPr>
                <w:b/>
              </w:rPr>
              <w:instrText>NUMPAGES</w:instrText>
            </w:r>
            <w:r w:rsidR="00595C3B">
              <w:rPr>
                <w:b/>
                <w:sz w:val="24"/>
                <w:szCs w:val="24"/>
              </w:rPr>
              <w:fldChar w:fldCharType="separate"/>
            </w:r>
            <w:r w:rsidR="006A1BCE">
              <w:rPr>
                <w:b/>
                <w:noProof/>
              </w:rPr>
              <w:t>9</w:t>
            </w:r>
            <w:r w:rsidR="00595C3B">
              <w:rPr>
                <w:b/>
                <w:sz w:val="24"/>
                <w:szCs w:val="24"/>
              </w:rPr>
              <w:fldChar w:fldCharType="end"/>
            </w:r>
          </w:p>
        </w:sdtContent>
      </w:sdt>
    </w:sdtContent>
  </w:sdt>
  <w:p w:rsidR="0018700C" w:rsidRDefault="001870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DEF" w:rsidRDefault="00C11DEF" w:rsidP="0018700C">
      <w:r>
        <w:separator/>
      </w:r>
    </w:p>
  </w:footnote>
  <w:footnote w:type="continuationSeparator" w:id="1">
    <w:p w:rsidR="00C11DEF" w:rsidRDefault="00C11DEF" w:rsidP="001870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MyZTYwYWJlYzZkYzM1YTAxOWU0ZGEwOTNkZGM1YmMifQ=="/>
  </w:docVars>
  <w:rsids>
    <w:rsidRoot w:val="002B3DCC"/>
    <w:rsid w:val="87FDAE71"/>
    <w:rsid w:val="BFF70251"/>
    <w:rsid w:val="DFBB1BAF"/>
    <w:rsid w:val="EEC7B13D"/>
    <w:rsid w:val="EF6042E7"/>
    <w:rsid w:val="EFD69D9A"/>
    <w:rsid w:val="F7FF53F3"/>
    <w:rsid w:val="0001148A"/>
    <w:rsid w:val="000131B1"/>
    <w:rsid w:val="0003707D"/>
    <w:rsid w:val="00046747"/>
    <w:rsid w:val="00070FBB"/>
    <w:rsid w:val="000A1F73"/>
    <w:rsid w:val="000A35C9"/>
    <w:rsid w:val="00163ED7"/>
    <w:rsid w:val="0018700C"/>
    <w:rsid w:val="002378AA"/>
    <w:rsid w:val="00263478"/>
    <w:rsid w:val="002918E5"/>
    <w:rsid w:val="002A1A41"/>
    <w:rsid w:val="002B3DCC"/>
    <w:rsid w:val="00350351"/>
    <w:rsid w:val="003511CA"/>
    <w:rsid w:val="003729FE"/>
    <w:rsid w:val="00390D8C"/>
    <w:rsid w:val="003932E7"/>
    <w:rsid w:val="003F6ABB"/>
    <w:rsid w:val="00431B16"/>
    <w:rsid w:val="0045318D"/>
    <w:rsid w:val="00473F3D"/>
    <w:rsid w:val="004F1089"/>
    <w:rsid w:val="00595C3B"/>
    <w:rsid w:val="00624761"/>
    <w:rsid w:val="006459D2"/>
    <w:rsid w:val="006534C3"/>
    <w:rsid w:val="006A0A3D"/>
    <w:rsid w:val="006A1BCE"/>
    <w:rsid w:val="00756EDA"/>
    <w:rsid w:val="0077195E"/>
    <w:rsid w:val="00782825"/>
    <w:rsid w:val="00787827"/>
    <w:rsid w:val="007C24C0"/>
    <w:rsid w:val="007C7DF2"/>
    <w:rsid w:val="00801DA6"/>
    <w:rsid w:val="0086327D"/>
    <w:rsid w:val="008C3433"/>
    <w:rsid w:val="008D7EFD"/>
    <w:rsid w:val="00902431"/>
    <w:rsid w:val="009220E3"/>
    <w:rsid w:val="00973149"/>
    <w:rsid w:val="009A079E"/>
    <w:rsid w:val="009B5703"/>
    <w:rsid w:val="00A97B03"/>
    <w:rsid w:val="00AE009C"/>
    <w:rsid w:val="00AE0AA3"/>
    <w:rsid w:val="00AE4BD2"/>
    <w:rsid w:val="00B64A5C"/>
    <w:rsid w:val="00B87225"/>
    <w:rsid w:val="00C10ABA"/>
    <w:rsid w:val="00C11DEF"/>
    <w:rsid w:val="00C179B0"/>
    <w:rsid w:val="00CC76CD"/>
    <w:rsid w:val="00CD2391"/>
    <w:rsid w:val="00CD7DD9"/>
    <w:rsid w:val="00CF52DB"/>
    <w:rsid w:val="00D41EA3"/>
    <w:rsid w:val="00D47A07"/>
    <w:rsid w:val="00D77DCD"/>
    <w:rsid w:val="00DC4E59"/>
    <w:rsid w:val="00E0252D"/>
    <w:rsid w:val="00E37D49"/>
    <w:rsid w:val="00EA241A"/>
    <w:rsid w:val="00EE4324"/>
    <w:rsid w:val="00F3423B"/>
    <w:rsid w:val="00F349FD"/>
    <w:rsid w:val="00F656FF"/>
    <w:rsid w:val="00FA2686"/>
    <w:rsid w:val="00FA4D6B"/>
    <w:rsid w:val="00FE1B81"/>
    <w:rsid w:val="00FF347C"/>
    <w:rsid w:val="03CE0A09"/>
    <w:rsid w:val="1B2E62E1"/>
    <w:rsid w:val="27AF2577"/>
    <w:rsid w:val="2D53380C"/>
    <w:rsid w:val="37CE79C1"/>
    <w:rsid w:val="3D72615D"/>
    <w:rsid w:val="407A2956"/>
    <w:rsid w:val="4D2442E6"/>
    <w:rsid w:val="55B71DF5"/>
    <w:rsid w:val="5DCBFFAA"/>
    <w:rsid w:val="63BF596E"/>
    <w:rsid w:val="68F2139B"/>
    <w:rsid w:val="6A831998"/>
    <w:rsid w:val="6FBFEE4B"/>
    <w:rsid w:val="74AF42F4"/>
    <w:rsid w:val="752B607A"/>
    <w:rsid w:val="776BF645"/>
    <w:rsid w:val="77EFFF92"/>
    <w:rsid w:val="79FE3A91"/>
    <w:rsid w:val="7D5F1C0F"/>
    <w:rsid w:val="7FF79B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0C"/>
    <w:pPr>
      <w:widowControl w:val="0"/>
      <w:suppressAutoHyphens/>
      <w:jc w:val="both"/>
    </w:pPr>
    <w:rPr>
      <w:rFonts w:ascii="Calibri" w:hAnsi="Calibri" w:cs="Calibri"/>
      <w:kern w:val="2"/>
      <w:sz w:val="21"/>
      <w:szCs w:val="21"/>
    </w:rPr>
  </w:style>
  <w:style w:type="paragraph" w:styleId="1">
    <w:name w:val="heading 1"/>
    <w:basedOn w:val="a"/>
    <w:next w:val="a"/>
    <w:link w:val="1Char"/>
    <w:qFormat/>
    <w:rsid w:val="0018700C"/>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8700C"/>
    <w:rPr>
      <w:sz w:val="18"/>
      <w:szCs w:val="18"/>
    </w:rPr>
  </w:style>
  <w:style w:type="paragraph" w:styleId="a4">
    <w:name w:val="footer"/>
    <w:basedOn w:val="a"/>
    <w:link w:val="Char0"/>
    <w:uiPriority w:val="99"/>
    <w:unhideWhenUsed/>
    <w:qFormat/>
    <w:rsid w:val="0018700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8700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18700C"/>
    <w:pPr>
      <w:spacing w:before="100" w:beforeAutospacing="1" w:after="100" w:afterAutospacing="1"/>
      <w:jc w:val="left"/>
    </w:pPr>
    <w:rPr>
      <w:kern w:val="0"/>
      <w:sz w:val="24"/>
      <w:szCs w:val="24"/>
    </w:rPr>
  </w:style>
  <w:style w:type="table" w:styleId="a7">
    <w:name w:val="Table Grid"/>
    <w:basedOn w:val="a1"/>
    <w:uiPriority w:val="59"/>
    <w:qFormat/>
    <w:rsid w:val="001870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18700C"/>
    <w:rPr>
      <w:rFonts w:ascii="Times New Roman" w:hAnsi="Times New Roman" w:cs="Times New Roman" w:hint="default"/>
      <w:b/>
      <w:bCs/>
    </w:rPr>
  </w:style>
  <w:style w:type="character" w:customStyle="1" w:styleId="Char">
    <w:name w:val="批注框文本 Char"/>
    <w:basedOn w:val="a0"/>
    <w:link w:val="a3"/>
    <w:uiPriority w:val="99"/>
    <w:semiHidden/>
    <w:qFormat/>
    <w:rsid w:val="0018700C"/>
    <w:rPr>
      <w:rFonts w:ascii="Calibri" w:eastAsia="宋体" w:hAnsi="Calibri" w:cs="Calibri"/>
      <w:sz w:val="18"/>
      <w:szCs w:val="18"/>
    </w:rPr>
  </w:style>
  <w:style w:type="character" w:customStyle="1" w:styleId="1Char">
    <w:name w:val="标题 1 Char"/>
    <w:basedOn w:val="a0"/>
    <w:link w:val="1"/>
    <w:qFormat/>
    <w:rsid w:val="0018700C"/>
    <w:rPr>
      <w:rFonts w:ascii="Calibri" w:eastAsia="宋体" w:hAnsi="Calibri" w:cs="Calibri"/>
      <w:b/>
      <w:kern w:val="44"/>
      <w:sz w:val="44"/>
      <w:szCs w:val="21"/>
    </w:rPr>
  </w:style>
  <w:style w:type="character" w:customStyle="1" w:styleId="Char1">
    <w:name w:val="页眉 Char"/>
    <w:basedOn w:val="a0"/>
    <w:link w:val="a5"/>
    <w:uiPriority w:val="99"/>
    <w:semiHidden/>
    <w:qFormat/>
    <w:rsid w:val="0018700C"/>
    <w:rPr>
      <w:rFonts w:ascii="Calibri" w:hAnsi="Calibri" w:cs="Calibri"/>
      <w:kern w:val="2"/>
      <w:sz w:val="18"/>
      <w:szCs w:val="18"/>
    </w:rPr>
  </w:style>
  <w:style w:type="character" w:customStyle="1" w:styleId="Char0">
    <w:name w:val="页脚 Char"/>
    <w:basedOn w:val="a0"/>
    <w:link w:val="a4"/>
    <w:uiPriority w:val="99"/>
    <w:qFormat/>
    <w:rsid w:val="0018700C"/>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659</Words>
  <Characters>3758</Characters>
  <Application>Microsoft Office Word</Application>
  <DocSecurity>0</DocSecurity>
  <Lines>31</Lines>
  <Paragraphs>8</Paragraphs>
  <ScaleCrop>false</ScaleCrop>
  <Company>Micorosoft</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Micorosoft</cp:lastModifiedBy>
  <cp:revision>20</cp:revision>
  <cp:lastPrinted>2023-10-09T07:36:00Z</cp:lastPrinted>
  <dcterms:created xsi:type="dcterms:W3CDTF">2023-10-08T01:37:00Z</dcterms:created>
  <dcterms:modified xsi:type="dcterms:W3CDTF">2023-10-09T08:22:00Z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5C9840CA331740BEB82CF8B808B65BC1_13</vt:lpwstr>
  </property>
</Properties>
</file>