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rPr>
          <w:rFonts w:hint="default" w:ascii="仿宋_GB2312" w:hAnsi="仿宋_GB2312" w:eastAsia="仿宋_GB2312" w:cs="仿宋_GB2312"/>
          <w:color w:val="22222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shd w:val="clear" w:color="auto" w:fill="FFFFFF"/>
        </w:rPr>
        <w:t>庆元县城乡公交一体化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shd w:val="clear" w:color="auto" w:fill="FFFFFF"/>
          <w:lang w:eastAsia="zh-CN"/>
        </w:rPr>
        <w:t>改造</w:t>
      </w:r>
      <w:r>
        <w:rPr>
          <w:rFonts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shd w:val="clear" w:color="auto" w:fill="FFFFFF"/>
        </w:rPr>
        <w:t>实施方案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送审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稿）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为全面贯彻习近平总书记“四好农村路”重要批示精神，补齐我县城乡公交一体化发展短板，根据《浙江省城乡公交一体化发展专项行动方案》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（浙交强省办〔2022〕13号）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《庆元县加快推进城乡公交一体化发展的实施意见》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（庆政办发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34号）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等文件精神，结合我县实际，制定本实施方案。</w:t>
      </w:r>
    </w:p>
    <w:p>
      <w:pPr>
        <w:pStyle w:val="5"/>
        <w:widowControl/>
        <w:spacing w:beforeAutospacing="0" w:afterAutospacing="0" w:line="600" w:lineRule="exact"/>
        <w:jc w:val="both"/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 xml:space="preserve">    一、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>范围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  <w:t>和方式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城乡公交一体化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实施范围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庆元县濛洲汽车运输有限公司（民营）运营的32辆农村客运班车和18辆康庄小巴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；城乡公交一体化资产划转范围为庆元县汽车运输有限公司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-US" w:eastAsia="zh-CN"/>
        </w:rPr>
        <w:t>10辆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农村客运班车和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辆康庄小巴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在县政府的统一部署下，明确改造政策、奖补标准、改造时间，通过宣传动员、资格审查、协议签订、车辆交接、补偿奖励、行业维稳等工作，确保改造平稳推进。由庆元县公共交通有限公司统一承接和经营管理全县城乡公交班线，资金由财政保障。</w:t>
      </w:r>
    </w:p>
    <w:p>
      <w:pPr>
        <w:pStyle w:val="5"/>
        <w:widowControl/>
        <w:spacing w:beforeAutospacing="0" w:afterAutospacing="0" w:line="600" w:lineRule="exact"/>
        <w:jc w:val="both"/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 xml:space="preserve">    二、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  <w:t>实施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>主体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庆元县公共交通有限公司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负责改造过程中的合同签订、车辆交接等工作。</w:t>
      </w:r>
    </w:p>
    <w:p>
      <w:pPr>
        <w:pStyle w:val="5"/>
        <w:widowControl/>
        <w:spacing w:beforeAutospacing="0" w:afterAutospacing="0" w:line="600" w:lineRule="exact"/>
        <w:jc w:val="both"/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 xml:space="preserve">    三、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  <w:t>改造政策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鉴于涉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及改造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的农村客运经营者在市场培育、承担社会责任等方面有一定贡献，给予适当的补偿和奖励，具体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改造价格由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车辆残值、退出线路补偿、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社会贡献奖及签约奖励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组成。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jc w:val="both"/>
        <w:rPr>
          <w:rStyle w:val="8"/>
          <w:rFonts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（一）车辆残值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由第三方评估单位根据车辆购置金额对车辆进行评估，计算车辆残值。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jc w:val="both"/>
        <w:rPr>
          <w:rStyle w:val="8"/>
          <w:rFonts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（二）退出线路补偿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Style w:val="8"/>
          <w:rFonts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经营者在规定截止日期前自愿退出线路的，并按约定交付车辆及相关证件的，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  <w:lang w:eastAsia="zh-CN"/>
        </w:rPr>
        <w:t>由第三方评估单位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根据不同线路收益状况以及年限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  <w:lang w:eastAsia="zh-CN"/>
        </w:rPr>
        <w:t>进行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评估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  <w:lang w:eastAsia="zh-CN"/>
        </w:rPr>
        <w:t>，计算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退出线路</w:t>
      </w:r>
      <w:r>
        <w:rPr>
          <w:rStyle w:val="8"/>
          <w:rFonts w:hint="eastAsia" w:ascii="仿宋_GB2312" w:hAnsi="仿宋_GB2312" w:eastAsia="仿宋_GB2312" w:cs="仿宋_GB2312"/>
          <w:b w:val="0"/>
          <w:color w:val="212121"/>
          <w:sz w:val="32"/>
          <w:szCs w:val="32"/>
          <w:shd w:val="clear" w:color="auto" w:fill="FFFFFF"/>
        </w:rPr>
        <w:t>补偿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jc w:val="both"/>
        <w:rPr>
          <w:rStyle w:val="8"/>
          <w:rFonts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（三）社会贡献奖及签约奖励</w:t>
      </w:r>
    </w:p>
    <w:p>
      <w:pPr>
        <w:jc w:val="both"/>
        <w:rPr>
          <w:rStyle w:val="8"/>
          <w:rFonts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  <w:t xml:space="preserve">    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  <w:t>鉴于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  <w:t>农村客运经营者为城乡居民日常出行做出的贡献，给予适当奖励。</w:t>
      </w:r>
    </w:p>
    <w:p>
      <w:pPr>
        <w:jc w:val="both"/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Cs/>
          <w:color w:val="212121"/>
          <w:kern w:val="0"/>
          <w:sz w:val="32"/>
          <w:szCs w:val="32"/>
          <w:shd w:val="clear" w:color="auto" w:fill="FFFFFF"/>
        </w:rPr>
        <w:t xml:space="preserve">    1.中型及以上普通客车：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  <w:t>社会贡献奖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  <w:t>2万元/辆，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  <w:t>签约奖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  <w:t>万元/辆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jc w:val="both"/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Cs/>
          <w:color w:val="212121"/>
          <w:kern w:val="0"/>
          <w:sz w:val="32"/>
          <w:szCs w:val="32"/>
          <w:shd w:val="clear" w:color="auto" w:fill="FFFFFF"/>
        </w:rPr>
        <w:t xml:space="preserve">    2.康庄小巴车：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  <w:t>社会贡献奖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  <w:t>1万元/辆，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  <w:t>签约奖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</w:rPr>
        <w:t>万元/辆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1" w:firstLineChars="200"/>
        <w:jc w:val="both"/>
        <w:rPr>
          <w:rStyle w:val="8"/>
          <w:rFonts w:hint="default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kern w:val="0"/>
          <w:sz w:val="32"/>
          <w:szCs w:val="32"/>
          <w:shd w:val="clear" w:color="auto" w:fill="FFFFFF"/>
          <w:lang w:val="en-US" w:eastAsia="zh-CN" w:bidi="ar-SA"/>
        </w:rPr>
        <w:t>（四）签约时间</w:t>
      </w:r>
      <w:r>
        <w:rPr>
          <w:rStyle w:val="8"/>
          <w:rFonts w:hint="eastAsia" w:ascii="仿宋_GB2312" w:hAnsi="仿宋_GB2312" w:eastAsia="仿宋_GB2312" w:cs="仿宋_GB2312"/>
          <w:b/>
          <w:bCs w:val="0"/>
          <w:color w:val="212121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  <w:t>2023年8月</w:t>
      </w:r>
      <w:bookmarkStart w:id="0" w:name="_GoBack"/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31日</w:t>
      </w:r>
      <w:bookmarkEnd w:id="0"/>
      <w:r>
        <w:rPr>
          <w:rStyle w:val="8"/>
          <w:rFonts w:hint="eastAsia" w:ascii="仿宋_GB2312" w:hAnsi="仿宋_GB2312" w:eastAsia="仿宋_GB2312" w:cs="仿宋_GB2312"/>
          <w:b w:val="0"/>
          <w:bCs/>
          <w:color w:val="212121"/>
          <w:kern w:val="0"/>
          <w:sz w:val="32"/>
          <w:szCs w:val="32"/>
          <w:shd w:val="clear" w:color="auto" w:fill="FFFFFF"/>
          <w:lang w:val="en-US" w:eastAsia="zh-CN"/>
        </w:rPr>
        <w:t>至2023年9月11日。</w:t>
      </w:r>
    </w:p>
    <w:p>
      <w:pPr>
        <w:pStyle w:val="5"/>
        <w:widowControl/>
        <w:spacing w:beforeAutospacing="0" w:afterAutospacing="0"/>
        <w:ind w:firstLine="641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  <w:lang w:eastAsia="zh-CN"/>
        </w:rPr>
        <w:t>五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）其他政策处置事项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收购协议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庆元县公共交通有限公司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与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庆元县濛洲汽车运输有限公司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签订。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2.签订协议后，按期交付车辆及相关证件并配合办理完成车辆变更手续的经营者，根据协议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确</w:t>
      </w:r>
      <w:r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定时间兑现奖补资金。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3.签约日期截止前未签订收购协议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的经营者</w:t>
      </w:r>
      <w:r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，逾期不再办理，视为选择自然终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止经营</w:t>
      </w:r>
      <w:r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, 车辆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经营期满后自然终止。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-US" w:eastAsia="zh-CN"/>
        </w:rPr>
        <w:t>4.在规定时间内</w:t>
      </w:r>
      <w:r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未按时办理交车手续的经营者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根据协议缴纳违约金。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-US" w:eastAsia="zh-CN"/>
        </w:rPr>
        <w:t>5.过户的车辆离报废期不足一年的需双方协商办理资产移交手续。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.驾驶员安置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农村客运班车及康庄小巴在岗驾驶员，在本次城乡公交一体化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改造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中积极配合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并符合要求的，由庆元县公共交通有限公司优先录用。</w:t>
      </w:r>
    </w:p>
    <w:p>
      <w:pPr>
        <w:pStyle w:val="5"/>
        <w:widowControl/>
        <w:spacing w:beforeAutospacing="0" w:afterAutospacing="0"/>
        <w:jc w:val="both"/>
        <w:rPr>
          <w:rFonts w:ascii="黑体" w:hAnsi="黑体" w:eastAsia="黑体" w:cs="黑体"/>
          <w:b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 xml:space="preserve">    四、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  <w:lang w:eastAsia="zh-CN"/>
        </w:rPr>
        <w:t>实施</w:t>
      </w: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>步骤</w:t>
      </w:r>
    </w:p>
    <w:p>
      <w:pPr>
        <w:pStyle w:val="5"/>
        <w:widowControl/>
        <w:spacing w:beforeAutospacing="0" w:afterAutospacing="0"/>
        <w:ind w:firstLine="641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做好前期准备工作。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深入开展调查摸底，走访了解客运企业，广泛听取各方意见，全面掌握线路、车辆和人员等基本情况。针对改造中可能出现的突发性事件制定应急预案，备足应急运力，确保客运市场正常运行和社会和谐稳定。</w:t>
      </w:r>
    </w:p>
    <w:p>
      <w:pPr>
        <w:pStyle w:val="5"/>
        <w:widowControl/>
        <w:spacing w:beforeAutospacing="0" w:afterAutospacing="0"/>
        <w:ind w:firstLine="641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  <w:lang w:eastAsia="zh-CN"/>
        </w:rPr>
        <w:t>（二）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实施公交化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根据工作部署，与涉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及改造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的农村客运、康庄小巴经营者协商签订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完成车辆移交、证照注销、资金兑付等手续。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改造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的农村客运车辆统一过户并及时完成国有资产登记，车况良好且在使用期限内的车辆继续用于城乡公交运营，由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交通运输局重新核发《道路客运班线经营许可证明》《道路运输证》。</w:t>
      </w:r>
    </w:p>
    <w:p>
      <w:pPr>
        <w:pStyle w:val="5"/>
        <w:widowControl/>
        <w:spacing w:beforeAutospacing="0" w:afterAutospacing="0"/>
        <w:ind w:firstLine="641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  <w:lang w:eastAsia="zh-CN"/>
        </w:rPr>
        <w:t>（三）</w:t>
      </w: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做好信访接待和突发事件处置工作。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各有关单位及时化解社会矛盾，妥善处理各种突发事件，依法处置各类治安事件，确保城乡公交一体化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改造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顺利实施。</w:t>
      </w:r>
    </w:p>
    <w:p>
      <w:pPr>
        <w:pStyle w:val="5"/>
        <w:widowControl/>
        <w:spacing w:beforeAutospacing="0" w:afterAutospacing="0" w:line="600" w:lineRule="exact"/>
        <w:ind w:left="643"/>
        <w:jc w:val="both"/>
        <w:rPr>
          <w:rFonts w:ascii="黑体" w:hAnsi="黑体" w:eastAsia="黑体" w:cs="黑体"/>
          <w:b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212121"/>
          <w:sz w:val="32"/>
          <w:szCs w:val="32"/>
          <w:shd w:val="clear" w:color="auto" w:fill="FFFFFF"/>
        </w:rPr>
        <w:t>五、工作要求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jc w:val="both"/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（一）统一思想，提高认识。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城乡公交一体化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工作是推进城乡公共交通统筹发展的关键环节。各有关部门、乡镇（街道）要充分认识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工作的重要性和紧迫性，围绕既定目标，统筹兼顾，积极稳妥推进城乡公交一体化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工作。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jc w:val="both"/>
        <w:rPr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（二）密切配合，形成合力。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提前预防，精心组织，提前做好对各种上访、罢运、闹事等应急准备工作。各有关部门、乡镇（街道）要紧紧围绕县政府统一部署，认真制定工作方案和应急预案，及时化解和处置不稳定因素，切实维护客运市场和社会稳定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jc w:val="both"/>
        <w:rPr>
          <w:b/>
        </w:rPr>
      </w:pPr>
      <w:r>
        <w:rPr>
          <w:rStyle w:val="8"/>
          <w:rFonts w:hint="eastAsia" w:ascii="楷体_GB2312" w:hAnsi="楷体_GB2312" w:eastAsia="楷体_GB2312" w:cs="楷体_GB2312"/>
          <w:color w:val="212121"/>
          <w:sz w:val="32"/>
          <w:szCs w:val="32"/>
          <w:shd w:val="clear" w:color="auto" w:fill="FFFFFF"/>
        </w:rPr>
        <w:t>（三）宣传引导，营造氛围。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各有关部门、乡镇（街道）要加强政策宣传和解释工作，争取经营者和广大人民群众的理解和支持。要深入调查，摸清情况，听取意见，切实维护经营者的合法权益。新闻媒体要充分发挥正确的舆论导向作用，为顺利推进城乡公交一体化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  <w:t>营造良好的氛围。</w:t>
      </w:r>
    </w:p>
    <w:p>
      <w:pPr>
        <w:pStyle w:val="5"/>
        <w:widowControl/>
        <w:spacing w:beforeAutospacing="0" w:afterAutospacing="0" w:line="600" w:lineRule="exact"/>
        <w:ind w:firstLine="641" w:firstLineChars="200"/>
        <w:rPr>
          <w:rStyle w:val="8"/>
          <w:rFonts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7436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xNDQwMGMwMzdjZTk2MjA5YzQ2Yzk3NzdmMjE4M2UifQ=="/>
  </w:docVars>
  <w:rsids>
    <w:rsidRoot w:val="776A0C66"/>
    <w:rsid w:val="000066CC"/>
    <w:rsid w:val="00074062"/>
    <w:rsid w:val="000B0D9A"/>
    <w:rsid w:val="000D0DCB"/>
    <w:rsid w:val="000E0F87"/>
    <w:rsid w:val="001375A8"/>
    <w:rsid w:val="0014203A"/>
    <w:rsid w:val="001756F4"/>
    <w:rsid w:val="001818D6"/>
    <w:rsid w:val="00185D80"/>
    <w:rsid w:val="001E7F45"/>
    <w:rsid w:val="002033A4"/>
    <w:rsid w:val="002345A5"/>
    <w:rsid w:val="0026184C"/>
    <w:rsid w:val="00265EC1"/>
    <w:rsid w:val="002730A6"/>
    <w:rsid w:val="00284E34"/>
    <w:rsid w:val="002A6840"/>
    <w:rsid w:val="002B2160"/>
    <w:rsid w:val="002B5D56"/>
    <w:rsid w:val="002D3D44"/>
    <w:rsid w:val="002E3F01"/>
    <w:rsid w:val="00321155"/>
    <w:rsid w:val="00365D68"/>
    <w:rsid w:val="00373717"/>
    <w:rsid w:val="00377A9E"/>
    <w:rsid w:val="003976C6"/>
    <w:rsid w:val="003E7FCB"/>
    <w:rsid w:val="004B0B88"/>
    <w:rsid w:val="004E064F"/>
    <w:rsid w:val="004F5577"/>
    <w:rsid w:val="00514046"/>
    <w:rsid w:val="00517C59"/>
    <w:rsid w:val="00525157"/>
    <w:rsid w:val="005273D5"/>
    <w:rsid w:val="00531E5A"/>
    <w:rsid w:val="00560C50"/>
    <w:rsid w:val="00573846"/>
    <w:rsid w:val="005935AE"/>
    <w:rsid w:val="00596C4C"/>
    <w:rsid w:val="005B1D09"/>
    <w:rsid w:val="006231C4"/>
    <w:rsid w:val="00625A57"/>
    <w:rsid w:val="0068122A"/>
    <w:rsid w:val="006A453A"/>
    <w:rsid w:val="006B5C69"/>
    <w:rsid w:val="006C0808"/>
    <w:rsid w:val="00711199"/>
    <w:rsid w:val="00714970"/>
    <w:rsid w:val="00726785"/>
    <w:rsid w:val="0075548A"/>
    <w:rsid w:val="00755F9F"/>
    <w:rsid w:val="007C0AB6"/>
    <w:rsid w:val="007D0050"/>
    <w:rsid w:val="00813E14"/>
    <w:rsid w:val="00832563"/>
    <w:rsid w:val="00835B3B"/>
    <w:rsid w:val="00844548"/>
    <w:rsid w:val="00846CAB"/>
    <w:rsid w:val="00883D22"/>
    <w:rsid w:val="008C4A35"/>
    <w:rsid w:val="00975037"/>
    <w:rsid w:val="009A2373"/>
    <w:rsid w:val="009C7BA2"/>
    <w:rsid w:val="00A228F1"/>
    <w:rsid w:val="00A27D35"/>
    <w:rsid w:val="00A7171F"/>
    <w:rsid w:val="00AA5C3E"/>
    <w:rsid w:val="00AC50BA"/>
    <w:rsid w:val="00AC58D2"/>
    <w:rsid w:val="00B2151F"/>
    <w:rsid w:val="00BA1F6B"/>
    <w:rsid w:val="00BA3826"/>
    <w:rsid w:val="00BB52AF"/>
    <w:rsid w:val="00C377CA"/>
    <w:rsid w:val="00C521AB"/>
    <w:rsid w:val="00CD59F2"/>
    <w:rsid w:val="00D15289"/>
    <w:rsid w:val="00D805DC"/>
    <w:rsid w:val="00DB18DC"/>
    <w:rsid w:val="00DC5CEF"/>
    <w:rsid w:val="00DD470F"/>
    <w:rsid w:val="00DF0E84"/>
    <w:rsid w:val="00E12F3A"/>
    <w:rsid w:val="00E26446"/>
    <w:rsid w:val="00E53A29"/>
    <w:rsid w:val="00E7360D"/>
    <w:rsid w:val="00EB1364"/>
    <w:rsid w:val="00F30A43"/>
    <w:rsid w:val="00FC10B6"/>
    <w:rsid w:val="00FE27E3"/>
    <w:rsid w:val="00FE444E"/>
    <w:rsid w:val="027D71DE"/>
    <w:rsid w:val="06A61DFD"/>
    <w:rsid w:val="0EF96A66"/>
    <w:rsid w:val="0F571AAD"/>
    <w:rsid w:val="107D534D"/>
    <w:rsid w:val="10BA7989"/>
    <w:rsid w:val="113C01D0"/>
    <w:rsid w:val="11B227BB"/>
    <w:rsid w:val="11D314C3"/>
    <w:rsid w:val="1358451E"/>
    <w:rsid w:val="13B94BCB"/>
    <w:rsid w:val="17925FD8"/>
    <w:rsid w:val="1B6C35F8"/>
    <w:rsid w:val="1BC21715"/>
    <w:rsid w:val="23221A14"/>
    <w:rsid w:val="255F7FBC"/>
    <w:rsid w:val="277D2E7C"/>
    <w:rsid w:val="282304A3"/>
    <w:rsid w:val="332E1C0C"/>
    <w:rsid w:val="33A0774F"/>
    <w:rsid w:val="33AE5004"/>
    <w:rsid w:val="36AC2DA4"/>
    <w:rsid w:val="3AC81836"/>
    <w:rsid w:val="3C7C6BD0"/>
    <w:rsid w:val="3CDFE4F5"/>
    <w:rsid w:val="3F554962"/>
    <w:rsid w:val="40830906"/>
    <w:rsid w:val="48A977C0"/>
    <w:rsid w:val="4A1F31FE"/>
    <w:rsid w:val="567756A5"/>
    <w:rsid w:val="57C12361"/>
    <w:rsid w:val="58CC3974"/>
    <w:rsid w:val="5C704BD6"/>
    <w:rsid w:val="5D397E34"/>
    <w:rsid w:val="5F8E79E7"/>
    <w:rsid w:val="5F8F280D"/>
    <w:rsid w:val="5FEFC00D"/>
    <w:rsid w:val="60447493"/>
    <w:rsid w:val="60773AB6"/>
    <w:rsid w:val="659E5C59"/>
    <w:rsid w:val="65F830DF"/>
    <w:rsid w:val="66303039"/>
    <w:rsid w:val="671E119C"/>
    <w:rsid w:val="68CD783C"/>
    <w:rsid w:val="69A36411"/>
    <w:rsid w:val="6BED55D7"/>
    <w:rsid w:val="6C1E7ADB"/>
    <w:rsid w:val="705422AE"/>
    <w:rsid w:val="711B294A"/>
    <w:rsid w:val="768175E0"/>
    <w:rsid w:val="776A0C66"/>
    <w:rsid w:val="77F77AA6"/>
    <w:rsid w:val="7ADE1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1678</Words>
  <Characters>1705</Characters>
  <Lines>15</Lines>
  <Paragraphs>4</Paragraphs>
  <TotalTime>36</TotalTime>
  <ScaleCrop>false</ScaleCrop>
  <LinksUpToDate>false</LinksUpToDate>
  <CharactersWithSpaces>1734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2022-02-25T22:02:00Z</dcterms:created>
  <dc:creator>Administrator</dc:creator>
  <cp:lastModifiedBy>晚风</cp:lastModifiedBy>
  <cp:lastPrinted>2023-08-23T11:32:00Z</cp:lastPrinted>
  <dcterms:modified xsi:type="dcterms:W3CDTF">2023-08-24T15:07:53Z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C5F0BE82D4E74691AA27CB0621740B74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