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黑体" w:hAnsi="黑体" w:eastAsia="黑体" w:cs="黑体"/>
          <w:b/>
          <w:bCs/>
          <w:sz w:val="44"/>
          <w:szCs w:val="44"/>
          <w:lang w:eastAsia="zh-CN"/>
        </w:rPr>
      </w:pPr>
      <w:r>
        <w:rPr>
          <w:rFonts w:hint="eastAsia" w:ascii="黑体" w:hAnsi="黑体" w:eastAsia="黑体" w:cs="黑体"/>
          <w:b/>
          <w:bCs/>
          <w:sz w:val="44"/>
          <w:szCs w:val="44"/>
        </w:rPr>
        <w:t>关于进一步支持建筑业做优做强的实施意见</w:t>
      </w:r>
      <w:r>
        <w:rPr>
          <w:rFonts w:hint="eastAsia" w:ascii="黑体" w:hAnsi="黑体" w:eastAsia="黑体" w:cs="黑体"/>
          <w:b/>
          <w:bCs/>
          <w:sz w:val="44"/>
          <w:szCs w:val="44"/>
          <w:lang w:eastAsia="zh-CN"/>
        </w:rPr>
        <w:t>（</w:t>
      </w:r>
      <w:r>
        <w:rPr>
          <w:rFonts w:hint="eastAsia" w:ascii="黑体" w:hAnsi="黑体" w:eastAsia="黑体" w:cs="黑体"/>
          <w:b/>
          <w:bCs/>
          <w:sz w:val="44"/>
          <w:szCs w:val="44"/>
          <w:lang w:val="en-US" w:eastAsia="zh-CN"/>
        </w:rPr>
        <w:t>征求意见稿</w:t>
      </w:r>
      <w:r>
        <w:rPr>
          <w:rFonts w:hint="eastAsia" w:ascii="黑体" w:hAnsi="黑体" w:eastAsia="黑体" w:cs="黑体"/>
          <w:b/>
          <w:bCs/>
          <w:sz w:val="44"/>
          <w:szCs w:val="44"/>
          <w:lang w:eastAsia="zh-CN"/>
        </w:rPr>
        <w:t>）</w:t>
      </w:r>
    </w:p>
    <w:p>
      <w:pPr>
        <w:jc w:val="center"/>
        <w:rPr>
          <w:rFonts w:hint="eastAsia" w:ascii="黑体" w:hAnsi="黑体" w:eastAsia="黑体" w:cs="黑体"/>
          <w:b/>
          <w:bCs/>
          <w:sz w:val="44"/>
          <w:szCs w:val="44"/>
        </w:rPr>
      </w:pPr>
      <w:r>
        <w:rPr>
          <w:rFonts w:hint="eastAsia" w:ascii="黑体" w:hAnsi="黑体" w:eastAsia="黑体" w:cs="黑体"/>
          <w:b/>
          <w:bCs/>
          <w:sz w:val="44"/>
          <w:szCs w:val="44"/>
        </w:rPr>
        <w:t>起草说明</w:t>
      </w:r>
    </w:p>
    <w:p>
      <w:pPr>
        <w:jc w:val="center"/>
        <w:rPr>
          <w:rFonts w:hint="eastAsia" w:ascii="黑体" w:hAnsi="黑体" w:eastAsia="黑体" w:cs="黑体"/>
          <w:b/>
          <w:bCs/>
          <w:sz w:val="44"/>
          <w:szCs w:val="44"/>
        </w:rPr>
      </w:pPr>
    </w:p>
    <w:p>
      <w:pPr>
        <w:numPr>
          <w:ilvl w:val="0"/>
          <w:numId w:val="1"/>
        </w:numPr>
        <w:jc w:val="left"/>
        <w:rPr>
          <w:rFonts w:hint="eastAsia" w:ascii="仿宋" w:hAnsi="仿宋" w:eastAsia="仿宋" w:cs="仿宋"/>
          <w:b/>
          <w:bCs/>
          <w:sz w:val="32"/>
          <w:szCs w:val="32"/>
        </w:rPr>
      </w:pPr>
      <w:r>
        <w:rPr>
          <w:rFonts w:hint="eastAsia" w:ascii="仿宋" w:hAnsi="仿宋" w:eastAsia="仿宋" w:cs="仿宋"/>
          <w:b/>
          <w:bCs/>
          <w:sz w:val="32"/>
          <w:szCs w:val="32"/>
        </w:rPr>
        <w:t>起草背景</w:t>
      </w:r>
    </w:p>
    <w:p>
      <w:pPr>
        <w:numPr>
          <w:ilvl w:val="0"/>
          <w:numId w:val="0"/>
        </w:numPr>
        <w:ind w:firstLine="560" w:firstLineChars="200"/>
        <w:jc w:val="left"/>
        <w:rPr>
          <w:rFonts w:hint="eastAsia" w:ascii="仿宋" w:hAnsi="仿宋" w:eastAsia="仿宋" w:cs="仿宋"/>
          <w:b w:val="0"/>
          <w:bCs w:val="0"/>
          <w:sz w:val="28"/>
          <w:szCs w:val="28"/>
          <w:lang w:eastAsia="zh-CN"/>
        </w:rPr>
      </w:pPr>
      <w:r>
        <w:rPr>
          <w:rFonts w:hint="eastAsia" w:ascii="仿宋" w:hAnsi="仿宋" w:eastAsia="仿宋" w:cs="仿宋"/>
          <w:b w:val="0"/>
          <w:bCs w:val="0"/>
          <w:sz w:val="28"/>
          <w:szCs w:val="28"/>
        </w:rPr>
        <w:t>近年来玉环</w:t>
      </w:r>
      <w:r>
        <w:rPr>
          <w:rFonts w:hint="eastAsia" w:ascii="仿宋" w:hAnsi="仿宋" w:eastAsia="仿宋" w:cs="仿宋"/>
          <w:b w:val="0"/>
          <w:bCs w:val="0"/>
          <w:sz w:val="28"/>
          <w:szCs w:val="28"/>
          <w:lang w:val="en-US" w:eastAsia="zh-CN"/>
        </w:rPr>
        <w:t>市</w:t>
      </w:r>
      <w:r>
        <w:rPr>
          <w:rFonts w:hint="eastAsia" w:ascii="仿宋" w:hAnsi="仿宋" w:eastAsia="仿宋" w:cs="仿宋"/>
          <w:b w:val="0"/>
          <w:bCs w:val="0"/>
          <w:sz w:val="28"/>
          <w:szCs w:val="28"/>
        </w:rPr>
        <w:t>建筑业发展呈现良好态势，202</w:t>
      </w:r>
      <w:r>
        <w:rPr>
          <w:rFonts w:hint="eastAsia" w:ascii="仿宋" w:hAnsi="仿宋" w:eastAsia="仿宋" w:cs="仿宋"/>
          <w:b w:val="0"/>
          <w:bCs w:val="0"/>
          <w:sz w:val="28"/>
          <w:szCs w:val="28"/>
          <w:lang w:val="en-US" w:eastAsia="zh-CN"/>
        </w:rPr>
        <w:t>3</w:t>
      </w:r>
      <w:r>
        <w:rPr>
          <w:rFonts w:hint="eastAsia" w:ascii="仿宋" w:hAnsi="仿宋" w:eastAsia="仿宋" w:cs="仿宋"/>
          <w:b w:val="0"/>
          <w:bCs w:val="0"/>
          <w:sz w:val="28"/>
          <w:szCs w:val="28"/>
        </w:rPr>
        <w:t>年新增了</w:t>
      </w:r>
      <w:r>
        <w:rPr>
          <w:rFonts w:hint="eastAsia" w:ascii="仿宋" w:hAnsi="仿宋" w:eastAsia="仿宋" w:cs="仿宋"/>
          <w:b w:val="0"/>
          <w:bCs w:val="0"/>
          <w:sz w:val="28"/>
          <w:szCs w:val="28"/>
          <w:lang w:val="en-US" w:eastAsia="zh-CN"/>
        </w:rPr>
        <w:t>1</w:t>
      </w:r>
      <w:r>
        <w:rPr>
          <w:rFonts w:hint="eastAsia" w:ascii="仿宋" w:hAnsi="仿宋" w:eastAsia="仿宋" w:cs="仿宋"/>
          <w:b w:val="0"/>
          <w:bCs w:val="0"/>
          <w:sz w:val="28"/>
          <w:szCs w:val="28"/>
        </w:rPr>
        <w:t>家建筑业一级资质企业，但我市建筑业发展也面临经济下行压力大的挑战和总体水平不强等短板，产值基数台州市内排名与玉环全国综合实力百强县市排名相比，有一定出入</w:t>
      </w:r>
      <w:r>
        <w:rPr>
          <w:rFonts w:hint="eastAsia" w:ascii="仿宋" w:hAnsi="仿宋" w:eastAsia="仿宋" w:cs="仿宋"/>
          <w:b w:val="0"/>
          <w:bCs w:val="0"/>
          <w:sz w:val="28"/>
          <w:szCs w:val="28"/>
          <w:lang w:eastAsia="zh-CN"/>
        </w:rPr>
        <w:t>。</w:t>
      </w:r>
    </w:p>
    <w:p>
      <w:pPr>
        <w:numPr>
          <w:ilvl w:val="0"/>
          <w:numId w:val="0"/>
        </w:numPr>
        <w:ind w:firstLine="560" w:firstLineChars="200"/>
        <w:jc w:val="left"/>
        <w:rPr>
          <w:rFonts w:hint="eastAsia" w:ascii="仿宋" w:hAnsi="仿宋" w:eastAsia="仿宋" w:cs="仿宋"/>
          <w:b w:val="0"/>
          <w:bCs w:val="0"/>
          <w:sz w:val="28"/>
          <w:szCs w:val="28"/>
        </w:rPr>
      </w:pPr>
      <w:r>
        <w:rPr>
          <w:rFonts w:hint="eastAsia" w:ascii="仿宋" w:hAnsi="仿宋" w:eastAsia="仿宋" w:cs="仿宋"/>
          <w:b w:val="0"/>
          <w:bCs w:val="0"/>
          <w:sz w:val="28"/>
          <w:szCs w:val="28"/>
        </w:rPr>
        <w:t>为深入贯彻落实习近平总书记考察浙江重要讲话精神及中央、省委省政府关于加快推进建筑业持续健康发展的系列决策部署，</w:t>
      </w:r>
      <w:bookmarkStart w:id="0" w:name="_GoBack"/>
      <w:bookmarkEnd w:id="0"/>
      <w:r>
        <w:rPr>
          <w:rFonts w:hint="eastAsia" w:ascii="仿宋" w:hAnsi="仿宋" w:eastAsia="仿宋" w:cs="仿宋"/>
          <w:b w:val="0"/>
          <w:bCs w:val="0"/>
          <w:sz w:val="28"/>
          <w:szCs w:val="28"/>
          <w:lang w:val="en-US" w:eastAsia="zh-CN"/>
        </w:rPr>
        <w:t>紧扣“强发展、求突破”工作要求，鼓励企业大胆“走出去”，开拓市内外两个市场，提高建筑业产值，创建“优质工程”，</w:t>
      </w:r>
      <w:r>
        <w:rPr>
          <w:rFonts w:hint="eastAsia" w:ascii="仿宋" w:hAnsi="仿宋" w:eastAsia="仿宋" w:cs="仿宋"/>
          <w:b w:val="0"/>
          <w:bCs w:val="0"/>
          <w:sz w:val="28"/>
          <w:szCs w:val="28"/>
        </w:rPr>
        <w:t>推进我市建筑行业向更高水平迈进</w:t>
      </w:r>
      <w:r>
        <w:rPr>
          <w:rFonts w:hint="eastAsia" w:ascii="仿宋" w:hAnsi="仿宋" w:eastAsia="仿宋" w:cs="仿宋"/>
          <w:b w:val="0"/>
          <w:bCs w:val="0"/>
          <w:sz w:val="28"/>
          <w:szCs w:val="28"/>
          <w:lang w:eastAsia="zh-CN"/>
        </w:rPr>
        <w:t>。</w:t>
      </w:r>
      <w:r>
        <w:rPr>
          <w:rFonts w:hint="eastAsia" w:ascii="仿宋" w:hAnsi="仿宋" w:eastAsia="仿宋" w:cs="仿宋"/>
          <w:b w:val="0"/>
          <w:bCs w:val="0"/>
          <w:sz w:val="28"/>
          <w:szCs w:val="28"/>
        </w:rPr>
        <w:t>2022年上半年，玉环市人民政府发布《玉政发〔2022〕4号》文件《关于加快建筑业高质量发展的若干意见》，作出支持建筑业高质量发展的决定，正式启动建筑业高质量发展行动计划。为全面突破玉环建筑业高质量发展空间制约瓶颈，现提出《关于进一步支持建筑业做优做强的实施意见》。</w:t>
      </w:r>
    </w:p>
    <w:p>
      <w:pPr>
        <w:numPr>
          <w:ilvl w:val="0"/>
          <w:numId w:val="1"/>
        </w:numPr>
        <w:jc w:val="left"/>
        <w:rPr>
          <w:rFonts w:hint="eastAsia" w:ascii="仿宋" w:hAnsi="仿宋" w:eastAsia="仿宋" w:cs="仿宋"/>
          <w:b/>
          <w:bCs/>
          <w:sz w:val="32"/>
          <w:szCs w:val="32"/>
        </w:rPr>
      </w:pPr>
      <w:r>
        <w:rPr>
          <w:rFonts w:hint="eastAsia" w:ascii="仿宋" w:hAnsi="仿宋" w:eastAsia="仿宋" w:cs="仿宋"/>
          <w:b/>
          <w:bCs/>
          <w:sz w:val="32"/>
          <w:szCs w:val="32"/>
        </w:rPr>
        <w:t>起草</w:t>
      </w:r>
      <w:r>
        <w:rPr>
          <w:rFonts w:hint="eastAsia" w:ascii="仿宋" w:hAnsi="仿宋" w:eastAsia="仿宋" w:cs="仿宋"/>
          <w:b/>
          <w:bCs/>
          <w:sz w:val="32"/>
          <w:szCs w:val="32"/>
          <w:lang w:val="en-US" w:eastAsia="zh-CN"/>
        </w:rPr>
        <w:t>依据</w:t>
      </w:r>
    </w:p>
    <w:p>
      <w:pPr>
        <w:numPr>
          <w:ilvl w:val="0"/>
          <w:numId w:val="0"/>
        </w:numPr>
        <w:jc w:val="left"/>
        <w:rPr>
          <w:rFonts w:hint="default" w:ascii="仿宋" w:hAnsi="仿宋" w:eastAsia="仿宋" w:cs="仿宋"/>
          <w:b w:val="0"/>
          <w:bCs w:val="0"/>
          <w:sz w:val="28"/>
          <w:szCs w:val="28"/>
          <w:lang w:val="en-US"/>
        </w:rPr>
      </w:pPr>
      <w:r>
        <w:rPr>
          <w:rFonts w:hint="eastAsia" w:ascii="仿宋" w:hAnsi="仿宋" w:eastAsia="仿宋" w:cs="仿宋"/>
          <w:b/>
          <w:bCs/>
          <w:sz w:val="32"/>
          <w:szCs w:val="32"/>
          <w:lang w:val="en-US" w:eastAsia="zh-CN"/>
        </w:rPr>
        <w:t xml:space="preserve">  </w:t>
      </w:r>
      <w:r>
        <w:rPr>
          <w:rFonts w:hint="eastAsia" w:ascii="仿宋" w:hAnsi="仿宋" w:eastAsia="仿宋" w:cs="仿宋"/>
          <w:b w:val="0"/>
          <w:bCs w:val="0"/>
          <w:sz w:val="28"/>
          <w:szCs w:val="28"/>
          <w:lang w:val="en-US" w:eastAsia="zh-CN"/>
        </w:rPr>
        <w:t>《浙江省人民政府办公厅关于进一步支持建筑业做优做强的若干意见》（浙政办发[2022]47号）、《台州市人民政府办公室关于进一步支持建筑业做优做强的实施意见》（台政办发[2023]37号）、《中华人民共和国招标投标法》等法律法规、《国家发展改革委等部门关于严格执行招标投标法规制度进一步规范招标投标主体行为的若干意见》（发改法规规〔2022〕1117 号）、《关于进一步加强房屋建筑和市政基础设施工程招标投标监管的指导意见》（建市规〔2019〕11号）、《浙江省人民政府关于进一步加强工程建设项目招标投标领域依法治理的意见》（浙政发〔2021〕5号）、《浙江省促进民营经济高质量发展若干措施》(浙委发〔2023〕20 号)以及《浙江省工程建设项目招标投标“评定分离”操作指引（试行）》(浙发改公管〔2023〕256号)等文件。</w:t>
      </w:r>
    </w:p>
    <w:p>
      <w:pPr>
        <w:numPr>
          <w:ilvl w:val="0"/>
          <w:numId w:val="1"/>
        </w:numPr>
        <w:jc w:val="left"/>
        <w:rPr>
          <w:rFonts w:hint="eastAsia" w:ascii="仿宋" w:hAnsi="仿宋" w:eastAsia="仿宋" w:cs="仿宋"/>
          <w:b/>
          <w:bCs/>
          <w:sz w:val="32"/>
          <w:szCs w:val="32"/>
        </w:rPr>
      </w:pPr>
      <w:r>
        <w:rPr>
          <w:rFonts w:hint="eastAsia" w:ascii="仿宋" w:hAnsi="仿宋" w:eastAsia="仿宋" w:cs="仿宋"/>
          <w:b/>
          <w:bCs/>
          <w:sz w:val="32"/>
          <w:szCs w:val="32"/>
        </w:rPr>
        <w:t>起草</w:t>
      </w:r>
      <w:r>
        <w:rPr>
          <w:rFonts w:hint="eastAsia" w:ascii="仿宋" w:hAnsi="仿宋" w:eastAsia="仿宋" w:cs="仿宋"/>
          <w:b/>
          <w:bCs/>
          <w:sz w:val="32"/>
          <w:szCs w:val="32"/>
          <w:lang w:val="en-US" w:eastAsia="zh-CN"/>
        </w:rPr>
        <w:t>过程</w:t>
      </w:r>
    </w:p>
    <w:p>
      <w:pPr>
        <w:numPr>
          <w:ilvl w:val="0"/>
          <w:numId w:val="0"/>
        </w:numPr>
        <w:ind w:firstLine="560" w:firstLineChars="200"/>
        <w:jc w:val="left"/>
        <w:rPr>
          <w:rFonts w:hint="default" w:ascii="仿宋" w:hAnsi="仿宋" w:eastAsia="仿宋" w:cs="仿宋"/>
          <w:b/>
          <w:bCs/>
          <w:sz w:val="32"/>
          <w:szCs w:val="32"/>
          <w:lang w:val="en-US" w:eastAsia="zh-CN"/>
        </w:rPr>
      </w:pPr>
      <w:r>
        <w:rPr>
          <w:rFonts w:hint="eastAsia" w:ascii="仿宋" w:hAnsi="仿宋" w:eastAsia="仿宋" w:cs="仿宋"/>
          <w:b w:val="0"/>
          <w:bCs w:val="0"/>
          <w:sz w:val="28"/>
          <w:szCs w:val="28"/>
          <w:lang w:val="en-US" w:eastAsia="zh-CN"/>
        </w:rPr>
        <w:t>“十四五”时期是实施城市更新行动、推进新型城镇化建设的机遇期，也是加快建筑业转型发展的关键期。为加快构建玉环现代化建筑业发展体系，2023年3月、6月，玉环市建筑业协会理事会成员至温岭、仙居、温州、金华、杭州等地进行政策调研。根据各地初步调查情况，于2023年11月由市住建局完成《关于进一步支持建筑业做优做强的实施意见（征求意见稿）》（以下简称《实施意见》），发至各有关单位征求意见。现意见征求完毕，根据征求结果修改完善，形成《关于进一步支持建筑业做优做强的实施意见》。</w:t>
      </w:r>
    </w:p>
    <w:p>
      <w:pPr>
        <w:numPr>
          <w:ilvl w:val="0"/>
          <w:numId w:val="1"/>
        </w:numPr>
        <w:jc w:val="left"/>
        <w:rPr>
          <w:rFonts w:hint="eastAsia" w:ascii="仿宋" w:hAnsi="仿宋" w:eastAsia="仿宋" w:cs="仿宋"/>
          <w:b/>
          <w:bCs/>
          <w:sz w:val="32"/>
          <w:szCs w:val="32"/>
        </w:rPr>
      </w:pPr>
      <w:r>
        <w:rPr>
          <w:rFonts w:hint="eastAsia" w:ascii="仿宋" w:hAnsi="仿宋" w:eastAsia="仿宋" w:cs="仿宋"/>
          <w:b/>
          <w:bCs/>
          <w:sz w:val="32"/>
          <w:szCs w:val="32"/>
          <w:lang w:val="en-US" w:eastAsia="zh-CN"/>
        </w:rPr>
        <w:t>较前一次《加快建筑业高质量发展的若干意见》调整说明及实施意见主要内容</w:t>
      </w:r>
    </w:p>
    <w:p>
      <w:pPr>
        <w:numPr>
          <w:ilvl w:val="0"/>
          <w:numId w:val="0"/>
        </w:numPr>
        <w:ind w:firstLine="560" w:firstLineChars="200"/>
        <w:jc w:val="left"/>
        <w:rPr>
          <w:rFonts w:hint="eastAsia" w:ascii="仿宋" w:hAnsi="仿宋" w:eastAsia="仿宋" w:cs="仿宋"/>
          <w:b/>
          <w:bCs/>
          <w:sz w:val="32"/>
          <w:szCs w:val="32"/>
        </w:rPr>
      </w:pPr>
      <w:r>
        <w:rPr>
          <w:rFonts w:hint="eastAsia" w:ascii="仿宋" w:hAnsi="仿宋" w:eastAsia="仿宋" w:cs="仿宋"/>
          <w:b w:val="0"/>
          <w:bCs w:val="0"/>
          <w:sz w:val="28"/>
          <w:szCs w:val="28"/>
          <w:lang w:val="en-US" w:eastAsia="zh-CN"/>
        </w:rPr>
        <w:t>加快构建玉环现代化建筑业发展体系，此次《实施意见》以推动建筑业做优做强、高质量发展为主线，根据各相关单位意见后调整如下：</w:t>
      </w:r>
    </w:p>
    <w:p>
      <w:pPr>
        <w:numPr>
          <w:ilvl w:val="0"/>
          <w:numId w:val="2"/>
        </w:numPr>
        <w:ind w:left="280" w:leftChars="0" w:firstLine="0" w:firstLineChars="0"/>
        <w:jc w:val="left"/>
        <w:rPr>
          <w:rFonts w:hint="eastAsia"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、发展目标</w:t>
      </w:r>
    </w:p>
    <w:p>
      <w:pPr>
        <w:numPr>
          <w:ilvl w:val="0"/>
          <w:numId w:val="0"/>
        </w:numPr>
        <w:ind w:firstLine="560" w:firstLineChars="200"/>
        <w:jc w:val="left"/>
        <w:rPr>
          <w:rFonts w:hint="eastAsia"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1、产值目标：建筑业规模进一步扩大，力争至2027年建筑业企业产值达到100亿元，建筑业税收达到5亿元。</w:t>
      </w:r>
    </w:p>
    <w:p>
      <w:pPr>
        <w:numPr>
          <w:ilvl w:val="0"/>
          <w:numId w:val="0"/>
        </w:numPr>
        <w:ind w:firstLine="560" w:firstLineChars="200"/>
        <w:jc w:val="left"/>
        <w:rPr>
          <w:rFonts w:hint="eastAsia"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2、资质目标：力争至2027年培育引进一级施工总承包资质或一级专业承包资质企业数量达到10家。培育建筑业年产值30亿元以上企业1家，20亿元以上企业2家。</w:t>
      </w:r>
    </w:p>
    <w:p>
      <w:pPr>
        <w:numPr>
          <w:ilvl w:val="0"/>
          <w:numId w:val="0"/>
        </w:numPr>
        <w:ind w:firstLine="560" w:firstLineChars="200"/>
        <w:jc w:val="left"/>
        <w:rPr>
          <w:rFonts w:hint="eastAsia"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3、创优管理目标：建筑业科技研发投入年均增长10%以上，争创“钱江杯 ”等省级优质工程 5个，逐步形成规范有效的建设工程质量和安全生产管理体系。</w:t>
      </w:r>
    </w:p>
    <w:p>
      <w:pPr>
        <w:numPr>
          <w:ilvl w:val="0"/>
          <w:numId w:val="0"/>
        </w:numPr>
        <w:ind w:firstLine="560" w:firstLineChars="200"/>
        <w:jc w:val="left"/>
        <w:rPr>
          <w:rFonts w:hint="eastAsia"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4、大力发展智能建造。加快建筑业与新一代信息技术和先进制造业深度融合，构建数字建筑平台。培育1家具有智能建造系统解决方案能力的工程总承包龙头骨干企业；遴选和培育3个以上智能建造试点项目。到2026年，推动形成一批智能建造龙头企业，引领并带动广大中小企业向智能建造转型升级，打造建筑业“玉环智造”。</w:t>
      </w:r>
    </w:p>
    <w:p>
      <w:pPr>
        <w:numPr>
          <w:ilvl w:val="0"/>
          <w:numId w:val="0"/>
        </w:numPr>
        <w:ind w:firstLine="560" w:firstLineChars="200"/>
        <w:jc w:val="left"/>
        <w:rPr>
          <w:rFonts w:hint="eastAsia"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（二）主要政策措施：</w:t>
      </w:r>
    </w:p>
    <w:p>
      <w:pPr>
        <w:numPr>
          <w:ilvl w:val="0"/>
          <w:numId w:val="0"/>
        </w:numPr>
        <w:ind w:firstLine="560" w:firstLineChars="200"/>
        <w:jc w:val="left"/>
        <w:rPr>
          <w:rFonts w:hint="eastAsia"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1、完善建筑市场管理</w:t>
      </w:r>
    </w:p>
    <w:p>
      <w:pPr>
        <w:numPr>
          <w:ilvl w:val="0"/>
          <w:numId w:val="0"/>
        </w:numPr>
        <w:ind w:firstLine="560" w:firstLineChars="200"/>
        <w:jc w:val="left"/>
        <w:rPr>
          <w:rFonts w:hint="eastAsia"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①、为进一步深化工程建设项目招标投标领域“放管服”改革，规范招投标活动，落实招标人主体责任。同时结合我市实际现状，工程建设项目招标投标采用“评定分离”办法进行评标。</w:t>
      </w:r>
    </w:p>
    <w:p>
      <w:pPr>
        <w:numPr>
          <w:ilvl w:val="0"/>
          <w:numId w:val="0"/>
        </w:numPr>
        <w:ind w:firstLine="560" w:firstLineChars="200"/>
        <w:jc w:val="left"/>
        <w:rPr>
          <w:rFonts w:hint="eastAsia"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②、在工程建设项目招标投标中将“提供快捷化保障措施及对项目所在地经济贡献的措施”纳入技术标评审。</w:t>
      </w:r>
    </w:p>
    <w:p>
      <w:pPr>
        <w:numPr>
          <w:ilvl w:val="0"/>
          <w:numId w:val="0"/>
        </w:numPr>
        <w:ind w:firstLine="560" w:firstLineChars="200"/>
        <w:jc w:val="left"/>
        <w:rPr>
          <w:rFonts w:hint="eastAsia"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③、规范招投标行为。大型项目采用本地建筑业企业与央企或国企组成联合体招标方式参与建设。</w:t>
      </w:r>
    </w:p>
    <w:p>
      <w:pPr>
        <w:numPr>
          <w:ilvl w:val="0"/>
          <w:numId w:val="0"/>
        </w:numPr>
        <w:ind w:firstLine="560" w:firstLineChars="200"/>
        <w:jc w:val="left"/>
        <w:rPr>
          <w:rFonts w:hint="eastAsia"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④、加强信用体系建设。将台州市建筑业信用评价机制与工程招投标有机结合过程中暂设过渡期，在过渡期内对施工招标项目资信标评审中与招标项目相同专业类别的项目负责人信用等级AA+及以上不设分差。</w:t>
      </w:r>
    </w:p>
    <w:p>
      <w:pPr>
        <w:numPr>
          <w:ilvl w:val="0"/>
          <w:numId w:val="0"/>
        </w:numPr>
        <w:ind w:firstLine="560" w:firstLineChars="200"/>
        <w:jc w:val="left"/>
        <w:rPr>
          <w:rFonts w:hint="eastAsia"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⑤、在政府采购等方面全面落实支持中小建筑业企业的各项政策措施。在政府采购等方面全面落实支持中小建筑业企业的各项政策措施，采购限额标准以上、400万元以下的政府采购工程项目，适宜由中小企业提供的，应专门面向中小企业采购。</w:t>
      </w:r>
    </w:p>
    <w:p>
      <w:pPr>
        <w:numPr>
          <w:ilvl w:val="0"/>
          <w:numId w:val="0"/>
        </w:numPr>
        <w:ind w:firstLine="560" w:firstLineChars="200"/>
        <w:jc w:val="left"/>
        <w:rPr>
          <w:rFonts w:hint="eastAsia"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⑥、加大工业企业、房地产企业和建筑施工企业互动，鼓励本市建筑业企业与国企开展合作共同持股设立混合所有制企业，对新设立的混合所有制企业的信用评价予以支持。</w:t>
      </w:r>
    </w:p>
    <w:p>
      <w:pPr>
        <w:numPr>
          <w:ilvl w:val="0"/>
          <w:numId w:val="0"/>
        </w:numPr>
        <w:ind w:firstLine="560" w:firstLineChars="200"/>
        <w:jc w:val="left"/>
        <w:rPr>
          <w:rFonts w:hint="eastAsia"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⑦、加强工程履约管理。将合同履约评价及检查结果纳入行业诚信评价体系。政府或国有资金投资的房屋建筑和市政基础设施工程全面推行施工过程结算，鼓励社会资本等其他投资主体投资的项目优先采用施工过程结算，并及时办理工程变更签证和施工过程结算审核。</w:t>
      </w:r>
    </w:p>
    <w:p>
      <w:pPr>
        <w:numPr>
          <w:ilvl w:val="0"/>
          <w:numId w:val="0"/>
        </w:numPr>
        <w:ind w:firstLine="560" w:firstLineChars="200"/>
        <w:jc w:val="left"/>
        <w:rPr>
          <w:rFonts w:hint="eastAsia"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2、加快建筑业企业做大做强</w:t>
      </w:r>
    </w:p>
    <w:p>
      <w:pPr>
        <w:numPr>
          <w:ilvl w:val="0"/>
          <w:numId w:val="0"/>
        </w:numPr>
        <w:ind w:firstLine="560" w:firstLineChars="200"/>
        <w:jc w:val="left"/>
        <w:rPr>
          <w:rFonts w:hint="eastAsia"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⑧、加快发展建筑业总部经济。凡原注册在外地的建筑业企业变更到玉环的，享受回归企业待遇。</w:t>
      </w:r>
    </w:p>
    <w:p>
      <w:pPr>
        <w:numPr>
          <w:ilvl w:val="0"/>
          <w:numId w:val="0"/>
        </w:numPr>
        <w:ind w:firstLine="560" w:firstLineChars="200"/>
        <w:jc w:val="left"/>
        <w:rPr>
          <w:rFonts w:hint="eastAsia"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⑨、设立重点骨干企业奖。对市内年度模范的骨干企业予以表彰及扶持政策。</w:t>
      </w:r>
    </w:p>
    <w:p>
      <w:pPr>
        <w:numPr>
          <w:ilvl w:val="0"/>
          <w:numId w:val="0"/>
        </w:numPr>
        <w:ind w:firstLine="560" w:firstLineChars="200"/>
        <w:jc w:val="left"/>
        <w:rPr>
          <w:rFonts w:hint="eastAsia"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⑩、加大建筑业企业创优创杯力度。建筑业承接项目获国家优质工程鲁班奖、浙江省钱江杯、台州市括苍杯，全国AAA级安全文明标准化示范工地、省级建筑施工安全文明标化工地、台州市建筑施工安全生产标准化管理优良工地等荣誉，予以奖励。</w:t>
      </w:r>
    </w:p>
    <w:p>
      <w:pPr>
        <w:numPr>
          <w:ilvl w:val="0"/>
          <w:numId w:val="0"/>
        </w:numPr>
        <w:ind w:firstLine="560" w:firstLineChars="200"/>
        <w:jc w:val="left"/>
        <w:rPr>
          <w:rFonts w:hint="eastAsia"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⑪</w:t>
      </w:r>
      <w:r>
        <w:rPr>
          <w:rFonts w:hint="eastAsia" w:ascii="仿宋" w:hAnsi="仿宋" w:eastAsia="仿宋" w:cs="仿宋"/>
          <w:b w:val="0"/>
          <w:bCs w:val="0"/>
          <w:sz w:val="28"/>
          <w:szCs w:val="28"/>
          <w:shd w:val="clear" w:color="auto" w:fill="auto"/>
          <w:lang w:val="en-US" w:eastAsia="zh-CN"/>
        </w:rPr>
        <w:t>、</w:t>
      </w:r>
      <w:r>
        <w:rPr>
          <w:rFonts w:hint="eastAsia" w:ascii="仿宋" w:hAnsi="仿宋" w:eastAsia="仿宋" w:cs="仿宋"/>
          <w:b w:val="0"/>
          <w:bCs w:val="0"/>
          <w:sz w:val="28"/>
          <w:szCs w:val="28"/>
          <w:lang w:val="en-US" w:eastAsia="zh-CN"/>
        </w:rPr>
        <w:t>大力支持建筑业企业科技创新、发展智能建造。对评定为智能建造试点项目且示范效果显著的企业给与奖励。</w:t>
      </w:r>
    </w:p>
    <w:p>
      <w:pPr>
        <w:numPr>
          <w:ilvl w:val="0"/>
          <w:numId w:val="0"/>
        </w:numPr>
        <w:ind w:firstLine="560" w:firstLineChars="200"/>
        <w:jc w:val="left"/>
        <w:rPr>
          <w:rFonts w:hint="eastAsia"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⑫、鼓励企业诚信建设。对首次获得浙江“AAA”、“AA”、“A”级守合同重信用公示企业予以奖励。</w:t>
      </w:r>
    </w:p>
    <w:p>
      <w:pPr>
        <w:numPr>
          <w:ilvl w:val="0"/>
          <w:numId w:val="0"/>
        </w:numPr>
        <w:ind w:firstLine="560" w:firstLineChars="200"/>
        <w:jc w:val="left"/>
        <w:rPr>
          <w:rFonts w:hint="eastAsia"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⑬、加快推广绿色工业化建筑。对采用钢结构装配式或超低（近零）能耗或装配化装修的商品房项目可进行容积率奖励。</w:t>
      </w:r>
    </w:p>
    <w:p>
      <w:pPr>
        <w:numPr>
          <w:ilvl w:val="0"/>
          <w:numId w:val="0"/>
        </w:numPr>
        <w:ind w:firstLine="560" w:firstLineChars="200"/>
        <w:jc w:val="left"/>
        <w:rPr>
          <w:rFonts w:hint="eastAsia"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⑭、加大建筑业企业人才培养和引进力度。</w:t>
      </w:r>
    </w:p>
    <w:p>
      <w:pPr>
        <w:numPr>
          <w:ilvl w:val="0"/>
          <w:numId w:val="0"/>
        </w:numPr>
        <w:ind w:firstLine="560" w:firstLineChars="200"/>
        <w:jc w:val="left"/>
        <w:rPr>
          <w:rFonts w:hint="eastAsia"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⑮、加大税收政策支持力度。对建筑业企业增值税留抵税额，按规定予以退还。建筑业企业发生的职工教育经费支出，准予在企业所得税应纳税所得额时扣除或以后纳税年度结转扣除。对培育、引进高层次人才等相关费用，符合规定的可在企业所得税税前扣除。</w:t>
      </w:r>
    </w:p>
    <w:p>
      <w:pPr>
        <w:numPr>
          <w:ilvl w:val="0"/>
          <w:numId w:val="0"/>
        </w:numPr>
        <w:ind w:firstLine="560" w:firstLineChars="200"/>
        <w:jc w:val="left"/>
        <w:rPr>
          <w:rFonts w:hint="eastAsia"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3、营造良好发展环境</w:t>
      </w:r>
    </w:p>
    <w:p>
      <w:pPr>
        <w:numPr>
          <w:ilvl w:val="0"/>
          <w:numId w:val="0"/>
        </w:numPr>
        <w:ind w:firstLine="560" w:firstLineChars="200"/>
        <w:jc w:val="left"/>
        <w:rPr>
          <w:rFonts w:hint="eastAsia"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⑯、健全房地产项目风险防范机制。商品房预售资金必须用于有关工程建设，在商品房项目完成房屋所有权首次登记前，银行不得擅自划扣。</w:t>
      </w:r>
    </w:p>
    <w:p>
      <w:pPr>
        <w:numPr>
          <w:ilvl w:val="0"/>
          <w:numId w:val="0"/>
        </w:numPr>
        <w:ind w:firstLine="560" w:firstLineChars="200"/>
        <w:jc w:val="left"/>
        <w:rPr>
          <w:rFonts w:hint="eastAsia"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⑰、开展建设工程绿色综合保险试点。引入工程建设领域保险制度，建立“ 事前预防、事中管理、事后服务”的保险工作机制，提高保险机构风险管控能力。</w:t>
      </w:r>
    </w:p>
    <w:p>
      <w:pPr>
        <w:numPr>
          <w:ilvl w:val="0"/>
          <w:numId w:val="0"/>
        </w:numPr>
        <w:ind w:firstLine="560" w:firstLineChars="200"/>
        <w:jc w:val="left"/>
        <w:rPr>
          <w:rFonts w:hint="eastAsia"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⑱、加大金融扶持力度。进一步拓展建筑业企业融资渠道，推进建筑业小微企业还贷方式创新，加快推进无还本续贷、年审制等还款方式向建筑业企业延伸。</w:t>
      </w:r>
    </w:p>
    <w:p>
      <w:pPr>
        <w:numPr>
          <w:ilvl w:val="0"/>
          <w:numId w:val="0"/>
        </w:numPr>
        <w:ind w:firstLine="560" w:firstLineChars="200"/>
        <w:jc w:val="left"/>
        <w:rPr>
          <w:rFonts w:hint="eastAsia"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⑲、加快质量安全体系建设。推进工程质量安全标准化、数字化管理 ，督促各方主体健全质量安全管控机制。</w:t>
      </w:r>
    </w:p>
    <w:p>
      <w:pPr>
        <w:numPr>
          <w:ilvl w:val="0"/>
          <w:numId w:val="0"/>
        </w:numPr>
        <w:ind w:firstLine="560" w:firstLineChars="200"/>
        <w:jc w:val="left"/>
        <w:rPr>
          <w:rFonts w:hint="eastAsia"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4、加强要素保障</w:t>
      </w:r>
    </w:p>
    <w:p>
      <w:pPr>
        <w:numPr>
          <w:ilvl w:val="0"/>
          <w:numId w:val="0"/>
        </w:numPr>
        <w:ind w:firstLine="560" w:firstLineChars="200"/>
        <w:jc w:val="left"/>
        <w:rPr>
          <w:rFonts w:hint="eastAsia"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⑳、加大惠企服务力度。各乡镇、街道，市政府各部门要像重视工业企业一样重视建筑施工企业，提供优质服务，激发建筑施工企业家干事创业激情。</w:t>
      </w:r>
    </w:p>
    <w:p>
      <w:pPr>
        <w:numPr>
          <w:ilvl w:val="0"/>
          <w:numId w:val="0"/>
        </w:numPr>
        <w:ind w:firstLine="560" w:firstLineChars="200"/>
        <w:jc w:val="left"/>
        <w:rPr>
          <w:rFonts w:hint="eastAsia"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㉑、考核评价。强化考核督查机制，对推动建筑业高质量发展工作成效明显的予以表彰，对工作不力的予以通报批评，作为干部考核评价的重要参考。</w:t>
      </w:r>
    </w:p>
    <w:p>
      <w:pPr>
        <w:numPr>
          <w:ilvl w:val="0"/>
          <w:numId w:val="1"/>
        </w:numPr>
        <w:jc w:val="left"/>
        <w:rPr>
          <w:rFonts w:hint="eastAsia" w:ascii="仿宋" w:hAnsi="仿宋" w:eastAsia="仿宋" w:cs="仿宋"/>
          <w:b/>
          <w:bCs/>
          <w:sz w:val="32"/>
          <w:szCs w:val="32"/>
        </w:rPr>
      </w:pPr>
      <w:r>
        <w:rPr>
          <w:rFonts w:hint="eastAsia" w:ascii="仿宋" w:hAnsi="仿宋" w:eastAsia="仿宋" w:cs="仿宋"/>
          <w:b/>
          <w:bCs/>
          <w:sz w:val="32"/>
          <w:szCs w:val="32"/>
          <w:lang w:val="en-US" w:eastAsia="zh-CN"/>
        </w:rPr>
        <w:t>意见征求情况</w:t>
      </w:r>
    </w:p>
    <w:p>
      <w:pPr>
        <w:numPr>
          <w:ilvl w:val="0"/>
          <w:numId w:val="0"/>
        </w:numPr>
        <w:ind w:firstLine="560" w:firstLineChars="200"/>
        <w:jc w:val="left"/>
        <w:rPr>
          <w:rFonts w:hint="eastAsia"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《实施意见》已经各相关部门、社会公众多个层面完成初步意见征求，并在实际工作中对发现的问题进行多次研究、调整。</w:t>
      </w:r>
    </w:p>
    <w:p>
      <w:pPr>
        <w:numPr>
          <w:ilvl w:val="0"/>
          <w:numId w:val="0"/>
        </w:numPr>
        <w:ind w:firstLine="560" w:firstLineChars="200"/>
        <w:jc w:val="left"/>
        <w:rPr>
          <w:rFonts w:hint="default" w:ascii="仿宋" w:hAnsi="仿宋" w:eastAsia="仿宋" w:cs="仿宋"/>
          <w:b w:val="0"/>
          <w:bCs w:val="0"/>
          <w:sz w:val="28"/>
          <w:szCs w:val="28"/>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DejaVu Sans"/>
    <w:panose1 w:val="02020603050405020304"/>
    <w:charset w:val="01"/>
    <w:family w:val="auto"/>
    <w:pitch w:val="default"/>
    <w:sig w:usb0="00000000" w:usb1="00000000" w:usb2="00000009" w:usb3="00000000" w:csb0="400001FF" w:csb1="FFFF0000"/>
  </w:font>
  <w:font w:name="宋体">
    <w:altName w:val="方正书宋_GBK"/>
    <w:panose1 w:val="02010600030101010101"/>
    <w:charset w:val="7A"/>
    <w:family w:val="auto"/>
    <w:pitch w:val="default"/>
    <w:sig w:usb0="00000000" w:usb1="0000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DejaVu Sans">
    <w:panose1 w:val="020B0603030804020204"/>
    <w:charset w:val="00"/>
    <w:family w:val="auto"/>
    <w:pitch w:val="default"/>
    <w:sig w:usb0="E7006EFF" w:usb1="D200FDFF" w:usb2="0A246029" w:usb3="0400200C" w:csb0="600001FF" w:csb1="DFFF0000"/>
  </w:font>
  <w:font w:name="Calibri">
    <w:altName w:val="DejaVu Sans"/>
    <w:panose1 w:val="020F0502020204030204"/>
    <w:charset w:val="00"/>
    <w:family w:val="swiss"/>
    <w:pitch w:val="default"/>
    <w:sig w:usb0="00000000" w:usb1="00000000" w:usb2="00000001" w:usb3="00000000" w:csb0="0000019F" w:csb1="00000000"/>
  </w:font>
  <w:font w:name="方正书宋_GBK">
    <w:panose1 w:val="02000000000000000000"/>
    <w:charset w:val="86"/>
    <w:family w:val="auto"/>
    <w:pitch w:val="default"/>
    <w:sig w:usb0="00000001" w:usb1="08000000" w:usb2="00000000" w:usb3="00000000" w:csb0="00040000" w:csb1="00000000"/>
  </w:font>
  <w:font w:name="方正黑体_GBK">
    <w:panose1 w:val="02000000000000000000"/>
    <w:charset w:val="86"/>
    <w:family w:val="auto"/>
    <w:pitch w:val="default"/>
    <w:sig w:usb0="00000001" w:usb1="08000000" w:usb2="00000000" w:usb3="00000000" w:csb0="00040000" w:csb1="00000000"/>
  </w:font>
  <w:font w:name="仿宋">
    <w:altName w:val="方正仿宋_GBK"/>
    <w:panose1 w:val="02010609060101010101"/>
    <w:charset w:val="86"/>
    <w:family w:val="auto"/>
    <w:pitch w:val="default"/>
    <w:sig w:usb0="00000000" w:usb1="00000000" w:usb2="00000016" w:usb3="00000000" w:csb0="00040001" w:csb1="00000000"/>
  </w:font>
  <w:font w:name="方正仿宋_GBK">
    <w:panose1 w:val="02000000000000000000"/>
    <w:charset w:val="86"/>
    <w:family w:val="auto"/>
    <w:pitch w:val="default"/>
    <w:sig w:usb0="00000001" w:usb1="08000000" w:usb2="00000000" w:usb3="00000000" w:csb0="00040000" w:csb1="00000000"/>
  </w:font>
  <w:font w:name="Noto Sans CJK JP Bold">
    <w:panose1 w:val="020B0800000000000000"/>
    <w:charset w:val="86"/>
    <w:family w:val="auto"/>
    <w:pitch w:val="default"/>
    <w:sig w:usb0="30000003" w:usb1="2BDF3C10" w:usb2="00000016" w:usb3="00000000" w:csb0="602E0107"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B0D6ADC"/>
    <w:multiLevelType w:val="singleLevel"/>
    <w:tmpl w:val="2B0D6ADC"/>
    <w:lvl w:ilvl="0" w:tentative="0">
      <w:start w:val="1"/>
      <w:numFmt w:val="chineseCounting"/>
      <w:suff w:val="nothing"/>
      <w:lvlText w:val="（%1）"/>
      <w:lvlJc w:val="left"/>
      <w:pPr>
        <w:ind w:left="280" w:leftChars="0" w:firstLine="0" w:firstLineChars="0"/>
      </w:pPr>
      <w:rPr>
        <w:rFonts w:hint="eastAsia"/>
      </w:rPr>
    </w:lvl>
  </w:abstractNum>
  <w:abstractNum w:abstractNumId="1">
    <w:nsid w:val="4CF6C935"/>
    <w:multiLevelType w:val="singleLevel"/>
    <w:tmpl w:val="4CF6C935"/>
    <w:lvl w:ilvl="0" w:tentative="0">
      <w:start w:val="1"/>
      <w:numFmt w:val="chineseCounting"/>
      <w:suff w:val="nothing"/>
      <w:lvlText w:val="%1、"/>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oNotDisplayPageBoundaries w:val="1"/>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WU5NjlhNzg0NmVhYWY2M2VkN2QxNTEyZWFlNGQ2ZGEifQ=="/>
  </w:docVars>
  <w:rsids>
    <w:rsidRoot w:val="00000000"/>
    <w:rsid w:val="074E31C8"/>
    <w:rsid w:val="1F9355E7"/>
    <w:rsid w:val="20806C44"/>
    <w:rsid w:val="260333D3"/>
    <w:rsid w:val="2DD67732"/>
    <w:rsid w:val="38E46CB9"/>
    <w:rsid w:val="3AD3024B"/>
    <w:rsid w:val="3C4C11FB"/>
    <w:rsid w:val="470E3654"/>
    <w:rsid w:val="4E2875CB"/>
    <w:rsid w:val="59C14367"/>
    <w:rsid w:val="616D067C"/>
    <w:rsid w:val="624E2810"/>
    <w:rsid w:val="6BB15A1E"/>
    <w:rsid w:val="6DB45962"/>
    <w:rsid w:val="77E72658"/>
    <w:rsid w:val="78A1558E"/>
    <w:rsid w:val="796A725D"/>
    <w:rsid w:val="FE7E6AC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4</TotalTime>
  <ScaleCrop>false</ScaleCrop>
  <LinksUpToDate>false</LinksUpToDate>
  <CharactersWithSpaces>0</CharactersWithSpaces>
  <Application>WPS Office_11.8.2.1120_F1E327BC-269C-435d-A152-05C5408002CA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2024-01-04T15:55:00Z</dcterms:created>
  <dc:creator>Administrator</dc:creator>
  <cp:lastModifiedBy>zjj106</cp:lastModifiedBy>
  <dcterms:modified xsi:type="dcterms:W3CDTF">2024-05-21T14:45:03Z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2052-11.8.2.1120</vt:lpwstr>
  </property>
  <property fmtid="{D5CDD505-2E9C-101B-9397-08002B2CF9AE}" pid="3" name="ICV">
    <vt:lpwstr>04CAE24358354DB29D70A7764D22DC26_13</vt:lpwstr>
  </property>
</Properties>
</file>