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关于推进制造业高成长企业“长高长壮”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的实施意见（试行）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(意见征求稿）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??_GB2312" w:hAnsi="宋体" w:eastAsia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为深入贯彻省、绍兴市制造业高质量发展大会精神，加快推动全市一批“有意愿、有活力、有市场、有前景”的制造业高成长企业迅速“长高长壮”，为全市制造业高质量发展注入强劲动力，特制定本实施意见：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一、总体思路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习近平新时代中国特色社会主义思想为指导，始终坚持工业立市、工业强市战略不动摇，在现有企业中竞争性挑选一批“有意愿、有活力、有市场、有前景”的制造业高成长企业，以最优的政策、最佳的服务、最好的环境实施“造月计划”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引导企业咬定创新不放松、深耕主业不动摇，快速长高长壮、做强做大，梯度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形成一批创新能力强、发展潜力大、经营业绩优的龙头领军、成长冠军、科创新军，引领带动全市制造业质量变革、效率变革、动力变革，有力推动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诸暨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工业经济再次腾飞、走在前列，为全省打造全球先进制造业基地贡献诸暨力量。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通过“造月计划”，力争到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十四五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末，形成“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123</w:t>
      </w:r>
      <w:r>
        <w:rPr>
          <w:rFonts w:hint="eastAsia" w:ascii="仿宋_GB2312" w:hAnsi="仿宋_GB2312" w:eastAsia="仿宋_GB2312" w:cs="仿宋_GB2312"/>
          <w:sz w:val="32"/>
          <w:szCs w:val="32"/>
        </w:rPr>
        <w:t>”培育成果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：即</w:t>
      </w:r>
      <w:r>
        <w:rPr>
          <w:rFonts w:hint="eastAsia" w:ascii="仿宋_GB2312" w:hAnsi="仿宋_GB2312" w:eastAsia="仿宋_GB2312" w:cs="仿宋_GB2312"/>
          <w:sz w:val="32"/>
          <w:szCs w:val="32"/>
        </w:rPr>
        <w:t>新增上市公司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家；新增营业收入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制造业大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(其中100亿元以上企业3家）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；新增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各类</w:t>
      </w:r>
      <w:r>
        <w:rPr>
          <w:rFonts w:hint="eastAsia" w:ascii="仿宋_GB2312" w:hAnsi="仿宋_GB2312" w:eastAsia="仿宋_GB2312" w:cs="仿宋_GB2312"/>
          <w:sz w:val="32"/>
          <w:szCs w:val="32"/>
        </w:rPr>
        <w:t>专精特新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30家；培育企业的亩均税收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翻番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三、培育对象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实施龙头领军、成长冠军和科创新军“三军”引领战略，建立“长高长壮”重点企业培育库（不含已上市企业）,实行竞争入库、优中选优。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1.龙头“领军”梯队。</w:t>
      </w:r>
      <w:r>
        <w:rPr>
          <w:rFonts w:hint="eastAsia" w:ascii="仿宋_GB2312" w:hAnsi="仿宋_GB2312" w:eastAsia="仿宋_GB2312" w:cs="仿宋_GB2312"/>
          <w:sz w:val="32"/>
          <w:szCs w:val="32"/>
        </w:rPr>
        <w:t>营业收入5亿元以上、亩均评价B类以上、发展意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愿</w:t>
      </w:r>
      <w:r>
        <w:rPr>
          <w:rFonts w:hint="eastAsia" w:ascii="仿宋_GB2312" w:hAnsi="仿宋_GB2312" w:eastAsia="仿宋_GB2312" w:cs="仿宋_GB2312"/>
          <w:sz w:val="32"/>
          <w:szCs w:val="32"/>
        </w:rPr>
        <w:t>较强的骨干企业，每年培育数控制在5家以内。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2.成长“冠军”梯队。</w:t>
      </w:r>
      <w:r>
        <w:rPr>
          <w:rFonts w:hint="eastAsia" w:ascii="仿宋_GB2312" w:hAnsi="仿宋_GB2312" w:eastAsia="仿宋_GB2312" w:cs="仿宋_GB2312"/>
          <w:sz w:val="32"/>
          <w:szCs w:val="32"/>
        </w:rPr>
        <w:t>营业收入5000万元-5亿元且上年增幅超过15%、税收100万元以上且上年增幅超过15%、研发投入营收占比3%以上、亩均评价A类、开拓创新意识较强的成长企业，每年培育数控制在15家以内。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3.科创“新军”梯队。</w:t>
      </w:r>
      <w:r>
        <w:rPr>
          <w:rFonts w:hint="eastAsia" w:ascii="仿宋_GB2312" w:hAnsi="仿宋_GB2312" w:eastAsia="仿宋_GB2312" w:cs="仿宋_GB2312"/>
          <w:sz w:val="32"/>
          <w:szCs w:val="32"/>
        </w:rPr>
        <w:t>近五年内在我市新注册设立，上年营业收入5000万元以下、研发投入营收占比4%以上、近三年内营业收入和税收年均增幅均在50%以上的科创型企业，每年培育数控制在10家以内。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四、培育路径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1.股改上市拉动。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进一步健全“规上企业—省隐形冠军—国家专精特新‘小巨人’—国家单项冠军—上市公司” 的高成长企业培育升级链，持续加大升级奖励力度，引导企业做专做精做强。实施重点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培育对象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拟上市专项扶持行动，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全程跟踪服务股改和挂牌上市，</w:t>
      </w:r>
      <w:r>
        <w:rPr>
          <w:rFonts w:hint="eastAsia" w:ascii="仿宋_GB2312" w:hAnsi="仿宋_GB2312" w:eastAsia="仿宋_GB2312" w:cs="仿宋_GB2312"/>
          <w:sz w:val="32"/>
          <w:szCs w:val="32"/>
        </w:rPr>
        <w:t>帮助企业解决上市过程中的难点堵点问题。（责任部门：金融办、经信局）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2.数字赋能牵动。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实施培育企业上云、数字改造、数字诊断三个“全覆盖”行动，加大政策支持，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加快培育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若干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行业示范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标杆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省级数字化车间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和智能化应用“三个一批”示范场景</w:t>
      </w:r>
      <w:r>
        <w:rPr>
          <w:rFonts w:hint="eastAsia" w:ascii="仿宋_GB2312" w:hAnsi="仿宋_GB2312" w:eastAsia="仿宋_GB2312" w:cs="仿宋_GB2312"/>
          <w:sz w:val="32"/>
          <w:szCs w:val="32"/>
        </w:rPr>
        <w:t>。支持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培育企业开展省</w:t>
      </w:r>
      <w:r>
        <w:rPr>
          <w:rFonts w:hint="eastAsia" w:ascii="仿宋_GB2312" w:hAnsi="仿宋_GB2312" w:eastAsia="仿宋_GB2312" w:cs="仿宋_GB2312"/>
          <w:sz w:val="32"/>
          <w:szCs w:val="32"/>
        </w:rPr>
        <w:t>“十百千”和工业机器人等重点技术改造项目建设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，加大设备投资和机器人改造等扶持力度，全面提升培育企业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数字经济发展能级规模。（责任部门：经信局）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3.科技创新驱动。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研发投入提升和高新技术企业培育专项攻坚行动，推动培育企业绍兴市级以上研发机构全覆盖、龙头和成长类高新技术企业培育全覆盖，实现研发投入逐年提升。以突破产业“卡脖子”技术和抢占前沿技术重大任务为牵引，鼓励推动培育企业“揭榜挂帅”，与高校院所共建高端研发机构，主动承担重大技术攻关任务（重大专项、科学技术奖等）。（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责任部门：科技局）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专项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政策撬动。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出台</w:t>
      </w:r>
      <w:r>
        <w:rPr>
          <w:rFonts w:hint="eastAsia" w:ascii="仿宋_GB2312" w:hAnsi="仿宋_GB2312" w:eastAsia="仿宋_GB2312" w:cs="仿宋_GB2312"/>
          <w:sz w:val="32"/>
          <w:szCs w:val="32"/>
        </w:rPr>
        <w:t>高成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企业“长高长壮”专项政策，推动一批成长前景好、创新意识强的企业快速发展；支持培育企业争先创优，优先推荐申报国家、省、市重点项目，争取享受上级有关扶持政策；鼓励培育企业向存量要空间，通过余缺对接、提高容积率等方式，进一步提高土地利用效率；坚持靶向服务，对培育企业在项目用地、企业融资、人才激励、用能及排污指标等方面实施“一企一策”。（责任部门：组织部、发改局、经信局、自然资源和规划局、生态环境分局、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人民银行）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5.优质服务促动。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建立</w:t>
      </w:r>
      <w:r>
        <w:rPr>
          <w:rFonts w:hint="eastAsia" w:ascii="仿宋_GB2312" w:hAnsi="仿宋_GB2312" w:eastAsia="仿宋_GB2312" w:cs="仿宋_GB2312"/>
          <w:sz w:val="32"/>
          <w:szCs w:val="32"/>
        </w:rPr>
        <w:t>市领导挂钩帮扶培育企业和专班帮扶机制，全面推进计划实施、协调服务、政策落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</w:rPr>
        <w:t>等工作，合力解决培育企业发展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中的难题</w:t>
      </w:r>
      <w:r>
        <w:rPr>
          <w:rFonts w:hint="eastAsia" w:ascii="仿宋_GB2312" w:hAnsi="仿宋_GB2312" w:eastAsia="仿宋_GB2312" w:cs="仿宋_GB2312"/>
          <w:sz w:val="32"/>
          <w:szCs w:val="32"/>
        </w:rPr>
        <w:t>。深化“最多跑一次”改革，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全面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落实全省优化营商环境“10+N”行动，打好“预审批、承诺制、进笼子及组团式服务”组合拳，全力打造营商环境2.0版。（责任部门：发改局、经信局、政务服务办）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五、工作机制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1.建立竞争培育机制。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“长高长壮”培育企业评审专家委员会，建立完善企业自主申报、镇街推荐、专业机构评审机制，按申报评审得分择优确定培育企业名单。实施年度动态调整机制，强化“优进劣退”，对不符入库基本条件，完成年度推进计划不力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实行</w:t>
      </w:r>
      <w:r>
        <w:rPr>
          <w:rFonts w:hint="eastAsia" w:ascii="仿宋_GB2312" w:hAnsi="仿宋_GB2312" w:eastAsia="仿宋_GB2312" w:cs="仿宋_GB2312"/>
          <w:sz w:val="32"/>
          <w:szCs w:val="32"/>
        </w:rPr>
        <w:t>淘汰退出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，单个企业培育周期为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5年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2.建立市镇联动机制。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坚持全市上下一盘棋，多方联动、共推共促。市经信局牵头做好高成长企业“长高长壮”培育工作；市级各责任部门根据职责落实专人跟进，配合做好服务保障工作；镇乡（街道）做好辖区内优质企业推荐申报工作，并加强对入库培育企业的日常跟踪服务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3.建立考核督查机制。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将高成长企业“长高长壮”工作列入每年岗位目标责任制考核，由经信局牵头制定“长高长壮”企业培育部门和镇乡（街道）督查考核机制，落实五年总目标和年度工作推进机制和清单，定期督查、及时通报，确保工作落到实处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诸暨市高成长企业“长高长壮”培育库管理办法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Times New Roman" w:hAnsi="Times New Roman" w:eastAsia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诸暨市制造业高成长企业“长高长壮”培育库管理办法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宋体" w:hAnsi="宋体" w:cs="宋体"/>
          <w:color w:val="FF000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为更好推进高成长企业“长高长壮”工作，按照竞争入库、优中选优的原则，特制定本办法。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一、企业申报条件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基本条件：在我市注册设立，近三年无重大环境违法、重大税收违法、重大安全生产事故、逃废债事件，且不涉及金融严重失信、欠贷欠息的非上市企业。同一集团关联企业限报1家，每家企业限报一类。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/>
        <w:textAlignment w:val="auto"/>
        <w:outlineLvl w:val="9"/>
        <w:rPr>
          <w:rFonts w:ascii="??_GB2312" w:hAnsi="黑体" w:eastAsia="Times New Roman"/>
          <w:sz w:val="32"/>
          <w:szCs w:val="32"/>
        </w:rPr>
      </w:pPr>
      <w:r>
        <w:rPr>
          <w:rFonts w:ascii="楷体_GB2312" w:hAnsi="Times New Roman" w:eastAsia="楷体_GB2312"/>
          <w:b/>
          <w:sz w:val="32"/>
          <w:szCs w:val="32"/>
        </w:rPr>
        <w:t>1.</w:t>
      </w:r>
      <w:r>
        <w:rPr>
          <w:rFonts w:hint="eastAsia" w:ascii="楷体_GB2312" w:hAnsi="Times New Roman" w:eastAsia="楷体_GB2312"/>
          <w:b/>
          <w:sz w:val="32"/>
          <w:szCs w:val="32"/>
        </w:rPr>
        <w:t>龙头类。</w:t>
      </w:r>
      <w:r>
        <w:rPr>
          <w:rFonts w:hint="eastAsia" w:ascii="仿宋_GB2312" w:hAnsi="仿宋_GB2312" w:eastAsia="仿宋_GB2312" w:cs="仿宋_GB2312"/>
          <w:sz w:val="32"/>
          <w:szCs w:val="32"/>
        </w:rPr>
        <w:t>营业收入5亿元以上、亩均评价B类以上、发展意识较强的骨干企业，每年培育数控制在5家以内。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/>
        <w:textAlignment w:val="auto"/>
        <w:outlineLvl w:val="9"/>
        <w:rPr>
          <w:rFonts w:ascii="??_GB2312" w:hAnsi="黑体" w:eastAsia="Times New Roman"/>
          <w:sz w:val="32"/>
          <w:szCs w:val="32"/>
        </w:rPr>
      </w:pPr>
      <w:r>
        <w:rPr>
          <w:rFonts w:ascii="楷体_GB2312" w:hAnsi="Times New Roman" w:eastAsia="楷体_GB2312"/>
          <w:b/>
          <w:sz w:val="32"/>
          <w:szCs w:val="32"/>
        </w:rPr>
        <w:t>2.</w:t>
      </w:r>
      <w:r>
        <w:rPr>
          <w:rFonts w:hint="eastAsia" w:ascii="楷体_GB2312" w:hAnsi="Times New Roman" w:eastAsia="楷体_GB2312"/>
          <w:b/>
          <w:sz w:val="32"/>
          <w:szCs w:val="32"/>
        </w:rPr>
        <w:t>成长类。</w:t>
      </w:r>
      <w:r>
        <w:rPr>
          <w:rFonts w:hint="eastAsia" w:ascii="仿宋_GB2312" w:hAnsi="仿宋_GB2312" w:eastAsia="仿宋_GB2312" w:cs="仿宋_GB2312"/>
          <w:sz w:val="32"/>
          <w:szCs w:val="32"/>
        </w:rPr>
        <w:t>营业收入5000万元-5亿元且上年增幅超过15%、税收100万元以上且上年增幅超过15%、研发投入营收占比3%以上、亩均评价A类、开拓创新意识较强的成长企业，每年培育数控制在15家以内。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/>
        <w:textAlignment w:val="auto"/>
        <w:outlineLvl w:val="9"/>
        <w:rPr>
          <w:rFonts w:ascii="??_GB2312" w:hAnsi="黑体" w:eastAsia="Times New Roman"/>
          <w:sz w:val="32"/>
          <w:szCs w:val="32"/>
        </w:rPr>
      </w:pPr>
      <w:r>
        <w:rPr>
          <w:rFonts w:ascii="楷体_GB2312" w:hAnsi="Times New Roman" w:eastAsia="楷体_GB2312"/>
          <w:b/>
          <w:sz w:val="32"/>
          <w:szCs w:val="32"/>
        </w:rPr>
        <w:t>3.</w:t>
      </w:r>
      <w:r>
        <w:rPr>
          <w:rFonts w:hint="eastAsia" w:ascii="楷体_GB2312" w:hAnsi="Times New Roman" w:eastAsia="楷体_GB2312"/>
          <w:b/>
          <w:sz w:val="32"/>
          <w:szCs w:val="32"/>
        </w:rPr>
        <w:t>科创类。</w:t>
      </w:r>
      <w:r>
        <w:rPr>
          <w:rFonts w:hint="eastAsia" w:ascii="仿宋_GB2312" w:hAnsi="仿宋_GB2312" w:eastAsia="仿宋_GB2312" w:cs="仿宋_GB2312"/>
          <w:sz w:val="32"/>
          <w:szCs w:val="32"/>
        </w:rPr>
        <w:t>五年内在我市新注册设立，上年营业收入5000万元以下、研发投入营收占比4%以上、近三年内营业收入和税收年均增幅均在50%以上的科创型企业，每年培育数控制在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0家以内。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二、申报入库程序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1.申报。由镇乡（街道）按照申报条件推荐企业申报，并进行三类企业基本条件初审；企业需提供申报表、营业执照、其他相关证明材料。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2.评审。由评审委员会根据镇乡（街道）推荐名单，按照“主导产业强链补链、新兴产业布局”导向，提出评审名单并开展计分和现场答辩。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ascii="??_GB2312" w:hAnsi="黑体" w:eastAsia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3.审议。由评审委员会按照总分高低确定三类推荐企业名单，并提交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政府常务会议讨论确定入库名单。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三、企业评价内容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考评采用100分和附加分制，其中数据和申报资料分值70分，现场答辩30分。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1.基本评价环节：主要包含上市培育、主要指标（营业收入增速、税收增速、税收规模、研发费用占比）、创新能力、亩均效益（亩均增加值、亩均税收）等内容；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2.附加评价环节：五年目标和年度计划（上市、重大技术攻关、规模利税提升、行业地位提升、亩均水平突破、技改投资、数字改造等）、行业属性、创建成果等内容；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3.现场答辩环节：评审委员会按申报企业发展基础和发展思路分别打分，并取平均分确定考核结果。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四、退库有关规定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入库满5年的、培育期间成功上市的或有下列情形之一的，经市评审委员会核实确认后即时退出培育库，退库后两年以内（不含当年）不再入库。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1.入库申请严重弄虚作假；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2.不符管理办法基本条件和主要指标要求的；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3.经营范围、主营业务发生重大变更，不再符合入库条件；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eastAsia="Times New Roman" w:cs="Calibri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4.完成五年蓝图和年度计划不力的（指龙头类、成长类未完成任务两项及以上，科创类未完成一项以上）。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五、其他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评审专家费及“长高长壮”工作相关费用由市财政单独列支，纳入经信局预算。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C0590"/>
    <w:rsid w:val="00011C38"/>
    <w:rsid w:val="001F3F13"/>
    <w:rsid w:val="0025311C"/>
    <w:rsid w:val="00265FE6"/>
    <w:rsid w:val="00287074"/>
    <w:rsid w:val="002D3530"/>
    <w:rsid w:val="00343C02"/>
    <w:rsid w:val="00367178"/>
    <w:rsid w:val="003A3DC9"/>
    <w:rsid w:val="003A4AFA"/>
    <w:rsid w:val="003C46DE"/>
    <w:rsid w:val="00461150"/>
    <w:rsid w:val="004751D4"/>
    <w:rsid w:val="00521815"/>
    <w:rsid w:val="00527E1E"/>
    <w:rsid w:val="00542E9A"/>
    <w:rsid w:val="005745B3"/>
    <w:rsid w:val="006A1F36"/>
    <w:rsid w:val="006A46A1"/>
    <w:rsid w:val="0075091C"/>
    <w:rsid w:val="0079343D"/>
    <w:rsid w:val="00850B8F"/>
    <w:rsid w:val="0085525B"/>
    <w:rsid w:val="00882438"/>
    <w:rsid w:val="009041C0"/>
    <w:rsid w:val="00904EC1"/>
    <w:rsid w:val="009A4CDC"/>
    <w:rsid w:val="00A668BF"/>
    <w:rsid w:val="00B725BA"/>
    <w:rsid w:val="00B77825"/>
    <w:rsid w:val="00BB586A"/>
    <w:rsid w:val="00C1555C"/>
    <w:rsid w:val="00CD7464"/>
    <w:rsid w:val="00D25F07"/>
    <w:rsid w:val="00D3690B"/>
    <w:rsid w:val="00DE168C"/>
    <w:rsid w:val="00E35C8F"/>
    <w:rsid w:val="00E6458F"/>
    <w:rsid w:val="00E7579C"/>
    <w:rsid w:val="00FB31D7"/>
    <w:rsid w:val="00FD5934"/>
    <w:rsid w:val="0DED7A94"/>
    <w:rsid w:val="10203D5C"/>
    <w:rsid w:val="11F8089E"/>
    <w:rsid w:val="153727B3"/>
    <w:rsid w:val="32B00013"/>
    <w:rsid w:val="3FA872AC"/>
    <w:rsid w:val="45137908"/>
    <w:rsid w:val="4BDC0590"/>
    <w:rsid w:val="55880964"/>
    <w:rsid w:val="57643301"/>
    <w:rsid w:val="58211770"/>
    <w:rsid w:val="60F16252"/>
    <w:rsid w:val="626C173B"/>
    <w:rsid w:val="65515A89"/>
    <w:rsid w:val="656F467F"/>
    <w:rsid w:val="66DF0E62"/>
    <w:rsid w:val="6A3A75BA"/>
    <w:rsid w:val="6D395B58"/>
    <w:rsid w:val="6D447385"/>
    <w:rsid w:val="6FB756FB"/>
    <w:rsid w:val="6FF41A24"/>
    <w:rsid w:val="7A5B654D"/>
    <w:rsid w:val="7D2976CA"/>
    <w:rsid w:val="7F1B5447"/>
    <w:rsid w:val="7F2B15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99"/>
    <w:pPr>
      <w:ind w:firstLine="420" w:firstLineChars="200"/>
    </w:pPr>
  </w:style>
  <w:style w:type="paragraph" w:customStyle="1" w:styleId="5">
    <w:name w:val="正文缩进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753</Words>
  <Characters>4296</Characters>
  <Lines>35</Lines>
  <Paragraphs>10</Paragraphs>
  <TotalTime>0</TotalTime>
  <ScaleCrop>false</ScaleCrop>
  <LinksUpToDate>false</LinksUpToDate>
  <CharactersWithSpaces>5039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2021-04-30T08:24:00Z</dcterms:created>
  <dc:creator>DELL</dc:creator>
  <cp:lastModifiedBy>100</cp:lastModifiedBy>
  <cp:lastPrinted>2021-05-26T03:46:00Z</cp:lastPrinted>
  <dcterms:modified xsi:type="dcterms:W3CDTF">2021-07-12T11:09:04Z</dcterms:modified>
  <dc:title>关于推进制造业高成长企业“长高长壮”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28981A21D5C94D499335127B58556FB7</vt:lpwstr>
  </property>
</Properties>
</file>